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— Two-Sided Marketplace (Buy &amp; Sell)  |  0→1 Ownership  |  Supply-Side Onboarding &amp; Listing · Buy-Side Search, Matching &amp; Discoverability  |  Growth Funnels, Data-Driven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 xml:space="preserve">Gurugram, India  •  +91 8756972501  •  </w:t>
      </w:r>
      <w:hyperlink r:id="rId9">
        <w:r>
          <w:rPr>
            <w:rFonts w:ascii="Calibri" w:hAnsi="Calibri"/>
            <w:color w:val="444444"/>
            <w:sz w:val="18"/>
          </w:rPr>
          <w:t xml:space="preserve">kshitizyadav788@gmail.com</w:t>
        </w:r>
      </w:hyperlink>
      <w:r>
        <w:rPr>
          <w:rFonts w:ascii="Calibri" w:hAnsi="Calibri"/>
          <w:b w:val="0"/>
          <w:i w:val="0"/>
          <w:color w:val="444444"/>
          <w:sz w:val="18"/>
        </w:rPr>
        <w:t xml:space="preserve">  •  </w:t>
      </w:r>
      <w:hyperlink r:id="rId10">
        <w:r>
          <w:rPr>
            <w:rFonts w:ascii="Calibri" w:hAnsi="Calibri"/>
            <w:color w:val="444444"/>
            <w:sz w:val="18"/>
          </w:rPr>
          <w:t xml:space="preserve">linkedin.com/in/kshitizyadav</w:t>
        </w:r>
      </w:hyperlink>
    </w:p>
    <w:p>
      <w:pPr>
        <w:spacing w:after="50"/>
        <w:jc w:val="center"/>
      </w:pPr>
      <w:r>
        <w:rPr>
          <w:rFonts w:ascii="Calibri" w:hAnsi="Calibri"/>
          <w:b/>
          <w:i w:val="0"/>
          <w:color w:val="2E5AAC"/>
          <w:sz w:val="18"/>
        </w:rPr>
        <w:t>20% Revenue Growth   •   25% ARPU Expansion (₹35K → ₹45K)   •   ₹70L Renewals in a Single Month   •   80% Lower Ops Workload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50"/>
      </w:pPr>
      <w:r>
        <w:rPr>
          <w:rFonts w:ascii="Calibri" w:hAnsi="Calibri"/>
          <w:b w:val="0"/>
          <w:i w:val="0"/>
          <w:sz w:val="19"/>
        </w:rPr>
        <w:t>Product Manager with 5+ years owning a two-sided marketplace end-to-end — both the supply side (partner/teacher onboarding, listing, payouts, data) and the demand side (search, best-fit matching, self-serve conversion). Builds 0→1 with high agency and tight engineering feedback loops, grounds decisions in direct user conversations, and ties product decisions to revenue. Runs growth funnels — organic/content-led acquisition loops, activation, and retention — and tracks metrics across both sides. Comfortable with ambiguity and category-defining work. Delivered 20% revenue growth, ₹70L in product-led renewals, and lifted the 5/5 rating share from 10% to 25%.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50"/>
      </w:pPr>
      <w:r>
        <w:rPr>
          <w:rFonts w:ascii="Calibri" w:hAnsi="Calibri"/>
          <w:b w:val="0"/>
          <w:i w:val="0"/>
          <w:sz w:val="19"/>
        </w:rPr>
        <w:t>Two-Sided Marketplace (Buy &amp; Sell) — Zero-to-One (0→1) Ownership · Supply-Side Product: Onboarding, Listing &amp; Data Structure (Partner / Teacher Side) · Buy-Side Product: Search, Matching / Ranking, Browse &amp; Discoverability · Product-Led Growth: Self-Serve Funnels, Acquisition, Activation &amp; Repeat Usage · Organic / Content-Led Growth Loops · User Research (Talking to Buyers &amp; Suppliers Directly) · Category Creation, Positioning &amp; Ambiguity (Decisions with Incomplete Information) · Roadmap — Discovery → Shipped → Adoption · Metrics Across Both Sides (Data Quality, Match Rate, Acquisition, Activation, Retention) with a Line to Revenue · Ship Fast with Engineering (Tight Feedback Loops) · High Agency, Ownership &amp; Accountability · Product Management · Startup Environment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spacing w:after="0"/>
      </w:pPr>
      <w:r>
        <w:rPr>
          <w:rFonts w:ascii="Calibri" w:hAnsi="Calibri"/>
          <w:b/>
          <w:i w:val="0"/>
          <w:sz w:val="21"/>
        </w:rPr>
        <w:t>PlanetSpark — Gurugram</w:t>
      </w:r>
    </w:p>
    <w:p>
      <w:pPr>
        <w:spacing w:after="50"/>
      </w:pPr>
      <w:r>
        <w:rPr>
          <w:rFonts w:ascii="Calibri" w:hAnsi="Calibri"/>
          <w:b w:val="0"/>
          <w:i/>
          <w:color w:val="333333"/>
          <w:sz w:val="19"/>
        </w:rPr>
        <w:t>A B2C subscription marketplace (EdTech) connecting 150,000+ enrolled users with teachers via a shared LMS — spanning consumer app, two-sided platform, payments, CRM, renewals, and lifecycle products, with 30,000+ daily active users. Progressed across three roles while owning an expanding product surface.</w:t>
      </w:r>
    </w:p>
    <w:p>
      <w:pPr>
        <w:tabs>
          <w:tab w:pos="10546" w:val="right"/>
        </w:tabs>
        <w:spacing w:before="70" w:after="0"/>
      </w:pPr>
      <w:r>
        <w:rPr>
          <w:rFonts w:ascii="Calibri" w:hAnsi="Calibri"/>
          <w:b/>
          <w:i/>
          <w:color w:val="2E5AAC"/>
          <w:sz w:val="19"/>
        </w:rPr>
        <w:t>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2023 – Present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 — single-step OTP, a preference-capture ranking model, and 6 API-integrated payment gateways with pre-filled links and auto-cleared approvals — enabling self-serve, plan-based purchase with no manual intervention.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Own the full product suite — consumer app, student &amp; teacher LMS, advisor CRM, renewal engine, and in-house AI layer — for a platform with 150,000+ enrolled users and 30,000+ daily active users, leading a cross-functional squad of 8 engineers and 2 QA from discovery to launch.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Increased the share of enrolled users rating the product 5 out of 5 from 10% to 25% via onboarding and retention work: seamless onboarding, teacher PTMs and feedback, a one-page student-detail UI, a loyalty program, and the PSpark in-app wallet.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Designed an in-product renewal engine (nudges, early-bird access, LMS free-trial classes, teacher-initiated renewals) that reduced assisted-renewal cost and generated ₹70L in product-led renewals in a single month (Jan 2025).</w:t>
      </w:r>
    </w:p>
    <w:p>
      <w:pPr>
        <w:tabs>
          <w:tab w:pos="10546" w:val="right"/>
        </w:tabs>
        <w:spacing w:before="70" w:after="0"/>
      </w:pPr>
      <w:r>
        <w:rPr>
          <w:rFonts w:ascii="Calibri" w:hAnsi="Calibri"/>
          <w:b/>
          <w:i/>
          <w:color w:val="2E5AAC"/>
          <w:sz w:val="19"/>
        </w:rPr>
        <w:t>Assistant 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2022 – Aug 2023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Rebuilt the teacher LMS with real-time payout automation, accurate payout summaries, and consolidated CRM and class details — lifting teacher NPS from −20 to +40.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Launched organic acquisition loops surfacing student progress (Sparkline, Word Wisdom, practice classes, workshops) across social channels, bringing 2,000+ organic leads/month at a 7% conversion rate.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Built the LPP (Learn, Practice, Perform) module — customized 1:1 sessions, group activities, and performance tasks — driving 20% revenue growth, 25% ARPU expansion (₹35K → ₹45K), and 50% higher revenue per class (₹600 → ₹900).</w:t>
      </w:r>
    </w:p>
    <w:p>
      <w:pPr>
        <w:tabs>
          <w:tab w:pos="10546" w:val="right"/>
        </w:tabs>
        <w:spacing w:before="70" w:after="0"/>
      </w:pPr>
      <w:r>
        <w:rPr>
          <w:rFonts w:ascii="Calibri" w:hAnsi="Calibri"/>
          <w:b/>
          <w:i/>
          <w:color w:val="2E5AAC"/>
          <w:sz w:val="19"/>
        </w:rPr>
        <w:t>Senior Product Analyst</w:t>
      </w:r>
      <w:r>
        <w:rPr>
          <w:rFonts w:ascii="Calibri" w:hAnsi="Calibri"/>
          <w:b w:val="0"/>
          <w:i/>
          <w:color w:val="444444"/>
          <w:sz w:val="19"/>
        </w:rPr>
        <w:tab/>
        <w:t>Mar 2021 – Aug 2022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 w:val="0"/>
          <w:i w:val="0"/>
          <w:sz w:val="19"/>
        </w:rPr>
        <w:t>Developed SQL and Power BI reporting across growth, revenue, and operations; improved weekly revenue accuracy and created a data foundation for product and commercial decisions.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Marketplace &amp; Growth: </w:t>
      </w:r>
      <w:r>
        <w:rPr>
          <w:rFonts w:ascii="Calibri" w:hAnsi="Calibri"/>
          <w:b w:val="0"/>
          <w:i w:val="0"/>
          <w:sz w:val="19"/>
        </w:rPr>
        <w:t>Two-sided marketplace (supply &amp; demand), supplier/teacher onboarding &amp; listing, matching/ranking, self-serve funnels, acquisition/activation loops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Data &amp; Metrics: </w:t>
      </w:r>
      <w:r>
        <w:rPr>
          <w:rFonts w:ascii="Calibri" w:hAnsi="Calibri"/>
          <w:b w:val="0"/>
          <w:i w:val="0"/>
          <w:sz w:val="19"/>
        </w:rPr>
        <w:t>SQL, GA4, Power BI, dashboards, match/conversion/activation/retention metrics, A/B testing, MS Excel (Advanced)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0→1 discovery-to-launch, PRDs, user stories, RICE prioritization, JIRA, Confluence, Agile/Scrum, Figma</w:t>
      </w:r>
    </w:p>
    <w:p>
      <w:pPr>
        <w:pStyle w:val="ListBullet"/>
        <w:spacing w:after="50" w:before="0" w:line="266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Claude/OpenAI/Gemini APIs, Claude Code, Prompt Engineering, RAG, REST APIs, integrations</w:t>
      </w:r>
    </w:p>
    <w:p>
      <w:pPr>
        <w:spacing w:before="13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 &amp; CERTIFICATIONS</w:t>
      </w:r>
    </w:p>
    <w:p>
      <w:pPr>
        <w:tabs>
          <w:tab w:pos="10546" w:val="right"/>
        </w:tabs>
        <w:spacing w:after="5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2018 – 2021</w:t>
      </w:r>
    </w:p>
    <w:p>
      <w:pPr>
        <w:spacing w:after="50"/>
      </w:pPr>
      <w:r>
        <w:rPr>
          <w:rFonts w:ascii="Calibri" w:hAnsi="Calibri"/>
          <w:b w:val="0"/>
          <w:i w:val="0"/>
          <w:color w:val="444444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before="0" w:line="266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before="0" w:line="266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shitizyadav788@gmail.com" TargetMode="External"/><Relationship Id="rId10" Type="http://schemas.openxmlformats.org/officeDocument/2006/relationships/hyperlink" Target="https://linkedin.com/in/kshitizyad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