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Owns Product Areas End-to-End  |  Simplifying Complex Journeys · Ship Fast, Learn After Launch  |  Metrics, Experiments &amp; Honest Attribution  |  Consumer &amp; High-Growth</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40"/>
        <w:jc w:val="center"/>
      </w:pPr>
      <w:r>
        <w:rPr>
          <w:rFonts w:ascii="Calibri" w:hAnsi="Calibri"/>
          <w:b/>
          <w:i w:val="0"/>
          <w:color w:val="2E5AAC"/>
          <w:sz w:val="18"/>
        </w:rPr>
        <w:t>20% Revenue Growth   •   25% ARPU Expansion (₹35K → ₹45K)   •   ₹70L Renewals in a Single Month   •   80% Lower Ops Workload</w:t>
      </w:r>
    </w:p>
    <w:p>
      <w:pPr>
        <w:spacing w:before="120" w:after="50"/>
        <w:pBdr>
          <w:bottom w:val="single" w:sz="6" w:space="1" w:color="2E5AAC"/>
        </w:pBdr>
      </w:pPr>
      <w:r>
        <w:rPr>
          <w:rFonts w:ascii="Calibri" w:hAnsi="Calibri"/>
          <w:b/>
          <w:color w:val="1F3864"/>
          <w:sz w:val="22"/>
        </w:rPr>
        <w:t>PROFESSIONAL SUMMARY</w:t>
      </w:r>
    </w:p>
    <w:p>
      <w:pPr>
        <w:spacing w:after="40"/>
      </w:pPr>
      <w:r>
        <w:rPr>
          <w:rFonts w:ascii="Calibri" w:hAnsi="Calibri"/>
          <w:b w:val="0"/>
          <w:i w:val="0"/>
          <w:sz w:val="19"/>
        </w:rPr>
        <w:t>Product Manager with 5+ years owning product areas end-to-end in consumer apps and high-growth products — turning complex workflows into simple, usable journeys, working deeply with engineering, design, data, and compliance, and shipping fast then iterating after launch. Decides with incomplete information and is honest about attribution — what changed because of the work. Progressed Senior Product Analyst → Assistant PM → Product Manager; delivered 20% revenue growth, ₹70L in product-led renewals, and 80% lower operational workload.</w:t>
      </w:r>
    </w:p>
    <w:p>
      <w:pPr>
        <w:spacing w:before="120" w:after="50"/>
        <w:pBdr>
          <w:bottom w:val="single" w:sz="6" w:space="1" w:color="2E5AAC"/>
        </w:pBdr>
      </w:pPr>
      <w:r>
        <w:rPr>
          <w:rFonts w:ascii="Calibri" w:hAnsi="Calibri"/>
          <w:b/>
          <w:color w:val="1F3864"/>
          <w:sz w:val="22"/>
        </w:rPr>
        <w:t>CORE COMPETENCIES</w:t>
      </w:r>
    </w:p>
    <w:p>
      <w:pPr>
        <w:spacing w:after="40"/>
      </w:pPr>
      <w:r>
        <w:rPr>
          <w:rFonts w:ascii="Calibri" w:hAnsi="Calibri"/>
          <w:b w:val="0"/>
          <w:i w:val="0"/>
          <w:sz w:val="19"/>
        </w:rPr>
        <w:t>Owning Product Areas End-to-End · User Problems, Scope, Success Metrics, Roadmap &amp; Launch Plans · Simplifying Complex Workflows into Usable Journeys · Ship Fast, Monitor &amp; Iterate (Post-Launch Learning) · Metrics, Experiments, User Research &amp; Feedback · Honest Attribution &amp; Business Impact · Product Management · Trade-offs (Speed, UX, Business Impact, Compliance, Operational Complexity) · Cross-Functional (Engineering, Design, Data, Operations, Compliance, Business) · Product Sense · Payments &amp; Financial-Product Workflows · Strong Writing, Prioritization &amp; Stakeholder Management · High Ownership with Limited Guidance · Consumer &amp; High-Growth Products · Decisions with Incomplete Information</w:t>
      </w:r>
    </w:p>
    <w:p>
      <w:pPr>
        <w:spacing w:before="120" w:after="5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4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7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40" w:before="0" w:line="254"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pStyle w:val="ListBullet"/>
        <w:spacing w:after="40" w:before="0" w:line="254" w:lineRule="auto"/>
      </w:pPr>
      <w:r>
        <w:rPr>
          <w:rFonts w:ascii="Calibri" w:hAnsi="Calibri"/>
          <w:b w:val="0"/>
          <w:i w:val="0"/>
          <w:sz w:val="19"/>
        </w:rPr>
        <w:t>Own the full product suite — consumer app, student &amp; teacher LMS, advisor CRM, renewal engine, and in-house AI layer — for a platform with 150,000+ enrolled users and 30,000+ daily active users, leading a cross-functional squad of 8 engineers and 2 QA from discovery to launch.</w:t>
      </w:r>
    </w:p>
    <w:p>
      <w:pPr>
        <w:pStyle w:val="ListBullet"/>
        <w:spacing w:after="40" w:before="0" w:line="254" w:lineRule="auto"/>
      </w:pPr>
      <w:r>
        <w:rPr>
          <w:rFonts w:ascii="Calibri" w:hAnsi="Calibri"/>
          <w:b w:val="0"/>
          <w:i w:val="0"/>
          <w:sz w:val="19"/>
        </w:rPr>
        <w:t>Designed an in-product renewal engine (nudges, early-bird access, LMS free-trial classes, teacher-initiated renewals) that reduced assisted-renewal cost and generated ₹70L in product-led renewals in a single month (Jan 2025).</w:t>
      </w:r>
    </w:p>
    <w:p>
      <w:pPr>
        <w:pStyle w:val="ListBullet"/>
        <w:spacing w:after="40" w:before="0" w:line="254" w:lineRule="auto"/>
      </w:pPr>
      <w:r>
        <w:rPr>
          <w:rFonts w:ascii="Calibri" w:hAnsi="Calibri"/>
          <w:b w:val="0"/>
          <w:i w:val="0"/>
          <w:sz w:val="19"/>
        </w:rPr>
        <w:t>Increased the share of enrolled users rating the product 5 out of 5 from 10% to 25% via onboarding and retention work: seamless onboarding, teacher PTMs and feedback, a one-page student-detail UI, a loyalty program, and the PSpark in-app wallet.</w:t>
      </w:r>
    </w:p>
    <w:p>
      <w:pPr>
        <w:pStyle w:val="ListBullet"/>
        <w:spacing w:after="40" w:before="0" w:line="254" w:lineRule="auto"/>
      </w:pPr>
      <w:r>
        <w:rPr>
          <w:rFonts w:ascii="Calibri" w:hAnsi="Calibri"/>
          <w:b w:val="0"/>
          <w:i w:val="0"/>
          <w:sz w:val="19"/>
        </w:rPr>
        <w:t>Shipped a production GenAI learning layer (age-appropriate speech/text responses) and a RAG-based support chatbot — cutting first-response time from 4 minutes to under 10 seconds and monthly escalations from ~300 to under 50 within three months.</w:t>
      </w:r>
    </w:p>
    <w:p>
      <w:pPr>
        <w:tabs>
          <w:tab w:pos="10546" w:val="right"/>
        </w:tabs>
        <w:spacing w:before="7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40" w:before="0" w:line="254"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40" w:before="0" w:line="254" w:lineRule="auto"/>
      </w:pPr>
      <w:r>
        <w:rPr>
          <w:rFonts w:ascii="Calibri" w:hAnsi="Calibri"/>
          <w:b w:val="0"/>
          <w:i w:val="0"/>
          <w:sz w:val="19"/>
        </w:rPr>
        <w:t>Automated enrolment verification and incentive flows to 100% coverage and revamped the advisor CRM (lead navigation, calling, revenue &amp; target tracking) — cutting operations workload 80% and saving ₹1.6L/month.</w:t>
      </w:r>
    </w:p>
    <w:p>
      <w:pPr>
        <w:pStyle w:val="ListBullet"/>
        <w:spacing w:after="40" w:before="0" w:line="254" w:lineRule="auto"/>
      </w:pPr>
      <w:r>
        <w:rPr>
          <w:rFonts w:ascii="Calibri" w:hAnsi="Calibri"/>
          <w:b w:val="0"/>
          <w:i w:val="0"/>
          <w:sz w:val="19"/>
        </w:rPr>
        <w:t>Launched organic acquisition loops surfacing student progress (Sparkline, Word Wisdom, practice classes, workshops) across social channels, bringing 2,000+ organic leads/month at a 7% conversion rate.</w:t>
      </w:r>
    </w:p>
    <w:p>
      <w:pPr>
        <w:tabs>
          <w:tab w:pos="10546" w:val="right"/>
        </w:tabs>
        <w:spacing w:before="7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40" w:before="0" w:line="254" w:lineRule="auto"/>
      </w:pPr>
      <w:r>
        <w:rPr>
          <w:rFonts w:ascii="Calibri" w:hAnsi="Calibri"/>
          <w:b w:val="0"/>
          <w:i w:val="0"/>
          <w:sz w:val="19"/>
        </w:rPr>
        <w:t>Implemented customer-verification controls that reduced invalid or fraudulent transactions from 10% to 1% while minimizing manual intervention.</w:t>
      </w:r>
    </w:p>
    <w:p>
      <w:pPr>
        <w:spacing w:before="120" w:after="50"/>
        <w:pBdr>
          <w:bottom w:val="single" w:sz="6" w:space="1" w:color="2E5AAC"/>
        </w:pBdr>
      </w:pPr>
      <w:r>
        <w:rPr>
          <w:rFonts w:ascii="Calibri" w:hAnsi="Calibri"/>
          <w:b/>
          <w:color w:val="1F3864"/>
          <w:sz w:val="22"/>
        </w:rPr>
        <w:t>TECHNICAL SKILLS &amp; TOOLS</w:t>
      </w:r>
    </w:p>
    <w:p>
      <w:pPr>
        <w:pStyle w:val="ListBullet"/>
        <w:spacing w:after="40" w:before="0" w:line="254" w:lineRule="auto"/>
      </w:pPr>
      <w:r>
        <w:rPr>
          <w:rFonts w:ascii="Calibri" w:hAnsi="Calibri"/>
          <w:b/>
          <w:i w:val="0"/>
          <w:sz w:val="19"/>
        </w:rPr>
        <w:t xml:space="preserve">Data &amp; Experiments: </w:t>
      </w:r>
      <w:r>
        <w:rPr>
          <w:rFonts w:ascii="Calibri" w:hAnsi="Calibri"/>
          <w:b w:val="0"/>
          <w:i w:val="0"/>
          <w:sz w:val="19"/>
        </w:rPr>
        <w:t>SQL, GA4, Power BI, A/B testing, attribution (UTM/CRM), user research, post-launch analytics, MS Excel (Advanced)</w:t>
      </w:r>
    </w:p>
    <w:p>
      <w:pPr>
        <w:pStyle w:val="ListBullet"/>
        <w:spacing w:after="40" w:before="0" w:line="254" w:lineRule="auto"/>
      </w:pPr>
      <w:r>
        <w:rPr>
          <w:rFonts w:ascii="Calibri" w:hAnsi="Calibri"/>
          <w:b/>
          <w:i w:val="0"/>
          <w:sz w:val="19"/>
        </w:rPr>
        <w:t xml:space="preserve">Product &amp; Delivery: </w:t>
      </w:r>
      <w:r>
        <w:rPr>
          <w:rFonts w:ascii="Calibri" w:hAnsi="Calibri"/>
          <w:b w:val="0"/>
          <w:i w:val="0"/>
          <w:sz w:val="19"/>
        </w:rPr>
        <w:t>Product-area ownership, roadmap &amp; launch plans, PRDs, success metrics, RICE prioritization, JIRA, Confluence, Agile/Scrum</w:t>
      </w:r>
    </w:p>
    <w:p>
      <w:pPr>
        <w:pStyle w:val="ListBullet"/>
        <w:spacing w:after="40" w:before="0" w:line="254" w:lineRule="auto"/>
      </w:pPr>
      <w:r>
        <w:rPr>
          <w:rFonts w:ascii="Calibri" w:hAnsi="Calibri"/>
          <w:b/>
          <w:i w:val="0"/>
          <w:sz w:val="19"/>
        </w:rPr>
        <w:t xml:space="preserve">AI &amp; Integration: </w:t>
      </w:r>
      <w:r>
        <w:rPr>
          <w:rFonts w:ascii="Calibri" w:hAnsi="Calibri"/>
          <w:b w:val="0"/>
          <w:i w:val="0"/>
          <w:sz w:val="19"/>
        </w:rPr>
        <w:t>OpenAI / Gemini / Claude APIs, Claude Code, Prompt Engineering, RAG, REST APIs, Payment Integrations, verification/compliance flows</w:t>
      </w:r>
    </w:p>
    <w:p>
      <w:pPr>
        <w:spacing w:before="120" w:after="50"/>
        <w:pBdr>
          <w:bottom w:val="single" w:sz="6" w:space="1" w:color="2E5AAC"/>
        </w:pBdr>
      </w:pPr>
      <w:r>
        <w:rPr>
          <w:rFonts w:ascii="Calibri" w:hAnsi="Calibri"/>
          <w:b/>
          <w:color w:val="1F3864"/>
          <w:sz w:val="22"/>
        </w:rPr>
        <w:t>EDUCATION &amp; CERTIFICATIONS</w:t>
      </w:r>
    </w:p>
    <w:p>
      <w:pPr>
        <w:tabs>
          <w:tab w:pos="10546" w:val="right"/>
        </w:tabs>
        <w:spacing w:after="40"/>
      </w:pPr>
      <w:r>
        <w:rPr>
          <w:rFonts w:ascii="Calibri" w:hAnsi="Calibri"/>
          <w:b/>
          <w:i w:val="0"/>
          <w:sz w:val="19"/>
        </w:rPr>
        <w:t>BBA — Chandigarh University, Chandigarh</w:t>
      </w:r>
      <w:r>
        <w:rPr>
          <w:rFonts w:ascii="Calibri" w:hAnsi="Calibri"/>
          <w:b w:val="0"/>
          <w:i w:val="0"/>
          <w:color w:val="444444"/>
          <w:sz w:val="19"/>
        </w:rPr>
        <w:tab/>
        <w:t>2018 – 2021</w:t>
      </w:r>
    </w:p>
    <w:p>
      <w:pPr>
        <w:spacing w:after="4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0"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