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Growth &amp; Monetisation  |  Subscription, Renewals, Pricing &amp; Free-to-Paid Conversion  |  A/B Testing &amp; Monetisation Metrics (ARPU, LTV, Retention)  |  Indian Consumer, UPI-First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whose core is growth and monetisation — turning a free, habit-forming product into sustainable revenue without breaking user trust. Built the monetisation engine (20% revenue growth, 25% ARPU expansion), a subscription/renewal engine (₹70L in a single month, trial mechanics, renewal optimisation), and the free-to-paid conversion funnel. Runs A/B testing end-to-end, owns monetisation metrics (ARPU, conversion, LTV, retention), and understands ARPU and retention are coupled — for a price-sensitive, UPI-first Indian market.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(D2C) marketplace connecting students and teachers via a shared LMS — with end-to-end ownership of monetisation: pricing/packaging, the subscription/renewal funnel, free-to-paid conversion, and the experimentation engine behind them.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Monetisation, Subscription &amp; Free-to-Paid Conversion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monetisation engine (LPP module) — pricing and packaging for a price-sensitive market — driving 20% revenue growth, 25% ARPU expansion (₹35K → ₹45K), and 50% higher revenue per class.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Designed a subscription/renewal engine — trial mechanics (LMS free-trial classes), nudges, early-bird access, and renewal optimisation — that generated ₹70L in renewals in a single month without eroding engagement.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Owned the free-to-paid conversion journey end-to-end (first open → first payment): re-architected the sign-up → enrolment funnel (single-step OTP, best-fit ranking, 6 UPI/card payment gateways with pre-filled links) to lift conversion.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Experimentation, Metrics &amp; Instrumentation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Ran A/B testing end-to-end across monetisation surfaces (pricing, placement, copy) — knowing what valid looks like and what to do when results are inconclusive — from a hypothesis backlog with defined expected outcomes.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Owned monetisation metrics and funnel instrumentation: ARPU, conversion rate, LTV/unit economics, and retention — built Power BI dashboards from Metabase SQL and a counselor-wise P&amp;L tracker, turning data into an actionable insight pipeline.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Grew revenue while protecting engagement — organic acquisition loops (2,000+ leads/month at 7% conversion) and retention-led renewals — because ARPU and retention are coupled.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Indian Consumer, AI &amp; Ownership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for Indian consumer behaviour — price sensitivity and UPI-first payments — integrating 6 payment gateways (Razorpay, PayU, PayGlocal, PayPal) with UPI/card support.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layer and automated core processes (verification, incentives) — cutting operational workload 80% — operating with high ownership from zero-to-one.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Growth &amp; Monetisation · Subscription &amp; Renewal Funnel · Pricing &amp; Packaging · Trial Mechanics &amp; Renewal Optimisation · Free-to-Paid Conversion (First Open → First Payment) · A/B Testing &amp; Experimentation Engine · Monetisation Metrics (ARPU, Conversion Rate, LTV, Retention/Churn) · Funnel Instrumentation &amp; Dashboards · Hypothesis Backlog &amp; Actionable Insight Pipeline · SQL &amp; Data-Driven Decisions · Indian Consumer Behaviour, UPI-First Payments &amp; Price Sensitivity · High Ownership (Zero-to-One)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Monetisation &amp; Growth: </w:t>
      </w:r>
      <w:r>
        <w:rPr>
          <w:rFonts w:ascii="Calibri" w:hAnsi="Calibri"/>
          <w:b w:val="0"/>
          <w:i w:val="0"/>
          <w:sz w:val="19"/>
        </w:rPr>
        <w:t>Pricing/packaging, subscription &amp; renewal funnels, trial mechanics, free-to-paid conversion, ARPU/LTV/retention, funnel optimisation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Experimentation &amp; Data: </w:t>
      </w:r>
      <w:r>
        <w:rPr>
          <w:rFonts w:ascii="Calibri" w:hAnsi="Calibri"/>
          <w:b w:val="0"/>
          <w:i w:val="0"/>
          <w:sz w:val="19"/>
        </w:rPr>
        <w:t>A/B testing, hypothesis backlog, SQL, Metabase, Power BI, GA4, dashboards &amp; instrumentation, MS Excel (Advanced)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PRDs, roadmap, RICE prioritization, JIRA, Confluence, Agile/Scrum; payment-gateway integration (UPI/cards)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Prototyping: </w:t>
      </w:r>
      <w:r>
        <w:rPr>
          <w:rFonts w:ascii="Calibri" w:hAnsi="Calibri"/>
          <w:b w:val="0"/>
          <w:i w:val="0"/>
          <w:sz w:val="19"/>
        </w:rPr>
        <w:t>OpenAI / Gemini / Claude APIs, Prompt Engineering; Figma, wireframing, clickable prototypes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