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71FF" w14:textId="77777777" w:rsidR="00086C5C" w:rsidRPr="00086C5C" w:rsidRDefault="00086C5C" w:rsidP="00086C5C">
      <w:pPr>
        <w:rPr>
          <w:b/>
          <w:bCs/>
        </w:rPr>
      </w:pPr>
      <w:r w:rsidRPr="00086C5C">
        <w:rPr>
          <w:b/>
          <w:bCs/>
        </w:rPr>
        <w:t>Application User Flow – Step-by-Step</w:t>
      </w:r>
    </w:p>
    <w:p w14:paraId="72882FC1" w14:textId="77777777" w:rsidR="00086C5C" w:rsidRPr="00086C5C" w:rsidRDefault="00086C5C" w:rsidP="00086C5C">
      <w:pPr>
        <w:rPr>
          <w:b/>
          <w:bCs/>
        </w:rPr>
      </w:pPr>
      <w:r w:rsidRPr="00086C5C">
        <w:rPr>
          <w:b/>
          <w:bCs/>
        </w:rPr>
        <w:t>Step 1: Access the Application</w:t>
      </w:r>
    </w:p>
    <w:p w14:paraId="6D9D0382" w14:textId="77777777" w:rsidR="00086C5C" w:rsidRPr="00086C5C" w:rsidRDefault="00086C5C" w:rsidP="00086C5C">
      <w:pPr>
        <w:numPr>
          <w:ilvl w:val="0"/>
          <w:numId w:val="1"/>
        </w:numPr>
      </w:pPr>
      <w:r w:rsidRPr="00086C5C">
        <w:t>Open the PayOps application.</w:t>
      </w:r>
    </w:p>
    <w:p w14:paraId="3B9C90EE" w14:textId="77777777" w:rsidR="00086C5C" w:rsidRPr="00086C5C" w:rsidRDefault="00086C5C" w:rsidP="00086C5C">
      <w:pPr>
        <w:numPr>
          <w:ilvl w:val="0"/>
          <w:numId w:val="1"/>
        </w:numPr>
      </w:pPr>
      <w:r w:rsidRPr="00086C5C">
        <w:t xml:space="preserve">On the landing page, click on the </w:t>
      </w:r>
      <w:r w:rsidRPr="00086C5C">
        <w:rPr>
          <w:b/>
          <w:bCs/>
        </w:rPr>
        <w:t>Get Started / Login</w:t>
      </w:r>
      <w:r w:rsidRPr="00086C5C">
        <w:t xml:space="preserve"> option highlighted in the red box.</w:t>
      </w:r>
    </w:p>
    <w:p w14:paraId="0070DA4C" w14:textId="77777777" w:rsidR="00086C5C" w:rsidRPr="00086C5C" w:rsidRDefault="00086C5C" w:rsidP="00086C5C">
      <w:pPr>
        <w:numPr>
          <w:ilvl w:val="0"/>
          <w:numId w:val="1"/>
        </w:numPr>
      </w:pPr>
      <w:r w:rsidRPr="00086C5C">
        <w:t>Proceed with the required authentication details to access the application.</w:t>
      </w:r>
    </w:p>
    <w:p w14:paraId="0473554D" w14:textId="77777777" w:rsidR="00086C5C" w:rsidRPr="00086C5C" w:rsidRDefault="00086C5C" w:rsidP="00086C5C">
      <w:pPr>
        <w:numPr>
          <w:ilvl w:val="0"/>
          <w:numId w:val="1"/>
        </w:numPr>
      </w:pPr>
      <w:r w:rsidRPr="00086C5C">
        <w:t>Once successfully logged in, the user will be redirected to the application dashboard.</w:t>
      </w:r>
    </w:p>
    <w:p w14:paraId="579C2D95" w14:textId="77777777" w:rsidR="00086C5C" w:rsidRPr="00086C5C" w:rsidRDefault="00086C5C" w:rsidP="00086C5C">
      <w:r w:rsidRPr="00086C5C">
        <w:rPr>
          <w:b/>
          <w:bCs/>
        </w:rPr>
        <w:t>Red Mark:</w:t>
      </w:r>
      <w:r w:rsidRPr="00086C5C">
        <w:t xml:space="preserve"> The red box highlights the </w:t>
      </w:r>
      <w:r w:rsidRPr="00086C5C">
        <w:rPr>
          <w:b/>
          <w:bCs/>
        </w:rPr>
        <w:t>Get Started/Login option</w:t>
      </w:r>
      <w:r w:rsidRPr="00086C5C">
        <w:t>, which is the entry point to access the application</w:t>
      </w:r>
    </w:p>
    <w:p w14:paraId="5466776D" w14:textId="3244F67B" w:rsidR="004917F9" w:rsidRDefault="004917F9"/>
    <w:p w14:paraId="4E98FF28" w14:textId="1AB0991D" w:rsidR="00086C5C" w:rsidRDefault="00086C5C">
      <w:r w:rsidRPr="004917F9">
        <w:rPr>
          <w:noProof/>
        </w:rPr>
        <w:drawing>
          <wp:inline distT="0" distB="0" distL="0" distR="0" wp14:anchorId="03EEAB81" wp14:editId="157321A3">
            <wp:extent cx="5731510" cy="3094990"/>
            <wp:effectExtent l="0" t="0" r="2540" b="0"/>
            <wp:docPr id="14105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6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DEE5" w14:textId="621DABD8" w:rsidR="004917F9" w:rsidRDefault="004917F9">
      <w:r w:rsidRPr="004917F9">
        <w:rPr>
          <w:noProof/>
        </w:rPr>
        <w:lastRenderedPageBreak/>
        <w:drawing>
          <wp:inline distT="0" distB="0" distL="0" distR="0" wp14:anchorId="27567B46" wp14:editId="56D8403B">
            <wp:extent cx="5731510" cy="2886075"/>
            <wp:effectExtent l="0" t="0" r="2540" b="9525"/>
            <wp:docPr id="30024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44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5F89" w14:textId="77777777" w:rsidR="00086C5C" w:rsidRPr="00086C5C" w:rsidRDefault="00086C5C" w:rsidP="00086C5C">
      <w:pPr>
        <w:rPr>
          <w:b/>
          <w:bCs/>
        </w:rPr>
      </w:pPr>
      <w:r w:rsidRPr="00086C5C">
        <w:rPr>
          <w:b/>
          <w:bCs/>
        </w:rPr>
        <w:t>Step 2: Access the Dashboard</w:t>
      </w:r>
    </w:p>
    <w:p w14:paraId="4878C1D7" w14:textId="77777777" w:rsidR="00086C5C" w:rsidRPr="00086C5C" w:rsidRDefault="00086C5C" w:rsidP="00086C5C">
      <w:pPr>
        <w:numPr>
          <w:ilvl w:val="0"/>
          <w:numId w:val="2"/>
        </w:numPr>
      </w:pPr>
      <w:r w:rsidRPr="00086C5C">
        <w:t xml:space="preserve">After logging in, the user is redirected to the </w:t>
      </w:r>
      <w:r w:rsidRPr="00086C5C">
        <w:rPr>
          <w:b/>
          <w:bCs/>
        </w:rPr>
        <w:t>Dashboard</w:t>
      </w:r>
      <w:r w:rsidRPr="00086C5C">
        <w:t>.</w:t>
      </w:r>
    </w:p>
    <w:p w14:paraId="5BB14259" w14:textId="77777777" w:rsidR="00086C5C" w:rsidRPr="00086C5C" w:rsidRDefault="00086C5C" w:rsidP="00086C5C">
      <w:pPr>
        <w:numPr>
          <w:ilvl w:val="0"/>
          <w:numId w:val="2"/>
        </w:numPr>
      </w:pPr>
      <w:r w:rsidRPr="00086C5C">
        <w:t>The dashboard provides an overview of invoice-related information and key business metrics.</w:t>
      </w:r>
    </w:p>
    <w:p w14:paraId="3A4B4A17" w14:textId="77777777" w:rsidR="00086C5C" w:rsidRPr="00086C5C" w:rsidRDefault="00086C5C" w:rsidP="00086C5C">
      <w:pPr>
        <w:numPr>
          <w:ilvl w:val="0"/>
          <w:numId w:val="2"/>
        </w:numPr>
      </w:pPr>
      <w:r w:rsidRPr="00086C5C">
        <w:t>The user can navigate through different modules using the left-side navigation menu.</w:t>
      </w:r>
    </w:p>
    <w:p w14:paraId="7566348F" w14:textId="77777777" w:rsidR="00086C5C" w:rsidRPr="00086C5C" w:rsidRDefault="00086C5C" w:rsidP="00086C5C">
      <w:pPr>
        <w:numPr>
          <w:ilvl w:val="0"/>
          <w:numId w:val="2"/>
        </w:numPr>
      </w:pPr>
      <w:r w:rsidRPr="00086C5C">
        <w:t xml:space="preserve">The </w:t>
      </w:r>
      <w:r w:rsidRPr="00086C5C">
        <w:rPr>
          <w:b/>
          <w:bCs/>
        </w:rPr>
        <w:t>red highlighted area</w:t>
      </w:r>
      <w:r w:rsidRPr="00086C5C">
        <w:t xml:space="preserve"> on the top-right indicates the notification/activity section, where users can view relevant updates or notifications.</w:t>
      </w:r>
    </w:p>
    <w:p w14:paraId="6CFB5AD7" w14:textId="77777777" w:rsidR="00086C5C" w:rsidRPr="00086C5C" w:rsidRDefault="00086C5C" w:rsidP="00086C5C">
      <w:pPr>
        <w:numPr>
          <w:ilvl w:val="0"/>
          <w:numId w:val="2"/>
        </w:numPr>
      </w:pPr>
      <w:r w:rsidRPr="00086C5C">
        <w:t>The highlighted action button can be used to perform the available dashboard action.</w:t>
      </w:r>
    </w:p>
    <w:p w14:paraId="01D8E4EB" w14:textId="77777777" w:rsidR="00086C5C" w:rsidRPr="00086C5C" w:rsidRDefault="00086C5C" w:rsidP="00086C5C">
      <w:r w:rsidRPr="00086C5C">
        <w:rPr>
          <w:b/>
          <w:bCs/>
        </w:rPr>
        <w:t>Red Mark:</w:t>
      </w:r>
      <w:r w:rsidRPr="00086C5C">
        <w:t xml:space="preserve"> The red boxes highlight the </w:t>
      </w:r>
      <w:r w:rsidRPr="00086C5C">
        <w:rPr>
          <w:b/>
          <w:bCs/>
        </w:rPr>
        <w:t>notification/activity area</w:t>
      </w:r>
      <w:r w:rsidRPr="00086C5C">
        <w:t xml:space="preserve"> and the relevant </w:t>
      </w:r>
      <w:r w:rsidRPr="00086C5C">
        <w:rPr>
          <w:b/>
          <w:bCs/>
        </w:rPr>
        <w:t>dashboard action button</w:t>
      </w:r>
      <w:r w:rsidRPr="00086C5C">
        <w:t>.</w:t>
      </w:r>
    </w:p>
    <w:p w14:paraId="2EE9584B" w14:textId="77777777" w:rsidR="00086C5C" w:rsidRDefault="00086C5C"/>
    <w:p w14:paraId="740AD080" w14:textId="51BB6F2C" w:rsidR="006D262A" w:rsidRDefault="006D262A">
      <w:r w:rsidRPr="006D262A">
        <w:rPr>
          <w:noProof/>
        </w:rPr>
        <w:lastRenderedPageBreak/>
        <w:drawing>
          <wp:inline distT="0" distB="0" distL="0" distR="0" wp14:anchorId="1EA4CEB7" wp14:editId="6B95A011">
            <wp:extent cx="5731510" cy="3085465"/>
            <wp:effectExtent l="0" t="0" r="2540" b="635"/>
            <wp:docPr id="76130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04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0187" w14:textId="77777777" w:rsidR="00086C5C" w:rsidRPr="00086C5C" w:rsidRDefault="00086C5C" w:rsidP="00086C5C">
      <w:pPr>
        <w:rPr>
          <w:b/>
          <w:bCs/>
        </w:rPr>
      </w:pPr>
      <w:r w:rsidRPr="00086C5C">
        <w:rPr>
          <w:b/>
          <w:bCs/>
        </w:rPr>
        <w:t>Step 3: Upload Invoices</w:t>
      </w:r>
    </w:p>
    <w:p w14:paraId="6F0966A4" w14:textId="77777777" w:rsidR="00086C5C" w:rsidRPr="00086C5C" w:rsidRDefault="00086C5C" w:rsidP="00086C5C">
      <w:pPr>
        <w:numPr>
          <w:ilvl w:val="0"/>
          <w:numId w:val="3"/>
        </w:numPr>
      </w:pPr>
      <w:r w:rsidRPr="00086C5C">
        <w:t xml:space="preserve">From the Dashboard, navigate to the </w:t>
      </w:r>
      <w:r w:rsidRPr="00086C5C">
        <w:rPr>
          <w:b/>
          <w:bCs/>
        </w:rPr>
        <w:t>Invoice Upload</w:t>
      </w:r>
      <w:r w:rsidRPr="00086C5C">
        <w:t xml:space="preserve"> option.</w:t>
      </w:r>
    </w:p>
    <w:p w14:paraId="56B3902C" w14:textId="77777777" w:rsidR="00086C5C" w:rsidRPr="00086C5C" w:rsidRDefault="00086C5C" w:rsidP="00086C5C">
      <w:pPr>
        <w:numPr>
          <w:ilvl w:val="0"/>
          <w:numId w:val="3"/>
        </w:numPr>
      </w:pPr>
      <w:r w:rsidRPr="00086C5C">
        <w:t>Select and upload the required invoice document(s).</w:t>
      </w:r>
    </w:p>
    <w:p w14:paraId="41AEC5B8" w14:textId="77777777" w:rsidR="00086C5C" w:rsidRPr="00086C5C" w:rsidRDefault="00086C5C" w:rsidP="00086C5C">
      <w:pPr>
        <w:numPr>
          <w:ilvl w:val="0"/>
          <w:numId w:val="3"/>
        </w:numPr>
      </w:pPr>
      <w:r w:rsidRPr="00086C5C">
        <w:t>The uploaded invoice is submitted to the application for further processing.</w:t>
      </w:r>
    </w:p>
    <w:p w14:paraId="68E40699" w14:textId="77777777" w:rsidR="00086C5C" w:rsidRPr="00086C5C" w:rsidRDefault="00086C5C" w:rsidP="00086C5C">
      <w:pPr>
        <w:numPr>
          <w:ilvl w:val="0"/>
          <w:numId w:val="3"/>
        </w:numPr>
      </w:pPr>
      <w:r w:rsidRPr="00086C5C">
        <w:t xml:space="preserve">Once the invoice is successfully uploaded, it proceeds to the </w:t>
      </w:r>
      <w:r w:rsidRPr="00086C5C">
        <w:rPr>
          <w:b/>
          <w:bCs/>
        </w:rPr>
        <w:t>AI-based extraction process</w:t>
      </w:r>
      <w:r w:rsidRPr="00086C5C">
        <w:t>.</w:t>
      </w:r>
    </w:p>
    <w:p w14:paraId="0EDE04DC" w14:textId="77777777" w:rsidR="00086C5C" w:rsidRPr="00086C5C" w:rsidRDefault="00086C5C" w:rsidP="00086C5C">
      <w:r w:rsidRPr="00086C5C">
        <w:rPr>
          <w:b/>
          <w:bCs/>
        </w:rPr>
        <w:t>Red Mark:</w:t>
      </w:r>
      <w:r w:rsidRPr="00086C5C">
        <w:t xml:space="preserve"> The red highlighted area indicates the </w:t>
      </w:r>
      <w:r w:rsidRPr="00086C5C">
        <w:rPr>
          <w:b/>
          <w:bCs/>
        </w:rPr>
        <w:t>invoice upload/action option</w:t>
      </w:r>
      <w:r w:rsidRPr="00086C5C">
        <w:t>.</w:t>
      </w:r>
    </w:p>
    <w:p w14:paraId="3394E14E" w14:textId="77777777" w:rsidR="00086C5C" w:rsidRDefault="00086C5C"/>
    <w:p w14:paraId="0DCDC3A3" w14:textId="622C4189" w:rsidR="004917F9" w:rsidRDefault="004917F9">
      <w:r w:rsidRPr="004917F9">
        <w:rPr>
          <w:noProof/>
        </w:rPr>
        <w:drawing>
          <wp:inline distT="0" distB="0" distL="0" distR="0" wp14:anchorId="56DB0DD1" wp14:editId="2C33496F">
            <wp:extent cx="5731510" cy="3008630"/>
            <wp:effectExtent l="0" t="0" r="2540" b="1270"/>
            <wp:docPr id="52479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3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BBB6" w14:textId="77777777" w:rsidR="00086C5C" w:rsidRPr="00086C5C" w:rsidRDefault="00086C5C" w:rsidP="00086C5C">
      <w:pPr>
        <w:rPr>
          <w:b/>
          <w:bCs/>
        </w:rPr>
      </w:pPr>
      <w:r w:rsidRPr="00086C5C">
        <w:rPr>
          <w:b/>
          <w:bCs/>
        </w:rPr>
        <w:lastRenderedPageBreak/>
        <w:t>Step 4: AI-Based Invoice Extraction</w:t>
      </w:r>
    </w:p>
    <w:p w14:paraId="3E0E183F" w14:textId="77777777" w:rsidR="00086C5C" w:rsidRPr="00086C5C" w:rsidRDefault="00086C5C" w:rsidP="00086C5C">
      <w:pPr>
        <w:numPr>
          <w:ilvl w:val="0"/>
          <w:numId w:val="4"/>
        </w:numPr>
      </w:pPr>
      <w:r w:rsidRPr="00086C5C">
        <w:t xml:space="preserve">After the invoice is uploaded, the application uses </w:t>
      </w:r>
      <w:r w:rsidRPr="00086C5C">
        <w:rPr>
          <w:b/>
          <w:bCs/>
        </w:rPr>
        <w:t>AI-based extraction</w:t>
      </w:r>
      <w:r w:rsidRPr="00086C5C">
        <w:t xml:space="preserve"> to process the invoice.</w:t>
      </w:r>
    </w:p>
    <w:p w14:paraId="3DC50EB7" w14:textId="77777777" w:rsidR="00086C5C" w:rsidRPr="00086C5C" w:rsidRDefault="00086C5C" w:rsidP="00086C5C">
      <w:pPr>
        <w:numPr>
          <w:ilvl w:val="0"/>
          <w:numId w:val="4"/>
        </w:numPr>
      </w:pPr>
      <w:r w:rsidRPr="00086C5C">
        <w:t>Relevant information is automatically extracted from the uploaded invoice.</w:t>
      </w:r>
    </w:p>
    <w:p w14:paraId="4BD2568D" w14:textId="77777777" w:rsidR="00086C5C" w:rsidRPr="00086C5C" w:rsidRDefault="00086C5C" w:rsidP="00086C5C">
      <w:pPr>
        <w:numPr>
          <w:ilvl w:val="0"/>
          <w:numId w:val="4"/>
        </w:numPr>
      </w:pPr>
      <w:r w:rsidRPr="00086C5C">
        <w:t>The extracted information is then made available for review and further processing.</w:t>
      </w:r>
    </w:p>
    <w:p w14:paraId="5F4F316B" w14:textId="77777777" w:rsidR="00086C5C" w:rsidRPr="00086C5C" w:rsidRDefault="00086C5C" w:rsidP="00086C5C">
      <w:pPr>
        <w:numPr>
          <w:ilvl w:val="0"/>
          <w:numId w:val="4"/>
        </w:numPr>
      </w:pPr>
      <w:r w:rsidRPr="00086C5C">
        <w:t>This reduces the need for manual data entry and allows users to validate the extracted invoice details.</w:t>
      </w:r>
    </w:p>
    <w:p w14:paraId="7C27B9AC" w14:textId="77777777" w:rsidR="00086C5C" w:rsidRPr="00086C5C" w:rsidRDefault="00086C5C" w:rsidP="00086C5C">
      <w:r w:rsidRPr="00086C5C">
        <w:rPr>
          <w:b/>
          <w:bCs/>
        </w:rPr>
        <w:t>Red Mark:</w:t>
      </w:r>
      <w:r w:rsidRPr="00086C5C">
        <w:t xml:space="preserve"> The highlighted section indicates the </w:t>
      </w:r>
      <w:r w:rsidRPr="00086C5C">
        <w:rPr>
          <w:b/>
          <w:bCs/>
        </w:rPr>
        <w:t>extracted invoice information/details</w:t>
      </w:r>
      <w:r w:rsidRPr="00086C5C">
        <w:t xml:space="preserve"> generated by the application.</w:t>
      </w:r>
    </w:p>
    <w:p w14:paraId="5A4B9D07" w14:textId="77777777" w:rsidR="00086C5C" w:rsidRDefault="00086C5C"/>
    <w:p w14:paraId="5DE75397" w14:textId="2F5A3124" w:rsidR="004917F9" w:rsidRDefault="004917F9">
      <w:r w:rsidRPr="004917F9">
        <w:rPr>
          <w:noProof/>
        </w:rPr>
        <w:drawing>
          <wp:inline distT="0" distB="0" distL="0" distR="0" wp14:anchorId="321BF105" wp14:editId="73F29214">
            <wp:extent cx="5731510" cy="2982595"/>
            <wp:effectExtent l="0" t="0" r="2540" b="8255"/>
            <wp:docPr id="194307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6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AE23" w14:textId="77777777" w:rsidR="00086C5C" w:rsidRDefault="00086C5C"/>
    <w:p w14:paraId="12653287" w14:textId="77777777" w:rsidR="00086C5C" w:rsidRPr="00086C5C" w:rsidRDefault="00086C5C" w:rsidP="00086C5C">
      <w:pPr>
        <w:rPr>
          <w:b/>
          <w:bCs/>
        </w:rPr>
      </w:pPr>
      <w:r w:rsidRPr="00086C5C">
        <w:rPr>
          <w:b/>
          <w:bCs/>
        </w:rPr>
        <w:t>Step 5: View and Manage Invoices</w:t>
      </w:r>
    </w:p>
    <w:p w14:paraId="4F501D77" w14:textId="77777777" w:rsidR="00086C5C" w:rsidRPr="00086C5C" w:rsidRDefault="00086C5C" w:rsidP="00086C5C">
      <w:pPr>
        <w:numPr>
          <w:ilvl w:val="0"/>
          <w:numId w:val="5"/>
        </w:numPr>
      </w:pPr>
      <w:r w:rsidRPr="00086C5C">
        <w:t xml:space="preserve">Navigate to the </w:t>
      </w:r>
      <w:r w:rsidRPr="00086C5C">
        <w:rPr>
          <w:b/>
          <w:bCs/>
        </w:rPr>
        <w:t>Invoices</w:t>
      </w:r>
      <w:r w:rsidRPr="00086C5C">
        <w:t xml:space="preserve"> section from the left-side navigation menu.</w:t>
      </w:r>
    </w:p>
    <w:p w14:paraId="4F872F74" w14:textId="77777777" w:rsidR="00086C5C" w:rsidRPr="00086C5C" w:rsidRDefault="00086C5C" w:rsidP="00086C5C">
      <w:pPr>
        <w:numPr>
          <w:ilvl w:val="0"/>
          <w:numId w:val="5"/>
        </w:numPr>
      </w:pPr>
      <w:r w:rsidRPr="00086C5C">
        <w:t>The invoice listing page displays the invoices that have been uploaded and processed.</w:t>
      </w:r>
    </w:p>
    <w:p w14:paraId="10344B16" w14:textId="77777777" w:rsidR="00086C5C" w:rsidRPr="00086C5C" w:rsidRDefault="00086C5C" w:rsidP="00086C5C">
      <w:pPr>
        <w:numPr>
          <w:ilvl w:val="0"/>
          <w:numId w:val="5"/>
        </w:numPr>
      </w:pPr>
      <w:r w:rsidRPr="00086C5C">
        <w:t>Select an invoice to open its detailed view.</w:t>
      </w:r>
    </w:p>
    <w:p w14:paraId="41314B95" w14:textId="77777777" w:rsidR="00086C5C" w:rsidRPr="00086C5C" w:rsidRDefault="00086C5C" w:rsidP="00086C5C">
      <w:pPr>
        <w:numPr>
          <w:ilvl w:val="0"/>
          <w:numId w:val="5"/>
        </w:numPr>
      </w:pPr>
      <w:r w:rsidRPr="00086C5C">
        <w:t xml:space="preserve">The invoice detail screen allows the user to review the original invoice along with the </w:t>
      </w:r>
      <w:r w:rsidRPr="00086C5C">
        <w:rPr>
          <w:b/>
          <w:bCs/>
        </w:rPr>
        <w:t>AI-extracted information</w:t>
      </w:r>
      <w:r w:rsidRPr="00086C5C">
        <w:t>.</w:t>
      </w:r>
    </w:p>
    <w:p w14:paraId="1B2D5CA3" w14:textId="77777777" w:rsidR="00086C5C" w:rsidRPr="00086C5C" w:rsidRDefault="00086C5C" w:rsidP="00086C5C">
      <w:pPr>
        <w:numPr>
          <w:ilvl w:val="0"/>
          <w:numId w:val="5"/>
        </w:numPr>
      </w:pPr>
      <w:r w:rsidRPr="00086C5C">
        <w:lastRenderedPageBreak/>
        <w:t>Users can review the extracted details and perform the available invoice-related actions.</w:t>
      </w:r>
    </w:p>
    <w:p w14:paraId="364793F6" w14:textId="77777777" w:rsidR="00086C5C" w:rsidRPr="00086C5C" w:rsidRDefault="00086C5C" w:rsidP="00086C5C">
      <w:r w:rsidRPr="00086C5C">
        <w:rPr>
          <w:b/>
          <w:bCs/>
        </w:rPr>
        <w:t>Red Mark:</w:t>
      </w:r>
      <w:r w:rsidRPr="00086C5C">
        <w:t xml:space="preserve"> The red boxes highlight the </w:t>
      </w:r>
      <w:r w:rsidRPr="00086C5C">
        <w:rPr>
          <w:b/>
          <w:bCs/>
        </w:rPr>
        <w:t>Invoices module</w:t>
      </w:r>
      <w:r w:rsidRPr="00086C5C">
        <w:t xml:space="preserve"> and the </w:t>
      </w:r>
      <w:r w:rsidRPr="00086C5C">
        <w:rPr>
          <w:b/>
          <w:bCs/>
        </w:rPr>
        <w:t>invoice details/extracted information section</w:t>
      </w:r>
      <w:r w:rsidRPr="00086C5C">
        <w:t>.</w:t>
      </w:r>
    </w:p>
    <w:p w14:paraId="58FCB1C6" w14:textId="77777777" w:rsidR="00086C5C" w:rsidRDefault="00086C5C"/>
    <w:p w14:paraId="5D3DBB59" w14:textId="35BFB163" w:rsidR="004917F9" w:rsidRDefault="004917F9">
      <w:r w:rsidRPr="004917F9">
        <w:rPr>
          <w:noProof/>
        </w:rPr>
        <w:drawing>
          <wp:inline distT="0" distB="0" distL="0" distR="0" wp14:anchorId="1604EDAC" wp14:editId="61181404">
            <wp:extent cx="5731510" cy="3014345"/>
            <wp:effectExtent l="0" t="0" r="2540" b="0"/>
            <wp:docPr id="93701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7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5930" w14:textId="30DC98B1" w:rsidR="00086C5C" w:rsidRDefault="00086C5C">
      <w:r w:rsidRPr="00086C5C">
        <w:rPr>
          <w:b/>
          <w:bCs/>
        </w:rPr>
        <w:t>Step 4 – Vendors</w:t>
      </w:r>
      <w:r w:rsidRPr="00086C5C">
        <w:br/>
        <w:t xml:space="preserve">Navigate to </w:t>
      </w:r>
      <w:r w:rsidRPr="00086C5C">
        <w:rPr>
          <w:b/>
          <w:bCs/>
        </w:rPr>
        <w:t>Vendors</w:t>
      </w:r>
      <w:r w:rsidRPr="00086C5C">
        <w:t xml:space="preserve"> to view and manage vendor-related information. The red box highlights the Vendors module.</w:t>
      </w:r>
    </w:p>
    <w:p w14:paraId="5DF79B90" w14:textId="4BAA6985" w:rsidR="004917F9" w:rsidRDefault="006D262A">
      <w:r w:rsidRPr="006D262A">
        <w:rPr>
          <w:noProof/>
        </w:rPr>
        <w:drawing>
          <wp:inline distT="0" distB="0" distL="0" distR="0" wp14:anchorId="639EF0FA" wp14:editId="1336376B">
            <wp:extent cx="5731510" cy="2991485"/>
            <wp:effectExtent l="0" t="0" r="2540" b="0"/>
            <wp:docPr id="111864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43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0565" w14:textId="40143A56" w:rsidR="00086C5C" w:rsidRDefault="00086C5C">
      <w:r w:rsidRPr="00086C5C">
        <w:rPr>
          <w:b/>
          <w:bCs/>
        </w:rPr>
        <w:lastRenderedPageBreak/>
        <w:t>Step 5 – Approvals</w:t>
      </w:r>
      <w:r w:rsidRPr="00086C5C">
        <w:br/>
        <w:t xml:space="preserve">Navigate to </w:t>
      </w:r>
      <w:r w:rsidRPr="00086C5C">
        <w:rPr>
          <w:b/>
          <w:bCs/>
        </w:rPr>
        <w:t>Approvals</w:t>
      </w:r>
      <w:r w:rsidRPr="00086C5C">
        <w:t xml:space="preserve"> to review pending requests and perform the available approval actions. The red box highlights the Approvals module.</w:t>
      </w:r>
    </w:p>
    <w:p w14:paraId="26337BAB" w14:textId="6E1946C1" w:rsidR="004917F9" w:rsidRDefault="004917F9"/>
    <w:p w14:paraId="7BC7486B" w14:textId="359255ED" w:rsidR="004917F9" w:rsidRDefault="004917F9">
      <w:r w:rsidRPr="004917F9">
        <w:rPr>
          <w:noProof/>
        </w:rPr>
        <w:drawing>
          <wp:inline distT="0" distB="0" distL="0" distR="0" wp14:anchorId="49F728C2" wp14:editId="6A5C1CE2">
            <wp:extent cx="5731510" cy="3002280"/>
            <wp:effectExtent l="0" t="0" r="2540" b="7620"/>
            <wp:docPr id="89726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61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0C27" w14:textId="77777777" w:rsidR="00086C5C" w:rsidRDefault="00086C5C"/>
    <w:p w14:paraId="4153D0E8" w14:textId="563242F1" w:rsidR="00086C5C" w:rsidRDefault="00086C5C">
      <w:r w:rsidRPr="00086C5C">
        <w:rPr>
          <w:b/>
          <w:bCs/>
        </w:rPr>
        <w:t>Step 6 – Payments &amp; AI Assistant</w:t>
      </w:r>
      <w:r w:rsidRPr="00086C5C">
        <w:br/>
        <w:t xml:space="preserve">Navigate to </w:t>
      </w:r>
      <w:r w:rsidRPr="00086C5C">
        <w:rPr>
          <w:b/>
          <w:bCs/>
        </w:rPr>
        <w:t>Payments</w:t>
      </w:r>
      <w:r w:rsidRPr="00086C5C">
        <w:t xml:space="preserve"> to review payment records and status. The AI Assistant can also be used to interact with the system through natural-language queries. The red boxes highlight these areas.</w:t>
      </w:r>
    </w:p>
    <w:p w14:paraId="65C97B22" w14:textId="77777777" w:rsidR="00086C5C" w:rsidRDefault="004917F9">
      <w:r w:rsidRPr="004917F9">
        <w:rPr>
          <w:noProof/>
        </w:rPr>
        <w:drawing>
          <wp:inline distT="0" distB="0" distL="0" distR="0" wp14:anchorId="36CC31AA" wp14:editId="4156E851">
            <wp:extent cx="5731510" cy="2990850"/>
            <wp:effectExtent l="0" t="0" r="2540" b="0"/>
            <wp:docPr id="26617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76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CCE0" w14:textId="77777777" w:rsidR="00086C5C" w:rsidRDefault="00086C5C"/>
    <w:p w14:paraId="47FBD67C" w14:textId="77777777" w:rsidR="00086C5C" w:rsidRPr="00086C5C" w:rsidRDefault="00086C5C" w:rsidP="00086C5C">
      <w:pPr>
        <w:rPr>
          <w:b/>
          <w:bCs/>
        </w:rPr>
      </w:pPr>
      <w:r w:rsidRPr="00086C5C">
        <w:rPr>
          <w:b/>
          <w:bCs/>
        </w:rPr>
        <w:lastRenderedPageBreak/>
        <w:t>Step 6: AI Assistant</w:t>
      </w:r>
    </w:p>
    <w:p w14:paraId="23602F49" w14:textId="44F946A2" w:rsidR="00086C5C" w:rsidRPr="00086C5C" w:rsidRDefault="00086C5C" w:rsidP="00086C5C">
      <w:pPr>
        <w:numPr>
          <w:ilvl w:val="0"/>
          <w:numId w:val="7"/>
        </w:numPr>
      </w:pPr>
      <w:r w:rsidRPr="00086C5C">
        <w:t xml:space="preserve">Navigate to the </w:t>
      </w:r>
      <w:r w:rsidRPr="00086C5C">
        <w:rPr>
          <w:b/>
          <w:bCs/>
        </w:rPr>
        <w:t>Payments</w:t>
      </w:r>
      <w:r w:rsidRPr="00086C5C">
        <w:t xml:space="preserve"> </w:t>
      </w:r>
      <w:r>
        <w:t xml:space="preserve">below </w:t>
      </w:r>
      <w:r w:rsidRPr="00086C5C">
        <w:t>section from the left-side navigation menu.</w:t>
      </w:r>
    </w:p>
    <w:p w14:paraId="3C02CE00" w14:textId="77777777" w:rsidR="00086C5C" w:rsidRPr="00086C5C" w:rsidRDefault="00086C5C" w:rsidP="00086C5C">
      <w:pPr>
        <w:numPr>
          <w:ilvl w:val="0"/>
          <w:numId w:val="7"/>
        </w:numPr>
      </w:pPr>
      <w:r w:rsidRPr="00086C5C">
        <w:t xml:space="preserve">The application provides an </w:t>
      </w:r>
      <w:r w:rsidRPr="00086C5C">
        <w:rPr>
          <w:b/>
          <w:bCs/>
        </w:rPr>
        <w:t>AI Assistant</w:t>
      </w:r>
      <w:r w:rsidRPr="00086C5C">
        <w:t xml:space="preserve"> to help users interact with the invoice/payment information using natural-language queries.</w:t>
      </w:r>
    </w:p>
    <w:p w14:paraId="52A59E9B" w14:textId="77777777" w:rsidR="00086C5C" w:rsidRPr="00086C5C" w:rsidRDefault="00086C5C" w:rsidP="00086C5C">
      <w:pPr>
        <w:numPr>
          <w:ilvl w:val="0"/>
          <w:numId w:val="7"/>
        </w:numPr>
      </w:pPr>
      <w:r w:rsidRPr="00086C5C">
        <w:t>Users can enter their questions or requests in the AI Assistant input area.</w:t>
      </w:r>
    </w:p>
    <w:p w14:paraId="36C27A86" w14:textId="77777777" w:rsidR="00086C5C" w:rsidRPr="00086C5C" w:rsidRDefault="00086C5C" w:rsidP="00086C5C">
      <w:pPr>
        <w:numPr>
          <w:ilvl w:val="0"/>
          <w:numId w:val="7"/>
        </w:numPr>
      </w:pPr>
      <w:r w:rsidRPr="00086C5C">
        <w:t>The AI Assistant processes the user's query and provides the relevant information or response.</w:t>
      </w:r>
    </w:p>
    <w:p w14:paraId="5DE334D4" w14:textId="77777777" w:rsidR="00086C5C" w:rsidRPr="00086C5C" w:rsidRDefault="00086C5C" w:rsidP="00086C5C">
      <w:pPr>
        <w:numPr>
          <w:ilvl w:val="0"/>
          <w:numId w:val="7"/>
        </w:numPr>
      </w:pPr>
      <w:r w:rsidRPr="00086C5C">
        <w:t>This enables users to quickly retrieve required information without manually navigating through multiple records or screens.</w:t>
      </w:r>
    </w:p>
    <w:p w14:paraId="706E9429" w14:textId="77777777" w:rsidR="00086C5C" w:rsidRPr="00086C5C" w:rsidRDefault="00086C5C" w:rsidP="00086C5C">
      <w:r w:rsidRPr="00086C5C">
        <w:rPr>
          <w:b/>
          <w:bCs/>
        </w:rPr>
        <w:t>Red Mark:</w:t>
      </w:r>
      <w:r w:rsidRPr="00086C5C">
        <w:t xml:space="preserve"> The red highlighted area indicates the </w:t>
      </w:r>
      <w:r w:rsidRPr="00086C5C">
        <w:rPr>
          <w:b/>
          <w:bCs/>
        </w:rPr>
        <w:t>AI Assistant interface</w:t>
      </w:r>
      <w:r w:rsidRPr="00086C5C">
        <w:t>, where users can enter their queries and interact with the AI Assistant.</w:t>
      </w:r>
    </w:p>
    <w:p w14:paraId="4153FCC4" w14:textId="30DBDE1C" w:rsidR="00086C5C" w:rsidRDefault="004917F9">
      <w:r w:rsidRPr="004917F9">
        <w:rPr>
          <w:noProof/>
        </w:rPr>
        <w:drawing>
          <wp:inline distT="0" distB="0" distL="0" distR="0" wp14:anchorId="272573B7" wp14:editId="5DC71F71">
            <wp:extent cx="5731510" cy="2992120"/>
            <wp:effectExtent l="0" t="0" r="2540" b="0"/>
            <wp:docPr id="208287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75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3739" w14:textId="77777777" w:rsidR="00691BC3" w:rsidRPr="00691BC3" w:rsidRDefault="00691BC3" w:rsidP="00691BC3">
      <w:pPr>
        <w:rPr>
          <w:b/>
          <w:bCs/>
        </w:rPr>
      </w:pPr>
      <w:r w:rsidRPr="00691BC3">
        <w:rPr>
          <w:b/>
          <w:bCs/>
        </w:rPr>
        <w:t>Step 7 – Reports &amp; Integrations</w:t>
      </w:r>
    </w:p>
    <w:p w14:paraId="396C6072" w14:textId="77777777" w:rsidR="00691BC3" w:rsidRPr="00691BC3" w:rsidRDefault="00691BC3" w:rsidP="00691BC3">
      <w:r w:rsidRPr="00691BC3">
        <w:t xml:space="preserve">Navigate to </w:t>
      </w:r>
      <w:r w:rsidRPr="00691BC3">
        <w:rPr>
          <w:b/>
          <w:bCs/>
        </w:rPr>
        <w:t>Reports</w:t>
      </w:r>
      <w:r w:rsidRPr="00691BC3">
        <w:t xml:space="preserve"> to view business metrics, invoice-related summaries, and graphical reports. The Reports section provides a consolidated view of key information, helping users monitor business activities and analyze the available data.</w:t>
      </w:r>
    </w:p>
    <w:p w14:paraId="0DBCCDFC" w14:textId="77777777" w:rsidR="00691BC3" w:rsidRPr="00691BC3" w:rsidRDefault="00691BC3" w:rsidP="00691BC3">
      <w:r w:rsidRPr="00691BC3">
        <w:t xml:space="preserve">Navigate to </w:t>
      </w:r>
      <w:r w:rsidRPr="00691BC3">
        <w:rPr>
          <w:b/>
          <w:bCs/>
        </w:rPr>
        <w:t>Integrations</w:t>
      </w:r>
      <w:r w:rsidRPr="00691BC3">
        <w:t xml:space="preserve"> to view and manage the different </w:t>
      </w:r>
      <w:r w:rsidRPr="00691BC3">
        <w:rPr>
          <w:b/>
          <w:bCs/>
        </w:rPr>
        <w:t>third-party and external system integrations</w:t>
      </w:r>
      <w:r w:rsidRPr="00691BC3">
        <w:t xml:space="preserve"> available within the application. The Integrations section provides a centralized view of the systems/services that can be connected with the application.</w:t>
      </w:r>
    </w:p>
    <w:p w14:paraId="1F36E47C" w14:textId="77777777" w:rsidR="00691BC3" w:rsidRPr="00691BC3" w:rsidRDefault="00691BC3" w:rsidP="00691BC3">
      <w:r w:rsidRPr="00691BC3">
        <w:t>Users can:</w:t>
      </w:r>
    </w:p>
    <w:p w14:paraId="17E83BC5" w14:textId="77777777" w:rsidR="00691BC3" w:rsidRPr="00691BC3" w:rsidRDefault="00691BC3" w:rsidP="00691BC3">
      <w:pPr>
        <w:numPr>
          <w:ilvl w:val="0"/>
          <w:numId w:val="8"/>
        </w:numPr>
      </w:pPr>
      <w:r w:rsidRPr="00691BC3">
        <w:t xml:space="preserve">View the </w:t>
      </w:r>
      <w:r w:rsidRPr="00691BC3">
        <w:rPr>
          <w:b/>
          <w:bCs/>
        </w:rPr>
        <w:t>available integration options</w:t>
      </w:r>
      <w:r w:rsidRPr="00691BC3">
        <w:t xml:space="preserve"> supported by the application.</w:t>
      </w:r>
    </w:p>
    <w:p w14:paraId="4349BC6C" w14:textId="77777777" w:rsidR="00691BC3" w:rsidRPr="00691BC3" w:rsidRDefault="00691BC3" w:rsidP="00691BC3">
      <w:pPr>
        <w:numPr>
          <w:ilvl w:val="0"/>
          <w:numId w:val="8"/>
        </w:numPr>
      </w:pPr>
      <w:r w:rsidRPr="00691BC3">
        <w:t xml:space="preserve">Review the current </w:t>
      </w:r>
      <w:r w:rsidRPr="00691BC3">
        <w:rPr>
          <w:b/>
          <w:bCs/>
        </w:rPr>
        <w:t>integration/configuration status</w:t>
      </w:r>
      <w:r w:rsidRPr="00691BC3">
        <w:t xml:space="preserve"> of each available service.</w:t>
      </w:r>
    </w:p>
    <w:p w14:paraId="7ECE5C7D" w14:textId="77777777" w:rsidR="00691BC3" w:rsidRPr="00691BC3" w:rsidRDefault="00691BC3" w:rsidP="00691BC3">
      <w:pPr>
        <w:numPr>
          <w:ilvl w:val="0"/>
          <w:numId w:val="8"/>
        </w:numPr>
      </w:pPr>
      <w:r w:rsidRPr="00691BC3">
        <w:lastRenderedPageBreak/>
        <w:t>Access the respective integration configuration where applicable.</w:t>
      </w:r>
    </w:p>
    <w:p w14:paraId="4DBF1EC5" w14:textId="77777777" w:rsidR="00691BC3" w:rsidRPr="00691BC3" w:rsidRDefault="00691BC3" w:rsidP="00691BC3">
      <w:pPr>
        <w:numPr>
          <w:ilvl w:val="0"/>
          <w:numId w:val="8"/>
        </w:numPr>
      </w:pPr>
      <w:r w:rsidRPr="00691BC3">
        <w:t>Connect or configure external services to enable data exchange and interoperability with the application.</w:t>
      </w:r>
    </w:p>
    <w:p w14:paraId="380C530B" w14:textId="77777777" w:rsidR="00691BC3" w:rsidRPr="00691BC3" w:rsidRDefault="00691BC3" w:rsidP="00691BC3">
      <w:pPr>
        <w:numPr>
          <w:ilvl w:val="0"/>
          <w:numId w:val="8"/>
        </w:numPr>
      </w:pPr>
      <w:r w:rsidRPr="00691BC3">
        <w:t xml:space="preserve">Manage multiple integrations from a </w:t>
      </w:r>
      <w:r w:rsidRPr="00691BC3">
        <w:rPr>
          <w:b/>
          <w:bCs/>
        </w:rPr>
        <w:t>single centralized interface</w:t>
      </w:r>
      <w:r w:rsidRPr="00691BC3">
        <w:t>, instead of configuring them separately across different modules.</w:t>
      </w:r>
    </w:p>
    <w:p w14:paraId="4BDAA0EA" w14:textId="77777777" w:rsidR="00691BC3" w:rsidRPr="00691BC3" w:rsidRDefault="00691BC3" w:rsidP="00691BC3">
      <w:pPr>
        <w:numPr>
          <w:ilvl w:val="0"/>
          <w:numId w:val="8"/>
        </w:numPr>
      </w:pPr>
      <w:r w:rsidRPr="00691BC3">
        <w:t>Use these integrations to support the overall invoice, payment, and business workflow by allowing the application to communicate with connected external systems.</w:t>
      </w:r>
    </w:p>
    <w:p w14:paraId="1D5C1BA2" w14:textId="77777777" w:rsidR="00691BC3" w:rsidRPr="00691BC3" w:rsidRDefault="00691BC3" w:rsidP="00691BC3">
      <w:r w:rsidRPr="00691BC3">
        <w:rPr>
          <w:b/>
          <w:bCs/>
        </w:rPr>
        <w:t>Red Mark:</w:t>
      </w:r>
      <w:r w:rsidRPr="00691BC3">
        <w:t xml:space="preserve"> The red highlighted boxes indicate the </w:t>
      </w:r>
      <w:r w:rsidRPr="00691BC3">
        <w:rPr>
          <w:b/>
          <w:bCs/>
        </w:rPr>
        <w:t>Reports</w:t>
      </w:r>
      <w:r w:rsidRPr="00691BC3">
        <w:t xml:space="preserve"> and </w:t>
      </w:r>
      <w:r w:rsidRPr="00691BC3">
        <w:rPr>
          <w:b/>
          <w:bCs/>
        </w:rPr>
        <w:t>Integrations</w:t>
      </w:r>
      <w:r w:rsidRPr="00691BC3">
        <w:t xml:space="preserve"> modules in the left-side navigation menu. The Integrations screen displays the available integration options as individual cards, allowing users to view and manage the supported integrations from one place.</w:t>
      </w:r>
    </w:p>
    <w:p w14:paraId="61300B1F" w14:textId="77777777" w:rsidR="004917F9" w:rsidRDefault="004917F9">
      <w:r w:rsidRPr="004917F9">
        <w:rPr>
          <w:noProof/>
        </w:rPr>
        <w:drawing>
          <wp:inline distT="0" distB="0" distL="0" distR="0" wp14:anchorId="599EB966" wp14:editId="684165BE">
            <wp:extent cx="5731510" cy="2989580"/>
            <wp:effectExtent l="0" t="0" r="2540" b="1270"/>
            <wp:docPr id="61634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44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B651" w14:textId="77777777" w:rsidR="006D262A" w:rsidRDefault="004917F9">
      <w:r w:rsidRPr="004917F9">
        <w:rPr>
          <w:noProof/>
        </w:rPr>
        <w:lastRenderedPageBreak/>
        <w:drawing>
          <wp:inline distT="0" distB="0" distL="0" distR="0" wp14:anchorId="3B127F7F" wp14:editId="5ADAF0CF">
            <wp:extent cx="5731510" cy="3002915"/>
            <wp:effectExtent l="0" t="0" r="2540" b="6985"/>
            <wp:docPr id="142850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00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45FF" w14:textId="77777777" w:rsidR="00086C5C" w:rsidRDefault="00086C5C"/>
    <w:p w14:paraId="0C547542" w14:textId="6416C3F1" w:rsidR="00086C5C" w:rsidRDefault="00086C5C">
      <w:r w:rsidRPr="00086C5C">
        <w:rPr>
          <w:b/>
          <w:bCs/>
        </w:rPr>
        <w:t>Step 8 – Settings</w:t>
      </w:r>
      <w:r w:rsidRPr="00086C5C">
        <w:br/>
        <w:t xml:space="preserve">Navigate to </w:t>
      </w:r>
      <w:r w:rsidRPr="00086C5C">
        <w:rPr>
          <w:b/>
          <w:bCs/>
        </w:rPr>
        <w:t>Settings</w:t>
      </w:r>
      <w:r w:rsidRPr="00086C5C">
        <w:t xml:space="preserve"> to review and manage available application configurations. The red box highlights the Settings module.</w:t>
      </w:r>
    </w:p>
    <w:p w14:paraId="26244D68" w14:textId="4813ADF7" w:rsidR="004917F9" w:rsidRDefault="006D262A">
      <w:r w:rsidRPr="006D262A">
        <w:rPr>
          <w:noProof/>
        </w:rPr>
        <w:drawing>
          <wp:inline distT="0" distB="0" distL="0" distR="0" wp14:anchorId="3605B55F" wp14:editId="359103BE">
            <wp:extent cx="5731510" cy="3035935"/>
            <wp:effectExtent l="0" t="0" r="2540" b="0"/>
            <wp:docPr id="15987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37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7F9">
        <w:br/>
      </w:r>
    </w:p>
    <w:sectPr w:rsidR="00491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5DA5"/>
    <w:multiLevelType w:val="multilevel"/>
    <w:tmpl w:val="82A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00EDF"/>
    <w:multiLevelType w:val="multilevel"/>
    <w:tmpl w:val="6912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05255"/>
    <w:multiLevelType w:val="multilevel"/>
    <w:tmpl w:val="B46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86CFB"/>
    <w:multiLevelType w:val="multilevel"/>
    <w:tmpl w:val="2E5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471CA"/>
    <w:multiLevelType w:val="multilevel"/>
    <w:tmpl w:val="417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64B52"/>
    <w:multiLevelType w:val="multilevel"/>
    <w:tmpl w:val="9214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322F2"/>
    <w:multiLevelType w:val="multilevel"/>
    <w:tmpl w:val="908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B6B3A"/>
    <w:multiLevelType w:val="multilevel"/>
    <w:tmpl w:val="DA9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131383">
    <w:abstractNumId w:val="6"/>
  </w:num>
  <w:num w:numId="2" w16cid:durableId="1900631503">
    <w:abstractNumId w:val="7"/>
  </w:num>
  <w:num w:numId="3" w16cid:durableId="475072282">
    <w:abstractNumId w:val="1"/>
  </w:num>
  <w:num w:numId="4" w16cid:durableId="790511244">
    <w:abstractNumId w:val="2"/>
  </w:num>
  <w:num w:numId="5" w16cid:durableId="1668513662">
    <w:abstractNumId w:val="3"/>
  </w:num>
  <w:num w:numId="6" w16cid:durableId="1801410501">
    <w:abstractNumId w:val="4"/>
  </w:num>
  <w:num w:numId="7" w16cid:durableId="979189977">
    <w:abstractNumId w:val="0"/>
  </w:num>
  <w:num w:numId="8" w16cid:durableId="1673142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F9"/>
    <w:rsid w:val="00086C5C"/>
    <w:rsid w:val="004917F9"/>
    <w:rsid w:val="00691BC3"/>
    <w:rsid w:val="006D262A"/>
    <w:rsid w:val="008A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D2F1"/>
  <w15:chartTrackingRefBased/>
  <w15:docId w15:val="{FDF935C1-8D11-4A30-91CB-6786790F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db29ff9-328f-40bc-bdc5-3c7b0421d507}" enabled="1" method="Standard" siteId="{0da2a83b-13d9-4a35-965f-ec53a220ed9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Yokogawa India Limited.</Company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Paswan, Shiv Kumar (Shivkumar.Paswan@yokogawa.com)</dc:creator>
  <cp:keywords/>
  <dc:description/>
  <cp:lastModifiedBy>Paswan, Shiv Kumar (Shivkumar.Paswan@yokogawa.com)</cp:lastModifiedBy>
  <cp:revision>2</cp:revision>
  <dcterms:created xsi:type="dcterms:W3CDTF">2026-10-16T04:21:00Z</dcterms:created>
  <dcterms:modified xsi:type="dcterms:W3CDTF">2026-10-16T04:49:00Z</dcterms:modified>
</cp:coreProperties>
</file>