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567C4" w14:textId="6503D22F" w:rsidR="00CD3B40" w:rsidRPr="00FE2911" w:rsidRDefault="00CD3B40" w:rsidP="00FE2911">
      <w:pPr>
        <w:spacing w:line="480" w:lineRule="auto"/>
        <w:jc w:val="center"/>
        <w:rPr>
          <w:color w:val="000000" w:themeColor="text1"/>
        </w:rPr>
      </w:pPr>
    </w:p>
    <w:p w14:paraId="73D841A5" w14:textId="77777777" w:rsidR="000A7C22" w:rsidRPr="00FE2911" w:rsidRDefault="000A7C22" w:rsidP="00FE2911">
      <w:pPr>
        <w:spacing w:line="480" w:lineRule="auto"/>
        <w:jc w:val="center"/>
        <w:rPr>
          <w:color w:val="000000" w:themeColor="text1"/>
        </w:rPr>
      </w:pPr>
    </w:p>
    <w:p w14:paraId="2B8D0AD0" w14:textId="77777777" w:rsidR="000A7C22" w:rsidRPr="00FE2911" w:rsidRDefault="000A7C22" w:rsidP="00FE2911">
      <w:pPr>
        <w:spacing w:line="480" w:lineRule="auto"/>
        <w:jc w:val="center"/>
        <w:rPr>
          <w:color w:val="000000" w:themeColor="text1"/>
        </w:rPr>
      </w:pPr>
    </w:p>
    <w:p w14:paraId="144BC64C" w14:textId="77777777" w:rsidR="000A7C22" w:rsidRPr="00FE2911" w:rsidRDefault="000A7C22" w:rsidP="00FE2911">
      <w:pPr>
        <w:spacing w:line="480" w:lineRule="auto"/>
        <w:rPr>
          <w:color w:val="000000" w:themeColor="text1"/>
        </w:rPr>
      </w:pPr>
    </w:p>
    <w:p w14:paraId="073658FD" w14:textId="77777777" w:rsidR="001C2DE7" w:rsidRPr="00FE2911" w:rsidRDefault="001C2DE7" w:rsidP="00FE2911">
      <w:pPr>
        <w:spacing w:line="480" w:lineRule="auto"/>
        <w:rPr>
          <w:color w:val="000000" w:themeColor="text1"/>
        </w:rPr>
      </w:pPr>
    </w:p>
    <w:p w14:paraId="24A9E358" w14:textId="77777777" w:rsidR="000A7C22" w:rsidRPr="00FE2911" w:rsidRDefault="000A7C22" w:rsidP="00FE2911">
      <w:pPr>
        <w:spacing w:line="480" w:lineRule="auto"/>
        <w:jc w:val="center"/>
        <w:rPr>
          <w:color w:val="000000" w:themeColor="text1"/>
        </w:rPr>
      </w:pPr>
    </w:p>
    <w:p w14:paraId="61BAA6AA" w14:textId="77777777" w:rsidR="00CD3B40" w:rsidRPr="00FE2911" w:rsidRDefault="00CD3B40" w:rsidP="00FE2911">
      <w:pPr>
        <w:pStyle w:val="Heading3"/>
        <w:spacing w:before="0" w:line="480" w:lineRule="auto"/>
        <w:jc w:val="center"/>
        <w:rPr>
          <w:rFonts w:ascii="Times New Roman" w:hAnsi="Times New Roman" w:cs="Times New Roman"/>
          <w:color w:val="000000" w:themeColor="text1"/>
        </w:rPr>
      </w:pPr>
      <w:r w:rsidRPr="00FE2911">
        <w:rPr>
          <w:rFonts w:ascii="Times New Roman" w:hAnsi="Times New Roman" w:cs="Times New Roman"/>
          <w:color w:val="000000" w:themeColor="text1"/>
        </w:rPr>
        <w:t>Trends in Obesity Rates Among High School Students in the U.S. from 2011 to 2021: Associations with Soda Consumption and Physical Activity Across Racial and Ethnic Groups</w:t>
      </w:r>
    </w:p>
    <w:p w14:paraId="0E71E82A" w14:textId="77777777" w:rsidR="005E1FF1" w:rsidRPr="00FE2911" w:rsidRDefault="005E1FF1" w:rsidP="00FE2911">
      <w:pPr>
        <w:pStyle w:val="BodyText"/>
        <w:spacing w:before="0" w:after="0" w:line="480" w:lineRule="auto"/>
        <w:rPr>
          <w:rFonts w:ascii="Times New Roman" w:hAnsi="Times New Roman" w:cs="Times New Roman"/>
        </w:rPr>
      </w:pPr>
    </w:p>
    <w:p w14:paraId="5098A724" w14:textId="4B88F544" w:rsidR="00CD3B40" w:rsidRPr="00FE2911" w:rsidRDefault="00CD3B40" w:rsidP="00FE2911">
      <w:pPr>
        <w:pStyle w:val="NormalWeb"/>
        <w:spacing w:before="0" w:beforeAutospacing="0" w:after="0" w:afterAutospacing="0" w:line="480" w:lineRule="auto"/>
        <w:jc w:val="center"/>
        <w:rPr>
          <w:color w:val="000000" w:themeColor="text1"/>
        </w:rPr>
      </w:pPr>
      <w:r w:rsidRPr="00FE2911">
        <w:rPr>
          <w:rStyle w:val="Strong"/>
          <w:b w:val="0"/>
          <w:bCs w:val="0"/>
          <w:color w:val="000000" w:themeColor="text1"/>
        </w:rPr>
        <w:t>Klarissa Siebert</w:t>
      </w:r>
      <w:r w:rsidRPr="00FE2911">
        <w:rPr>
          <w:color w:val="000000" w:themeColor="text1"/>
        </w:rPr>
        <w:br/>
        <w:t>Department of Public Health, The University of Texas at El Paso</w:t>
      </w:r>
      <w:r w:rsidRPr="00FE2911">
        <w:rPr>
          <w:color w:val="000000" w:themeColor="text1"/>
        </w:rPr>
        <w:br/>
        <w:t>PUBH 5357: Health Data Science</w:t>
      </w:r>
      <w:r w:rsidR="00EA4589">
        <w:rPr>
          <w:color w:val="000000" w:themeColor="text1"/>
        </w:rPr>
        <w:t xml:space="preserve"> - </w:t>
      </w:r>
      <w:r w:rsidRPr="00FE2911">
        <w:rPr>
          <w:color w:val="000000" w:themeColor="text1"/>
        </w:rPr>
        <w:t>Storytelling with Data</w:t>
      </w:r>
      <w:r w:rsidRPr="00FE2911">
        <w:rPr>
          <w:color w:val="000000" w:themeColor="text1"/>
        </w:rPr>
        <w:br/>
      </w:r>
      <w:r w:rsidRPr="00FE2911">
        <w:rPr>
          <w:rStyle w:val="Strong"/>
          <w:b w:val="0"/>
          <w:bCs w:val="0"/>
          <w:color w:val="000000" w:themeColor="text1"/>
        </w:rPr>
        <w:t>Dr. Amy Wagler</w:t>
      </w:r>
      <w:r w:rsidRPr="00FE2911">
        <w:rPr>
          <w:color w:val="000000" w:themeColor="text1"/>
        </w:rPr>
        <w:br/>
        <w:t>May 1</w:t>
      </w:r>
      <w:r w:rsidR="0013630F" w:rsidRPr="00FE2911">
        <w:rPr>
          <w:color w:val="000000" w:themeColor="text1"/>
        </w:rPr>
        <w:t>6</w:t>
      </w:r>
      <w:r w:rsidRPr="00FE2911">
        <w:rPr>
          <w:color w:val="000000" w:themeColor="text1"/>
        </w:rPr>
        <w:t>, 2025</w:t>
      </w:r>
    </w:p>
    <w:p w14:paraId="0B50F2B0" w14:textId="5EA34E4F" w:rsidR="00CD3B40" w:rsidRPr="00FE2911" w:rsidRDefault="00CD3B40" w:rsidP="00FE2911">
      <w:pPr>
        <w:spacing w:line="480" w:lineRule="auto"/>
        <w:rPr>
          <w:color w:val="000000" w:themeColor="text1"/>
        </w:rPr>
      </w:pPr>
    </w:p>
    <w:p w14:paraId="54668034" w14:textId="77777777" w:rsidR="000A7C22" w:rsidRPr="00FE2911" w:rsidRDefault="000A7C22" w:rsidP="00FE2911">
      <w:pPr>
        <w:spacing w:line="480" w:lineRule="auto"/>
        <w:rPr>
          <w:rFonts w:eastAsiaTheme="majorEastAsia"/>
          <w:b/>
          <w:bCs/>
          <w:color w:val="000000" w:themeColor="text1"/>
          <w:u w:val="single"/>
        </w:rPr>
      </w:pPr>
      <w:r w:rsidRPr="00FE2911">
        <w:rPr>
          <w:color w:val="000000" w:themeColor="text1"/>
          <w:u w:val="single"/>
        </w:rPr>
        <w:br w:type="page"/>
      </w:r>
    </w:p>
    <w:p w14:paraId="2BC58A52" w14:textId="140EF76A" w:rsidR="002C0A18" w:rsidRPr="004E796A" w:rsidRDefault="002C0A18" w:rsidP="00FE2911">
      <w:pPr>
        <w:spacing w:line="480" w:lineRule="auto"/>
        <w:rPr>
          <w:sz w:val="28"/>
          <w:szCs w:val="28"/>
        </w:rPr>
      </w:pPr>
      <w:r w:rsidRPr="004E796A">
        <w:rPr>
          <w:b/>
          <w:bCs/>
          <w:sz w:val="28"/>
          <w:szCs w:val="28"/>
          <w:u w:val="single"/>
        </w:rPr>
        <w:lastRenderedPageBreak/>
        <w:t>Research Question</w:t>
      </w:r>
      <w:r w:rsidRPr="004E796A">
        <w:rPr>
          <w:sz w:val="28"/>
          <w:szCs w:val="28"/>
        </w:rPr>
        <w:tab/>
      </w:r>
    </w:p>
    <w:p w14:paraId="555FA7F5" w14:textId="69F27B76" w:rsidR="00E507C4" w:rsidRPr="00FE2911" w:rsidRDefault="00E507C4" w:rsidP="00FE2911">
      <w:pPr>
        <w:spacing w:line="480" w:lineRule="auto"/>
        <w:ind w:firstLine="720"/>
      </w:pPr>
      <w:r w:rsidRPr="00E507C4">
        <w:t>How have obesity rates among high school students in the U.S. changed from 2011 to 2021, and how are these trends associated with changes in soda consumption and physical activity prevalence across racial and ethnic groups?</w:t>
      </w:r>
    </w:p>
    <w:p w14:paraId="5BB602FE" w14:textId="77777777" w:rsidR="002C0A18" w:rsidRPr="004E796A" w:rsidRDefault="002C0A18" w:rsidP="00FE2911">
      <w:pPr>
        <w:spacing w:line="480" w:lineRule="auto"/>
        <w:rPr>
          <w:b/>
          <w:bCs/>
          <w:sz w:val="28"/>
          <w:szCs w:val="28"/>
          <w:u w:val="single"/>
        </w:rPr>
      </w:pPr>
      <w:r w:rsidRPr="004E796A">
        <w:rPr>
          <w:b/>
          <w:bCs/>
          <w:sz w:val="28"/>
          <w:szCs w:val="28"/>
          <w:u w:val="single"/>
        </w:rPr>
        <w:t xml:space="preserve">Brief Summary of Results </w:t>
      </w:r>
    </w:p>
    <w:p w14:paraId="06B383F4" w14:textId="79A3CED3" w:rsidR="0015355C" w:rsidRPr="00FE2911" w:rsidRDefault="006D14C5" w:rsidP="00FE2911">
      <w:pPr>
        <w:spacing w:line="480" w:lineRule="auto"/>
        <w:ind w:firstLine="720"/>
        <w:rPr>
          <w:b/>
          <w:bCs/>
          <w:u w:val="single"/>
        </w:rPr>
      </w:pPr>
      <w:r>
        <w:t>Obesity</w:t>
      </w:r>
      <w:r w:rsidR="0015355C" w:rsidRPr="00FE2911">
        <w:t xml:space="preserve"> prevalence increased significantly from 2011 to 2021</w:t>
      </w:r>
      <w:r w:rsidR="009C5885" w:rsidRPr="00FE2911">
        <w:t xml:space="preserve"> among U.S. high school students</w:t>
      </w:r>
      <w:r w:rsidR="0015355C" w:rsidRPr="00FE2911">
        <w:t xml:space="preserve">. </w:t>
      </w:r>
      <w:r w:rsidR="009C5885" w:rsidRPr="00FE2911">
        <w:t>Additionally, r</w:t>
      </w:r>
      <w:r w:rsidR="0015355C" w:rsidRPr="00FE2911">
        <w:t>ace</w:t>
      </w:r>
      <w:r w:rsidR="00010E07" w:rsidRPr="00FE2911">
        <w:t>/</w:t>
      </w:r>
      <w:r w:rsidR="0015355C" w:rsidRPr="00FE2911">
        <w:t>ethnicity w</w:t>
      </w:r>
      <w:r w:rsidR="00010E07" w:rsidRPr="00FE2911">
        <w:t>as</w:t>
      </w:r>
      <w:r w:rsidR="0015355C" w:rsidRPr="00FE2911">
        <w:t xml:space="preserve"> significantly associated with obesity, </w:t>
      </w:r>
      <w:r w:rsidR="00B4668D" w:rsidRPr="00FE2911">
        <w:t>particularly for</w:t>
      </w:r>
      <w:r w:rsidR="0015355C" w:rsidRPr="00FE2911">
        <w:t xml:space="preserve"> Hawaiian/Pacific Islander students</w:t>
      </w:r>
      <w:r w:rsidR="00B4668D" w:rsidRPr="00FE2911">
        <w:t xml:space="preserve">, who had </w:t>
      </w:r>
      <w:r w:rsidR="0015355C" w:rsidRPr="00FE2911">
        <w:t xml:space="preserve">the highest rates. </w:t>
      </w:r>
      <w:r w:rsidR="00496156" w:rsidRPr="00FE2911">
        <w:t>However</w:t>
      </w:r>
      <w:r w:rsidR="00B4668D" w:rsidRPr="00FE2911">
        <w:t xml:space="preserve">, </w:t>
      </w:r>
      <w:r w:rsidR="0015355C" w:rsidRPr="00FE2911">
        <w:t>soda consumption and physical activity were not found to be statistically significant predictors of obesity. The finding</w:t>
      </w:r>
      <w:r w:rsidR="00496156" w:rsidRPr="00FE2911">
        <w:t>s from this research</w:t>
      </w:r>
      <w:r w:rsidR="0015355C" w:rsidRPr="00FE2911">
        <w:t xml:space="preserve"> suggest that the </w:t>
      </w:r>
      <w:r w:rsidR="00511B80" w:rsidRPr="00FE2911">
        <w:t>increase</w:t>
      </w:r>
      <w:r w:rsidR="0015355C" w:rsidRPr="00FE2911">
        <w:t xml:space="preserve"> in obesity appears to be </w:t>
      </w:r>
      <w:r w:rsidR="002B7C33" w:rsidRPr="00FE2911">
        <w:t>influenced</w:t>
      </w:r>
      <w:r w:rsidR="0015355C" w:rsidRPr="00FE2911">
        <w:t xml:space="preserve"> more by </w:t>
      </w:r>
      <w:r w:rsidR="00511B80" w:rsidRPr="00FE2911">
        <w:t>time</w:t>
      </w:r>
      <w:r w:rsidR="0015355C" w:rsidRPr="00FE2911">
        <w:t xml:space="preserve"> and racial disparities </w:t>
      </w:r>
      <w:r w:rsidR="00511B80" w:rsidRPr="00FE2911">
        <w:t>rather than behavioral factors</w:t>
      </w:r>
      <w:r w:rsidR="00910F67">
        <w:t xml:space="preserve"> alone</w:t>
      </w:r>
      <w:r w:rsidR="002B7C33" w:rsidRPr="00FE2911">
        <w:t>.</w:t>
      </w:r>
    </w:p>
    <w:p w14:paraId="03C9AB1F" w14:textId="77777777" w:rsidR="00FE2911" w:rsidRPr="004E796A" w:rsidRDefault="00FE2911" w:rsidP="00FE2911">
      <w:pPr>
        <w:pStyle w:val="Heading1"/>
        <w:spacing w:before="0" w:line="480" w:lineRule="auto"/>
        <w:rPr>
          <w:rFonts w:ascii="Times New Roman" w:hAnsi="Times New Roman" w:cs="Times New Roman"/>
          <w:color w:val="000000" w:themeColor="text1"/>
          <w:sz w:val="28"/>
          <w:szCs w:val="28"/>
          <w:u w:val="single"/>
        </w:rPr>
      </w:pPr>
      <w:r w:rsidRPr="004E796A">
        <w:rPr>
          <w:rFonts w:ascii="Times New Roman" w:hAnsi="Times New Roman" w:cs="Times New Roman"/>
          <w:color w:val="000000" w:themeColor="text1"/>
          <w:sz w:val="28"/>
          <w:szCs w:val="28"/>
          <w:u w:val="single"/>
        </w:rPr>
        <w:t>Introduction</w:t>
      </w:r>
    </w:p>
    <w:p w14:paraId="6AB684C6" w14:textId="0CAB2BF5" w:rsidR="00FE2911" w:rsidRPr="00FE2911" w:rsidRDefault="00FE2911" w:rsidP="009B306C">
      <w:pPr>
        <w:pStyle w:val="NormalWeb"/>
        <w:spacing w:before="0" w:beforeAutospacing="0" w:after="0" w:afterAutospacing="0" w:line="480" w:lineRule="auto"/>
        <w:ind w:firstLine="720"/>
      </w:pPr>
      <w:r w:rsidRPr="00FE2911">
        <w:t>Obesity among children and adolescents in the United States continues to be a public health issue. National estimates show that nearly 20% of youth aged 2 to 19 years were classified as obese in 2015</w:t>
      </w:r>
      <w:r w:rsidR="003210E6">
        <w:t xml:space="preserve"> to </w:t>
      </w:r>
      <w:r w:rsidRPr="00FE2911">
        <w:t xml:space="preserve">2016, with even higher rates among </w:t>
      </w:r>
      <w:r w:rsidR="00616FA5">
        <w:t xml:space="preserve">the </w:t>
      </w:r>
      <w:r w:rsidRPr="00FE2911">
        <w:t>adolescent</w:t>
      </w:r>
      <w:r w:rsidR="00616FA5">
        <w:t xml:space="preserve"> group</w:t>
      </w:r>
      <w:r w:rsidRPr="00FE2911">
        <w:t xml:space="preserve"> (</w:t>
      </w:r>
      <w:proofErr w:type="spellStart"/>
      <w:r w:rsidRPr="00FE2911">
        <w:t>Sanyaolu</w:t>
      </w:r>
      <w:proofErr w:type="spellEnd"/>
      <w:r w:rsidRPr="00FE2911">
        <w:t xml:space="preserve"> et al., 2019). Obesity is important to address in </w:t>
      </w:r>
      <w:r w:rsidR="00616FA5">
        <w:t>children</w:t>
      </w:r>
      <w:r w:rsidRPr="00FE2911">
        <w:t xml:space="preserve"> because it increases the risk of chronic diseases such as type 2 diabetes, cardiovascular disease, and certain cancers later in life (</w:t>
      </w:r>
      <w:proofErr w:type="spellStart"/>
      <w:r w:rsidRPr="00FE2911">
        <w:t>Sanyaolu</w:t>
      </w:r>
      <w:proofErr w:type="spellEnd"/>
      <w:r w:rsidRPr="00FE2911">
        <w:t xml:space="preserve"> et al., 2019). </w:t>
      </w:r>
      <w:r w:rsidRPr="0055581E">
        <w:t xml:space="preserve">Disparities in obesity rates are also prevalent across racial and ethnic groups, with non-Hispanic Black and Hispanic adolescents showing significantly higher prevalence than their White </w:t>
      </w:r>
      <w:r w:rsidR="006D0D5D">
        <w:t>counterparts</w:t>
      </w:r>
      <w:r w:rsidR="0055581E" w:rsidRPr="0055581E">
        <w:t xml:space="preserve"> (Singh et al., 2008).</w:t>
      </w:r>
      <w:r w:rsidR="0055581E">
        <w:t xml:space="preserve"> </w:t>
      </w:r>
      <w:r w:rsidR="006D0D5D">
        <w:t xml:space="preserve">In addition to racial disparities, physical activity has been associated with higher obesity prevalence among youth, with sedentary children experiencing significantly greater odds of obesity (Sing et al., 2008). </w:t>
      </w:r>
    </w:p>
    <w:p w14:paraId="771088D4" w14:textId="2A8FC2A4" w:rsidR="00FE2911" w:rsidRPr="00FE2911" w:rsidRDefault="00FE2911" w:rsidP="009B306C">
      <w:pPr>
        <w:pStyle w:val="NormalWeb"/>
        <w:spacing w:before="0" w:beforeAutospacing="0" w:after="0" w:afterAutospacing="0" w:line="480" w:lineRule="auto"/>
        <w:ind w:firstLine="720"/>
      </w:pPr>
      <w:r w:rsidRPr="00FE2911">
        <w:lastRenderedPageBreak/>
        <w:t xml:space="preserve">Youth obesity rates have continued to rise over the past two decades. Wang et al. (2020) found a steady increase in obesity and severe obesity among adolescents from 1999 to </w:t>
      </w:r>
      <w:r w:rsidR="00686CFA" w:rsidRPr="00FE2911">
        <w:t>2016 and</w:t>
      </w:r>
      <w:r w:rsidR="00817964">
        <w:t xml:space="preserve"> </w:t>
      </w:r>
      <w:r w:rsidRPr="00FE2911">
        <w:t>project</w:t>
      </w:r>
      <w:r w:rsidR="00817964">
        <w:t>ed</w:t>
      </w:r>
      <w:r w:rsidRPr="00FE2911">
        <w:t xml:space="preserve"> that nearly half of U.S. adolescents may be overweight or obese by 2030. They attribute this trend to a combination of poor diet, inadequate physical activity, and socioeconomic inequalit</w:t>
      </w:r>
      <w:r w:rsidR="00686CFA">
        <w:t>ies</w:t>
      </w:r>
      <w:r w:rsidRPr="00FE2911">
        <w:t xml:space="preserve">. Research from outside the U.S. supports this </w:t>
      </w:r>
      <w:r w:rsidR="00942261">
        <w:t xml:space="preserve">idea </w:t>
      </w:r>
      <w:r w:rsidRPr="00FE2911">
        <w:t>as well. Rizwan et al. (2011),</w:t>
      </w:r>
      <w:r w:rsidR="00942261">
        <w:t xml:space="preserve"> who</w:t>
      </w:r>
      <w:r w:rsidRPr="00FE2911">
        <w:t xml:space="preserve"> stud</w:t>
      </w:r>
      <w:r w:rsidR="00942261">
        <w:t xml:space="preserve">ied </w:t>
      </w:r>
      <w:r w:rsidRPr="00FE2911">
        <w:t xml:space="preserve">adolescents in Pakistan, found strong links between sugar-sweetened beverage consumption, insufficient school physical activity, and increased obesity. Their findings support the idea that school and environmental factors </w:t>
      </w:r>
      <w:r w:rsidR="00CC458C">
        <w:t>influence</w:t>
      </w:r>
      <w:r w:rsidRPr="00FE2911">
        <w:t xml:space="preserve"> youth health behaviors and outcomes.</w:t>
      </w:r>
    </w:p>
    <w:p w14:paraId="505E123E" w14:textId="7FBE62A6" w:rsidR="00FE2911" w:rsidRPr="00FE2911" w:rsidRDefault="00FE2911" w:rsidP="009B306C">
      <w:pPr>
        <w:pStyle w:val="NormalWeb"/>
        <w:spacing w:before="0" w:beforeAutospacing="0" w:after="0" w:afterAutospacing="0" w:line="480" w:lineRule="auto"/>
        <w:ind w:firstLine="720"/>
      </w:pPr>
      <w:r w:rsidRPr="00FE2911">
        <w:t xml:space="preserve">Given the public health importance of </w:t>
      </w:r>
      <w:r w:rsidR="003C65B9">
        <w:t>decreasing</w:t>
      </w:r>
      <w:r w:rsidR="00890610">
        <w:t xml:space="preserve"> </w:t>
      </w:r>
      <w:r w:rsidRPr="00FE2911">
        <w:t>adolescent obesity and the known behavioral influences on weight, this study investigates obesity trends among U.S. high school students using nationally representative surveillance data. Specifically, I examine how obesity prevalence changed from 2011 to 2021 and whether these trends are associated with soda consumption and physical activity levels across racial and ethnic groups. This analysis aims to understand whether modifiable health behaviors explain disparities in youth obesity or whether demographic and structural factors play a stronger role.</w:t>
      </w:r>
    </w:p>
    <w:p w14:paraId="43EEBDA6" w14:textId="77777777" w:rsidR="00FE2911" w:rsidRPr="00FE2911" w:rsidRDefault="00FE2911" w:rsidP="009B306C">
      <w:pPr>
        <w:pStyle w:val="NormalWeb"/>
        <w:spacing w:before="0" w:beforeAutospacing="0" w:after="0" w:afterAutospacing="0" w:line="480" w:lineRule="auto"/>
        <w:ind w:firstLine="720"/>
      </w:pPr>
      <w:r w:rsidRPr="00FE2911">
        <w:t>This project is intended for public health professionals, school health policy advocates, and community health researchers interested in adolescent obesity prevention. The findings may also be useful to school administrators and public health departments working to reduce behavioral and racial disparities in youth health outcomes using population-level data.</w:t>
      </w:r>
    </w:p>
    <w:p w14:paraId="38EE5D13" w14:textId="77777777" w:rsidR="00FE2911" w:rsidRPr="004E796A" w:rsidRDefault="00FE2911" w:rsidP="00FE2911">
      <w:pPr>
        <w:pStyle w:val="Heading1"/>
        <w:spacing w:before="0" w:line="480" w:lineRule="auto"/>
        <w:rPr>
          <w:rFonts w:ascii="Times New Roman" w:hAnsi="Times New Roman" w:cs="Times New Roman"/>
          <w:color w:val="000000" w:themeColor="text1"/>
          <w:sz w:val="28"/>
          <w:szCs w:val="28"/>
          <w:u w:val="single"/>
        </w:rPr>
      </w:pPr>
      <w:r w:rsidRPr="004E796A">
        <w:rPr>
          <w:rFonts w:ascii="Times New Roman" w:hAnsi="Times New Roman" w:cs="Times New Roman"/>
          <w:color w:val="000000" w:themeColor="text1"/>
          <w:sz w:val="28"/>
          <w:szCs w:val="28"/>
          <w:u w:val="single"/>
        </w:rPr>
        <w:t>Methodology</w:t>
      </w:r>
    </w:p>
    <w:p w14:paraId="2B757E97" w14:textId="2E7F7273" w:rsidR="00FE2911" w:rsidRPr="00FE2911" w:rsidRDefault="00FE2911" w:rsidP="009B306C">
      <w:pPr>
        <w:pStyle w:val="NormalWeb"/>
        <w:spacing w:before="0" w:beforeAutospacing="0" w:after="0" w:afterAutospacing="0" w:line="480" w:lineRule="auto"/>
        <w:ind w:firstLine="720"/>
      </w:pPr>
      <w:r w:rsidRPr="00FE2911">
        <w:t xml:space="preserve">To answer my research question, I used data from the Youth Risk Behavior Surveillance System (YRBSS), which I retrieved from </w:t>
      </w:r>
      <w:r w:rsidR="00910F67">
        <w:t xml:space="preserve">the website </w:t>
      </w:r>
      <w:r w:rsidRPr="00FE2911">
        <w:t>Data.</w:t>
      </w:r>
      <w:r w:rsidR="00910F67">
        <w:t>G</w:t>
      </w:r>
      <w:r w:rsidRPr="00FE2911">
        <w:t>ov</w:t>
      </w:r>
      <w:r w:rsidR="00F8007C">
        <w:t xml:space="preserve"> in CSV format</w:t>
      </w:r>
      <w:r w:rsidRPr="00FE2911">
        <w:t xml:space="preserve"> (2020). I cleaned </w:t>
      </w:r>
      <w:r w:rsidRPr="00FE2911">
        <w:lastRenderedPageBreak/>
        <w:t xml:space="preserve">the dataset to </w:t>
      </w:r>
      <w:r w:rsidR="00451939">
        <w:t>contain only</w:t>
      </w:r>
      <w:r w:rsidRPr="00FE2911">
        <w:t xml:space="preserve"> variables </w:t>
      </w:r>
      <w:r w:rsidR="006A3620">
        <w:t xml:space="preserve">that were </w:t>
      </w:r>
      <w:r w:rsidRPr="00FE2911">
        <w:t>related to obesity prevalence, daily soda consumption, physical activity levels, racial</w:t>
      </w:r>
      <w:r w:rsidR="006B4DE4">
        <w:t>/</w:t>
      </w:r>
      <w:r w:rsidRPr="00FE2911">
        <w:t xml:space="preserve">ethnic identity, and year of data collection. </w:t>
      </w:r>
      <w:r w:rsidR="00697613">
        <w:t xml:space="preserve">The dataset was also cleaned to only contain entries that had been </w:t>
      </w:r>
      <w:r w:rsidR="00C33FBB">
        <w:t xml:space="preserve">previously </w:t>
      </w:r>
      <w:r w:rsidR="00697613">
        <w:t xml:space="preserve">stratified by race/ethnic category to prevent missing </w:t>
      </w:r>
      <w:r w:rsidR="00C33FBB">
        <w:t xml:space="preserve">data. </w:t>
      </w:r>
      <w:r w:rsidRPr="00FE2911">
        <w:t>The data w</w:t>
      </w:r>
      <w:r w:rsidR="00374AC6">
        <w:t>as</w:t>
      </w:r>
      <w:r w:rsidRPr="00FE2911">
        <w:t xml:space="preserve"> then organized by year and racial/ethnic group to assess trends over time and between populations. </w:t>
      </w:r>
      <w:r w:rsidR="006B4DE4">
        <w:t>Data vi</w:t>
      </w:r>
      <w:r w:rsidRPr="00FE2911">
        <w:t>sualizations were created to explore variable distributions and temporal trends</w:t>
      </w:r>
      <w:r w:rsidR="0059026A">
        <w:t xml:space="preserve"> (see Appendix)</w:t>
      </w:r>
      <w:r w:rsidRPr="00FE2911">
        <w:t>. A</w:t>
      </w:r>
      <w:r w:rsidR="00B142C6">
        <w:t>lso, a</w:t>
      </w:r>
      <w:r w:rsidRPr="00FE2911">
        <w:t xml:space="preserve"> heat map was </w:t>
      </w:r>
      <w:r w:rsidR="001A51AB">
        <w:t>created and used</w:t>
      </w:r>
      <w:r w:rsidRPr="00FE2911">
        <w:t xml:space="preserve"> to assess multicollinearity among </w:t>
      </w:r>
      <w:r w:rsidR="001A51AB">
        <w:t>the variables</w:t>
      </w:r>
      <w:r w:rsidR="0059026A">
        <w:t xml:space="preserve"> (see Appendix). </w:t>
      </w:r>
    </w:p>
    <w:p w14:paraId="558634C8" w14:textId="77777777" w:rsidR="00FE2911" w:rsidRPr="009E4C47" w:rsidRDefault="00FE2911" w:rsidP="00FE2911">
      <w:pPr>
        <w:pStyle w:val="Heading2"/>
        <w:spacing w:before="0" w:line="480" w:lineRule="auto"/>
        <w:rPr>
          <w:rFonts w:ascii="Times New Roman" w:hAnsi="Times New Roman" w:cs="Times New Roman"/>
          <w:i/>
          <w:iCs/>
          <w:color w:val="000000" w:themeColor="text1"/>
          <w:sz w:val="24"/>
          <w:szCs w:val="24"/>
        </w:rPr>
      </w:pPr>
      <w:r w:rsidRPr="009E4C47">
        <w:rPr>
          <w:rFonts w:ascii="Times New Roman" w:hAnsi="Times New Roman" w:cs="Times New Roman"/>
          <w:i/>
          <w:iCs/>
          <w:color w:val="000000" w:themeColor="text1"/>
          <w:sz w:val="24"/>
          <w:szCs w:val="24"/>
        </w:rPr>
        <w:t>Regression Models and Assumptions</w:t>
      </w:r>
    </w:p>
    <w:p w14:paraId="18A3B2E7" w14:textId="6707FFD0" w:rsidR="00FE2911" w:rsidRPr="00FE2911" w:rsidRDefault="00FE2911" w:rsidP="009B306C">
      <w:pPr>
        <w:pStyle w:val="NormalWeb"/>
        <w:spacing w:before="0" w:beforeAutospacing="0" w:after="0" w:afterAutospacing="0" w:line="480" w:lineRule="auto"/>
        <w:ind w:firstLine="720"/>
      </w:pPr>
      <w:r w:rsidRPr="00FE2911">
        <w:t xml:space="preserve">A simple linear regression was run to examine the relationship between year and obesity prevalence. A multiple linear regression model was then used to explore how soda consumption, physical activity, race/ethnicity, and year were associated with obesity prevalence. I assessed multicollinearity in the multiple regression model using Generalized Variance Inflation Factors (GVIFs), which were all below 3.0, </w:t>
      </w:r>
      <w:r w:rsidR="00BC4E88">
        <w:t>indicating</w:t>
      </w:r>
      <w:r w:rsidRPr="00FE2911">
        <w:t xml:space="preserve"> no major concerns. The highest GVIF was </w:t>
      </w:r>
      <w:r w:rsidR="00076D42">
        <w:t xml:space="preserve">2.87 </w:t>
      </w:r>
      <w:r w:rsidRPr="00FE2911">
        <w:t>for soda consumption</w:t>
      </w:r>
      <w:r w:rsidR="00076D42">
        <w:t xml:space="preserve">, </w:t>
      </w:r>
      <w:r w:rsidR="00DA33E0">
        <w:t xml:space="preserve">followed by </w:t>
      </w:r>
      <w:r w:rsidR="00076D42">
        <w:t>2.03 for physical activity, 2.07 for year</w:t>
      </w:r>
      <w:r w:rsidR="00DA33E0">
        <w:t>,</w:t>
      </w:r>
      <w:r w:rsidR="00DA33E0" w:rsidRPr="00DA33E0">
        <w:t xml:space="preserve"> </w:t>
      </w:r>
      <w:r w:rsidR="00DA33E0">
        <w:t>and 1.23 for race/ethnicity</w:t>
      </w:r>
      <w:r w:rsidRPr="00FE2911">
        <w:t xml:space="preserve">. Residuals from both models were </w:t>
      </w:r>
      <w:r w:rsidR="00FA33A1">
        <w:t>visualized</w:t>
      </w:r>
      <w:r w:rsidRPr="00FE2911">
        <w:t xml:space="preserve"> using histograms and </w:t>
      </w:r>
      <w:r w:rsidR="00FA33A1">
        <w:t>quantile-quantile</w:t>
      </w:r>
      <w:r w:rsidRPr="00FE2911">
        <w:t xml:space="preserve"> plots and were approximately normally distributed, </w:t>
      </w:r>
      <w:r w:rsidR="00F700BE">
        <w:t>meaning</w:t>
      </w:r>
      <w:r w:rsidR="00BD42EC">
        <w:t xml:space="preserve"> that </w:t>
      </w:r>
      <w:r w:rsidR="00F700BE">
        <w:t xml:space="preserve">both </w:t>
      </w:r>
      <w:r w:rsidR="00BD42EC">
        <w:t xml:space="preserve">models met </w:t>
      </w:r>
      <w:r w:rsidR="00496CB8">
        <w:t xml:space="preserve">the assumptions for </w:t>
      </w:r>
      <w:r w:rsidRPr="00FE2911">
        <w:t>linear regressio</w:t>
      </w:r>
      <w:r w:rsidR="00496CB8">
        <w:t>ns</w:t>
      </w:r>
      <w:r w:rsidRPr="00FE2911">
        <w:t>.</w:t>
      </w:r>
    </w:p>
    <w:p w14:paraId="5B12FE04" w14:textId="77777777" w:rsidR="00FE2911" w:rsidRPr="004E796A" w:rsidRDefault="00FE2911" w:rsidP="00FE2911">
      <w:pPr>
        <w:pStyle w:val="Heading1"/>
        <w:spacing w:before="0" w:line="480" w:lineRule="auto"/>
        <w:rPr>
          <w:rFonts w:ascii="Times New Roman" w:hAnsi="Times New Roman" w:cs="Times New Roman"/>
          <w:color w:val="000000" w:themeColor="text1"/>
          <w:sz w:val="28"/>
          <w:szCs w:val="28"/>
          <w:u w:val="single"/>
        </w:rPr>
      </w:pPr>
      <w:r w:rsidRPr="004E796A">
        <w:rPr>
          <w:rFonts w:ascii="Times New Roman" w:hAnsi="Times New Roman" w:cs="Times New Roman"/>
          <w:color w:val="000000" w:themeColor="text1"/>
          <w:sz w:val="28"/>
          <w:szCs w:val="28"/>
          <w:u w:val="single"/>
        </w:rPr>
        <w:t>Process and Tools</w:t>
      </w:r>
    </w:p>
    <w:p w14:paraId="02A7BED7" w14:textId="266E2B87" w:rsidR="00FE2911" w:rsidRPr="00FE2911" w:rsidRDefault="00FE2911" w:rsidP="009B306C">
      <w:pPr>
        <w:pStyle w:val="NormalWeb"/>
        <w:spacing w:before="0" w:beforeAutospacing="0" w:after="0" w:afterAutospacing="0" w:line="480" w:lineRule="auto"/>
        <w:ind w:firstLine="720"/>
      </w:pPr>
      <w:r w:rsidRPr="00FE2911">
        <w:t xml:space="preserve">The entire analysis was conducted in Google </w:t>
      </w:r>
      <w:proofErr w:type="spellStart"/>
      <w:r w:rsidRPr="00FE2911">
        <w:t>Colab</w:t>
      </w:r>
      <w:proofErr w:type="spellEnd"/>
      <w:r w:rsidRPr="00FE2911">
        <w:t xml:space="preserve">, a cloud-based coding platform. I used </w:t>
      </w:r>
      <w:r w:rsidR="00804023">
        <w:t>Gemini, the AI assistant</w:t>
      </w:r>
      <w:r w:rsidR="00F46A43">
        <w:t>,</w:t>
      </w:r>
      <w:r w:rsidRPr="00FE2911">
        <w:t xml:space="preserve"> </w:t>
      </w:r>
      <w:r w:rsidR="00804023">
        <w:t>with</w:t>
      </w:r>
      <w:r w:rsidRPr="00FE2911">
        <w:t xml:space="preserve">in Google </w:t>
      </w:r>
      <w:proofErr w:type="spellStart"/>
      <w:r w:rsidRPr="00FE2911">
        <w:t>Colab</w:t>
      </w:r>
      <w:proofErr w:type="spellEnd"/>
      <w:r w:rsidRPr="00FE2911">
        <w:t xml:space="preserve"> to help generate R code and create visualizations. The raw dataset was </w:t>
      </w:r>
      <w:r w:rsidR="004E15F7">
        <w:t xml:space="preserve">first </w:t>
      </w:r>
      <w:r w:rsidRPr="00FE2911">
        <w:t xml:space="preserve">cleaned in Microsoft Excel and </w:t>
      </w:r>
      <w:r w:rsidR="004E15F7">
        <w:t xml:space="preserve">then </w:t>
      </w:r>
      <w:r w:rsidRPr="00FE2911">
        <w:t xml:space="preserve">uploaded to Google </w:t>
      </w:r>
      <w:proofErr w:type="spellStart"/>
      <w:r w:rsidRPr="00FE2911">
        <w:t>Colab</w:t>
      </w:r>
      <w:proofErr w:type="spellEnd"/>
      <w:r w:rsidRPr="00FE2911">
        <w:t xml:space="preserve"> for analysis. </w:t>
      </w:r>
      <w:r w:rsidR="003872FF">
        <w:t>Once the analysis was complete, a</w:t>
      </w:r>
      <w:r w:rsidRPr="00FE2911">
        <w:t xml:space="preserve">ll scripts, visualizations, and outputs were saved to </w:t>
      </w:r>
      <w:r w:rsidR="003872FF">
        <w:t xml:space="preserve">a </w:t>
      </w:r>
      <w:r w:rsidRPr="00FE2911">
        <w:t>GitHub</w:t>
      </w:r>
      <w:r w:rsidR="003872FF">
        <w:t xml:space="preserve"> repository</w:t>
      </w:r>
      <w:r w:rsidR="007C28B5">
        <w:t xml:space="preserve"> for future </w:t>
      </w:r>
      <w:r w:rsidR="00B57ADA">
        <w:t xml:space="preserve">use. </w:t>
      </w:r>
    </w:p>
    <w:p w14:paraId="7850FA58" w14:textId="77777777" w:rsidR="00FE2911" w:rsidRPr="004E796A" w:rsidRDefault="00FE2911" w:rsidP="00FE2911">
      <w:pPr>
        <w:pStyle w:val="Heading1"/>
        <w:spacing w:before="0" w:line="480" w:lineRule="auto"/>
        <w:rPr>
          <w:rFonts w:ascii="Times New Roman" w:hAnsi="Times New Roman" w:cs="Times New Roman"/>
          <w:color w:val="000000" w:themeColor="text1"/>
          <w:sz w:val="28"/>
          <w:szCs w:val="28"/>
          <w:u w:val="single"/>
        </w:rPr>
      </w:pPr>
      <w:r w:rsidRPr="004E796A">
        <w:rPr>
          <w:rFonts w:ascii="Times New Roman" w:hAnsi="Times New Roman" w:cs="Times New Roman"/>
          <w:color w:val="000000" w:themeColor="text1"/>
          <w:sz w:val="28"/>
          <w:szCs w:val="28"/>
          <w:u w:val="single"/>
        </w:rPr>
        <w:lastRenderedPageBreak/>
        <w:t>Statistical Approach</w:t>
      </w:r>
    </w:p>
    <w:p w14:paraId="55A103AC" w14:textId="6B53E251" w:rsidR="00FE2911" w:rsidRDefault="00FE2911" w:rsidP="009B306C">
      <w:pPr>
        <w:pStyle w:val="NormalWeb"/>
        <w:spacing w:before="0" w:beforeAutospacing="0" w:after="0" w:afterAutospacing="0" w:line="480" w:lineRule="auto"/>
        <w:ind w:firstLine="720"/>
      </w:pPr>
      <w:r w:rsidRPr="00FE2911">
        <w:t xml:space="preserve">Descriptive statistics were calculated for </w:t>
      </w:r>
      <w:r w:rsidR="007C28B5">
        <w:t>the</w:t>
      </w:r>
      <w:r w:rsidRPr="00FE2911">
        <w:t xml:space="preserve"> key </w:t>
      </w:r>
      <w:r w:rsidR="00D92891">
        <w:t>predictors</w:t>
      </w:r>
      <w:r w:rsidRPr="00FE2911">
        <w:t xml:space="preserve">, including obesity </w:t>
      </w:r>
      <w:r w:rsidR="00FF5266">
        <w:t>prevalence</w:t>
      </w:r>
      <w:r w:rsidRPr="00FE2911">
        <w:t>, soda consumption, and physical activity levels</w:t>
      </w:r>
      <w:r w:rsidR="0059026A">
        <w:t xml:space="preserve"> </w:t>
      </w:r>
      <w:r w:rsidR="0059026A" w:rsidRPr="00156D22">
        <w:t>(see Table 1)</w:t>
      </w:r>
      <w:r w:rsidRPr="00156D22">
        <w:t>.</w:t>
      </w:r>
      <w:r w:rsidRPr="00FE2911">
        <w:t xml:space="preserve"> </w:t>
      </w:r>
      <w:r w:rsidR="00DF280C">
        <w:t xml:space="preserve">Mean values of health indicators by race and year were also calculated (see Appendix). </w:t>
      </w:r>
      <w:r w:rsidRPr="00FE2911">
        <w:t>A</w:t>
      </w:r>
      <w:r w:rsidR="00371DE0">
        <w:t xml:space="preserve">lso, a </w:t>
      </w:r>
      <w:r w:rsidRPr="00FE2911">
        <w:t xml:space="preserve">correlation matrix was created to explore </w:t>
      </w:r>
      <w:r w:rsidR="007C28B5">
        <w:t xml:space="preserve">any </w:t>
      </w:r>
      <w:r w:rsidRPr="00FE2911">
        <w:t>relationships between</w:t>
      </w:r>
      <w:r w:rsidR="007C28B5">
        <w:t xml:space="preserve"> the</w:t>
      </w:r>
      <w:r w:rsidRPr="00FE2911">
        <w:t xml:space="preserve"> variables.</w:t>
      </w:r>
    </w:p>
    <w:p w14:paraId="4BCB54B6" w14:textId="6E076D05" w:rsidR="00DB2D71" w:rsidRPr="00DB2D71" w:rsidRDefault="00DB2D71" w:rsidP="00DB2D71">
      <w:pPr>
        <w:spacing w:after="200"/>
        <w:jc w:val="center"/>
        <w:rPr>
          <w:rFonts w:eastAsiaTheme="majorEastAsia"/>
          <w:b/>
          <w:bCs/>
          <w:color w:val="000000" w:themeColor="text1"/>
        </w:rPr>
      </w:pPr>
      <w:r w:rsidRPr="00642DBF">
        <w:rPr>
          <w:b/>
          <w:bCs/>
          <w:color w:val="000000" w:themeColor="text1"/>
        </w:rPr>
        <w:t xml:space="preserve">Table </w:t>
      </w:r>
      <w:r>
        <w:rPr>
          <w:b/>
          <w:bCs/>
          <w:color w:val="000000" w:themeColor="text1"/>
        </w:rPr>
        <w:t>1</w:t>
      </w:r>
      <w:r w:rsidRPr="00642DBF">
        <w:rPr>
          <w:b/>
          <w:bCs/>
          <w:color w:val="000000" w:themeColor="text1"/>
        </w:rPr>
        <w:t>.</w:t>
      </w:r>
      <w:r w:rsidRPr="00FE2911">
        <w:rPr>
          <w:color w:val="000000" w:themeColor="text1"/>
        </w:rPr>
        <w:t xml:space="preserve"> </w:t>
      </w:r>
      <w:r w:rsidR="00A81C1C">
        <w:rPr>
          <w:b/>
          <w:bCs/>
          <w:color w:val="000000" w:themeColor="text1"/>
        </w:rPr>
        <w:t xml:space="preserve">Descriptive Statistics for </w:t>
      </w:r>
      <w:r w:rsidR="002A659B">
        <w:rPr>
          <w:b/>
          <w:bCs/>
          <w:color w:val="000000" w:themeColor="text1"/>
        </w:rPr>
        <w:t>U.S. High School Students</w:t>
      </w:r>
      <w:r w:rsidR="00156D22">
        <w:rPr>
          <w:b/>
          <w:bCs/>
          <w:color w:val="000000" w:themeColor="text1"/>
        </w:rPr>
        <w:t xml:space="preserve"> (n=175)</w:t>
      </w:r>
    </w:p>
    <w:tbl>
      <w:tblPr>
        <w:tblStyle w:val="TableGrid"/>
        <w:tblW w:w="0" w:type="auto"/>
        <w:jc w:val="center"/>
        <w:tblLook w:val="04A0" w:firstRow="1" w:lastRow="0" w:firstColumn="1" w:lastColumn="0" w:noHBand="0" w:noVBand="1"/>
      </w:tblPr>
      <w:tblGrid>
        <w:gridCol w:w="1075"/>
        <w:gridCol w:w="2700"/>
        <w:gridCol w:w="2700"/>
        <w:gridCol w:w="2520"/>
      </w:tblGrid>
      <w:tr w:rsidR="003E594E" w14:paraId="4ED01678" w14:textId="77777777" w:rsidTr="002F23DE">
        <w:trPr>
          <w:jc w:val="center"/>
        </w:trPr>
        <w:tc>
          <w:tcPr>
            <w:tcW w:w="1075" w:type="dxa"/>
          </w:tcPr>
          <w:p w14:paraId="6AA4FE97" w14:textId="37DAFCD9" w:rsidR="003E594E" w:rsidRPr="003E594E" w:rsidRDefault="003E594E" w:rsidP="003E594E">
            <w:pPr>
              <w:pStyle w:val="NormalWeb"/>
              <w:spacing w:before="0" w:beforeAutospacing="0" w:after="0" w:afterAutospacing="0" w:line="360" w:lineRule="auto"/>
              <w:rPr>
                <w:b/>
                <w:bCs/>
              </w:rPr>
            </w:pPr>
            <w:r w:rsidRPr="003E594E">
              <w:rPr>
                <w:b/>
                <w:bCs/>
              </w:rPr>
              <w:t>Statistic</w:t>
            </w:r>
          </w:p>
        </w:tc>
        <w:tc>
          <w:tcPr>
            <w:tcW w:w="2700" w:type="dxa"/>
          </w:tcPr>
          <w:p w14:paraId="56C7E0FD" w14:textId="28075E38" w:rsidR="003E594E" w:rsidRPr="003E594E" w:rsidRDefault="003E594E" w:rsidP="003E594E">
            <w:pPr>
              <w:pStyle w:val="NormalWeb"/>
              <w:spacing w:before="0" w:beforeAutospacing="0" w:after="0" w:afterAutospacing="0" w:line="360" w:lineRule="auto"/>
              <w:rPr>
                <w:b/>
                <w:bCs/>
              </w:rPr>
            </w:pPr>
            <w:r w:rsidRPr="003E594E">
              <w:rPr>
                <w:b/>
                <w:bCs/>
              </w:rPr>
              <w:t>Obesity Prevalence (%)</w:t>
            </w:r>
          </w:p>
        </w:tc>
        <w:tc>
          <w:tcPr>
            <w:tcW w:w="2700" w:type="dxa"/>
          </w:tcPr>
          <w:p w14:paraId="4D0F2699" w14:textId="61C2B25F" w:rsidR="003E594E" w:rsidRPr="003E594E" w:rsidRDefault="003E594E" w:rsidP="003E594E">
            <w:pPr>
              <w:pStyle w:val="NormalWeb"/>
              <w:spacing w:before="0" w:beforeAutospacing="0" w:after="0" w:afterAutospacing="0" w:line="360" w:lineRule="auto"/>
              <w:rPr>
                <w:b/>
                <w:bCs/>
              </w:rPr>
            </w:pPr>
            <w:r w:rsidRPr="003E594E">
              <w:rPr>
                <w:b/>
                <w:bCs/>
              </w:rPr>
              <w:t>Soda Consumption (%)</w:t>
            </w:r>
          </w:p>
        </w:tc>
        <w:tc>
          <w:tcPr>
            <w:tcW w:w="2520" w:type="dxa"/>
          </w:tcPr>
          <w:p w14:paraId="59488982" w14:textId="4CC7A7F6" w:rsidR="003E594E" w:rsidRPr="003E594E" w:rsidRDefault="003E594E" w:rsidP="003E594E">
            <w:pPr>
              <w:pStyle w:val="NormalWeb"/>
              <w:spacing w:before="0" w:beforeAutospacing="0" w:after="0" w:afterAutospacing="0" w:line="360" w:lineRule="auto"/>
              <w:rPr>
                <w:b/>
                <w:bCs/>
              </w:rPr>
            </w:pPr>
            <w:r w:rsidRPr="003E594E">
              <w:rPr>
                <w:b/>
                <w:bCs/>
              </w:rPr>
              <w:t>Physical Activity (%)</w:t>
            </w:r>
          </w:p>
        </w:tc>
      </w:tr>
      <w:tr w:rsidR="003E594E" w14:paraId="1C8A073C" w14:textId="77777777" w:rsidTr="002F23DE">
        <w:trPr>
          <w:jc w:val="center"/>
        </w:trPr>
        <w:tc>
          <w:tcPr>
            <w:tcW w:w="1075" w:type="dxa"/>
          </w:tcPr>
          <w:p w14:paraId="1FFAD60F" w14:textId="76133D21" w:rsidR="003E594E" w:rsidRPr="003E594E" w:rsidRDefault="003E594E" w:rsidP="003E594E">
            <w:pPr>
              <w:pStyle w:val="NormalWeb"/>
              <w:spacing w:before="0" w:beforeAutospacing="0" w:after="0" w:afterAutospacing="0" w:line="360" w:lineRule="auto"/>
              <w:rPr>
                <w:b/>
                <w:bCs/>
              </w:rPr>
            </w:pPr>
            <w:r w:rsidRPr="003E594E">
              <w:rPr>
                <w:b/>
                <w:bCs/>
              </w:rPr>
              <w:t>Min</w:t>
            </w:r>
          </w:p>
        </w:tc>
        <w:tc>
          <w:tcPr>
            <w:tcW w:w="2700" w:type="dxa"/>
          </w:tcPr>
          <w:p w14:paraId="74F2B677" w14:textId="3419C2E9" w:rsidR="003E594E" w:rsidRDefault="003E594E" w:rsidP="003E594E">
            <w:pPr>
              <w:pStyle w:val="NormalWeb"/>
              <w:spacing w:before="0" w:beforeAutospacing="0" w:after="0" w:afterAutospacing="0" w:line="360" w:lineRule="auto"/>
            </w:pPr>
            <w:r>
              <w:t>5.50</w:t>
            </w:r>
          </w:p>
        </w:tc>
        <w:tc>
          <w:tcPr>
            <w:tcW w:w="2700" w:type="dxa"/>
          </w:tcPr>
          <w:p w14:paraId="1E4EFC34" w14:textId="2A8CFAE5" w:rsidR="003E594E" w:rsidRDefault="003E594E" w:rsidP="003E594E">
            <w:pPr>
              <w:pStyle w:val="NormalWeb"/>
              <w:spacing w:before="0" w:beforeAutospacing="0" w:after="0" w:afterAutospacing="0" w:line="360" w:lineRule="auto"/>
            </w:pPr>
            <w:r>
              <w:t>4.60</w:t>
            </w:r>
          </w:p>
        </w:tc>
        <w:tc>
          <w:tcPr>
            <w:tcW w:w="2520" w:type="dxa"/>
          </w:tcPr>
          <w:p w14:paraId="572E0BDD" w14:textId="539F4461" w:rsidR="003E594E" w:rsidRDefault="003E594E" w:rsidP="003E594E">
            <w:pPr>
              <w:pStyle w:val="NormalWeb"/>
              <w:spacing w:before="0" w:beforeAutospacing="0" w:after="0" w:afterAutospacing="0" w:line="360" w:lineRule="auto"/>
            </w:pPr>
            <w:r>
              <w:t>15.30</w:t>
            </w:r>
          </w:p>
        </w:tc>
      </w:tr>
      <w:tr w:rsidR="003E594E" w14:paraId="00336E85" w14:textId="77777777" w:rsidTr="002F23DE">
        <w:trPr>
          <w:jc w:val="center"/>
        </w:trPr>
        <w:tc>
          <w:tcPr>
            <w:tcW w:w="1075" w:type="dxa"/>
          </w:tcPr>
          <w:p w14:paraId="76445C7D" w14:textId="0804C8D4" w:rsidR="003E594E" w:rsidRPr="003E594E" w:rsidRDefault="003E594E" w:rsidP="003E594E">
            <w:pPr>
              <w:pStyle w:val="NormalWeb"/>
              <w:spacing w:before="0" w:beforeAutospacing="0" w:after="0" w:afterAutospacing="0" w:line="360" w:lineRule="auto"/>
              <w:rPr>
                <w:b/>
                <w:bCs/>
              </w:rPr>
            </w:pPr>
            <w:r w:rsidRPr="003E594E">
              <w:rPr>
                <w:b/>
                <w:bCs/>
              </w:rPr>
              <w:t>Q1</w:t>
            </w:r>
          </w:p>
        </w:tc>
        <w:tc>
          <w:tcPr>
            <w:tcW w:w="2700" w:type="dxa"/>
          </w:tcPr>
          <w:p w14:paraId="379D237E" w14:textId="709FC3C5" w:rsidR="003E594E" w:rsidRDefault="003E594E" w:rsidP="003E594E">
            <w:pPr>
              <w:pStyle w:val="NormalWeb"/>
              <w:spacing w:before="0" w:beforeAutospacing="0" w:after="0" w:afterAutospacing="0" w:line="360" w:lineRule="auto"/>
            </w:pPr>
            <w:r>
              <w:t>12.18</w:t>
            </w:r>
          </w:p>
        </w:tc>
        <w:tc>
          <w:tcPr>
            <w:tcW w:w="2700" w:type="dxa"/>
          </w:tcPr>
          <w:p w14:paraId="22676AD2" w14:textId="3C034B70" w:rsidR="003E594E" w:rsidRDefault="003E594E" w:rsidP="003E594E">
            <w:pPr>
              <w:pStyle w:val="NormalWeb"/>
              <w:spacing w:before="0" w:beforeAutospacing="0" w:after="0" w:afterAutospacing="0" w:line="360" w:lineRule="auto"/>
            </w:pPr>
            <w:r>
              <w:t>15.15</w:t>
            </w:r>
          </w:p>
        </w:tc>
        <w:tc>
          <w:tcPr>
            <w:tcW w:w="2520" w:type="dxa"/>
          </w:tcPr>
          <w:p w14:paraId="7479D027" w14:textId="652ACC61" w:rsidR="003E594E" w:rsidRDefault="003E594E" w:rsidP="003E594E">
            <w:pPr>
              <w:pStyle w:val="NormalWeb"/>
              <w:spacing w:before="0" w:beforeAutospacing="0" w:after="0" w:afterAutospacing="0" w:line="360" w:lineRule="auto"/>
            </w:pPr>
            <w:r>
              <w:t>21.45</w:t>
            </w:r>
          </w:p>
        </w:tc>
      </w:tr>
      <w:tr w:rsidR="003E594E" w14:paraId="495FE99B" w14:textId="77777777" w:rsidTr="002F23DE">
        <w:trPr>
          <w:jc w:val="center"/>
        </w:trPr>
        <w:tc>
          <w:tcPr>
            <w:tcW w:w="1075" w:type="dxa"/>
          </w:tcPr>
          <w:p w14:paraId="50238BA7" w14:textId="3AA322FE" w:rsidR="003E594E" w:rsidRPr="003E594E" w:rsidRDefault="003E594E" w:rsidP="003E594E">
            <w:pPr>
              <w:pStyle w:val="NormalWeb"/>
              <w:spacing w:before="0" w:beforeAutospacing="0" w:after="0" w:afterAutospacing="0" w:line="360" w:lineRule="auto"/>
              <w:rPr>
                <w:b/>
                <w:bCs/>
              </w:rPr>
            </w:pPr>
            <w:r w:rsidRPr="003E594E">
              <w:rPr>
                <w:b/>
                <w:bCs/>
              </w:rPr>
              <w:t>Median</w:t>
            </w:r>
          </w:p>
        </w:tc>
        <w:tc>
          <w:tcPr>
            <w:tcW w:w="2700" w:type="dxa"/>
          </w:tcPr>
          <w:p w14:paraId="7EB16D5E" w14:textId="030130A3" w:rsidR="003E594E" w:rsidRDefault="003E594E" w:rsidP="003E594E">
            <w:pPr>
              <w:pStyle w:val="NormalWeb"/>
              <w:spacing w:before="0" w:beforeAutospacing="0" w:after="0" w:afterAutospacing="0" w:line="360" w:lineRule="auto"/>
            </w:pPr>
            <w:r>
              <w:t>15.65</w:t>
            </w:r>
          </w:p>
        </w:tc>
        <w:tc>
          <w:tcPr>
            <w:tcW w:w="2700" w:type="dxa"/>
          </w:tcPr>
          <w:p w14:paraId="77BDA65B" w14:textId="0DEF0BB3" w:rsidR="003E594E" w:rsidRDefault="003E594E" w:rsidP="003E594E">
            <w:pPr>
              <w:pStyle w:val="NormalWeb"/>
              <w:spacing w:before="0" w:beforeAutospacing="0" w:after="0" w:afterAutospacing="0" w:line="360" w:lineRule="auto"/>
            </w:pPr>
            <w:r>
              <w:t>19.70</w:t>
            </w:r>
          </w:p>
        </w:tc>
        <w:tc>
          <w:tcPr>
            <w:tcW w:w="2520" w:type="dxa"/>
          </w:tcPr>
          <w:p w14:paraId="41A3F0F6" w14:textId="1306E1EF" w:rsidR="003E594E" w:rsidRDefault="003E594E" w:rsidP="003E594E">
            <w:pPr>
              <w:pStyle w:val="NormalWeb"/>
              <w:spacing w:before="0" w:beforeAutospacing="0" w:after="0" w:afterAutospacing="0" w:line="360" w:lineRule="auto"/>
            </w:pPr>
            <w:r>
              <w:t>26.15</w:t>
            </w:r>
          </w:p>
        </w:tc>
      </w:tr>
      <w:tr w:rsidR="003E594E" w14:paraId="4F04B3F8" w14:textId="77777777" w:rsidTr="002F23DE">
        <w:trPr>
          <w:jc w:val="center"/>
        </w:trPr>
        <w:tc>
          <w:tcPr>
            <w:tcW w:w="1075" w:type="dxa"/>
          </w:tcPr>
          <w:p w14:paraId="7F91A9C9" w14:textId="1D3346BB" w:rsidR="003E594E" w:rsidRPr="003E594E" w:rsidRDefault="003E594E" w:rsidP="003E594E">
            <w:pPr>
              <w:pStyle w:val="NormalWeb"/>
              <w:spacing w:before="0" w:beforeAutospacing="0" w:after="0" w:afterAutospacing="0" w:line="360" w:lineRule="auto"/>
              <w:rPr>
                <w:b/>
                <w:bCs/>
              </w:rPr>
            </w:pPr>
            <w:r w:rsidRPr="003E594E">
              <w:rPr>
                <w:b/>
                <w:bCs/>
              </w:rPr>
              <w:t>Mean</w:t>
            </w:r>
          </w:p>
        </w:tc>
        <w:tc>
          <w:tcPr>
            <w:tcW w:w="2700" w:type="dxa"/>
          </w:tcPr>
          <w:p w14:paraId="122B72FE" w14:textId="080D40ED" w:rsidR="003E594E" w:rsidRDefault="003E594E" w:rsidP="003E594E">
            <w:pPr>
              <w:pStyle w:val="NormalWeb"/>
              <w:spacing w:before="0" w:beforeAutospacing="0" w:after="0" w:afterAutospacing="0" w:line="360" w:lineRule="auto"/>
            </w:pPr>
            <w:r>
              <w:t>15.51</w:t>
            </w:r>
          </w:p>
        </w:tc>
        <w:tc>
          <w:tcPr>
            <w:tcW w:w="2700" w:type="dxa"/>
          </w:tcPr>
          <w:p w14:paraId="27E72E33" w14:textId="67FAD221" w:rsidR="003E594E" w:rsidRDefault="003E594E" w:rsidP="003E594E">
            <w:pPr>
              <w:pStyle w:val="NormalWeb"/>
              <w:spacing w:before="0" w:beforeAutospacing="0" w:after="0" w:afterAutospacing="0" w:line="360" w:lineRule="auto"/>
            </w:pPr>
            <w:r>
              <w:t>19.76</w:t>
            </w:r>
          </w:p>
        </w:tc>
        <w:tc>
          <w:tcPr>
            <w:tcW w:w="2520" w:type="dxa"/>
          </w:tcPr>
          <w:p w14:paraId="6AE42FA5" w14:textId="5FAA65F3" w:rsidR="003E594E" w:rsidRDefault="003E594E" w:rsidP="003E594E">
            <w:pPr>
              <w:pStyle w:val="NormalWeb"/>
              <w:spacing w:before="0" w:beforeAutospacing="0" w:after="0" w:afterAutospacing="0" w:line="360" w:lineRule="auto"/>
            </w:pPr>
            <w:r>
              <w:t>25.68</w:t>
            </w:r>
          </w:p>
        </w:tc>
      </w:tr>
      <w:tr w:rsidR="003E594E" w14:paraId="63768B5C" w14:textId="77777777" w:rsidTr="002F23DE">
        <w:trPr>
          <w:jc w:val="center"/>
        </w:trPr>
        <w:tc>
          <w:tcPr>
            <w:tcW w:w="1075" w:type="dxa"/>
          </w:tcPr>
          <w:p w14:paraId="027901A5" w14:textId="0955D5E7" w:rsidR="003E594E" w:rsidRPr="003E594E" w:rsidRDefault="003E594E" w:rsidP="003E594E">
            <w:pPr>
              <w:pStyle w:val="NormalWeb"/>
              <w:spacing w:before="0" w:beforeAutospacing="0" w:after="0" w:afterAutospacing="0" w:line="360" w:lineRule="auto"/>
              <w:rPr>
                <w:b/>
                <w:bCs/>
              </w:rPr>
            </w:pPr>
            <w:r w:rsidRPr="003E594E">
              <w:rPr>
                <w:b/>
                <w:bCs/>
              </w:rPr>
              <w:t>Q3</w:t>
            </w:r>
          </w:p>
        </w:tc>
        <w:tc>
          <w:tcPr>
            <w:tcW w:w="2700" w:type="dxa"/>
          </w:tcPr>
          <w:p w14:paraId="7740D488" w14:textId="76A6272C" w:rsidR="003E594E" w:rsidRDefault="003E594E" w:rsidP="003E594E">
            <w:pPr>
              <w:pStyle w:val="NormalWeb"/>
              <w:spacing w:before="0" w:beforeAutospacing="0" w:after="0" w:afterAutospacing="0" w:line="360" w:lineRule="auto"/>
            </w:pPr>
            <w:r>
              <w:t>18.27</w:t>
            </w:r>
          </w:p>
        </w:tc>
        <w:tc>
          <w:tcPr>
            <w:tcW w:w="2700" w:type="dxa"/>
          </w:tcPr>
          <w:p w14:paraId="0D264B17" w14:textId="2C27B6E0" w:rsidR="003E594E" w:rsidRDefault="003E594E" w:rsidP="003E594E">
            <w:pPr>
              <w:pStyle w:val="NormalWeb"/>
              <w:spacing w:before="0" w:beforeAutospacing="0" w:after="0" w:afterAutospacing="0" w:line="360" w:lineRule="auto"/>
            </w:pPr>
            <w:r>
              <w:t>23.90</w:t>
            </w:r>
          </w:p>
        </w:tc>
        <w:tc>
          <w:tcPr>
            <w:tcW w:w="2520" w:type="dxa"/>
          </w:tcPr>
          <w:p w14:paraId="111B6822" w14:textId="2AFA8ABA" w:rsidR="003E594E" w:rsidRDefault="003E594E" w:rsidP="003E594E">
            <w:pPr>
              <w:pStyle w:val="NormalWeb"/>
              <w:spacing w:before="0" w:beforeAutospacing="0" w:after="0" w:afterAutospacing="0" w:line="360" w:lineRule="auto"/>
            </w:pPr>
            <w:r>
              <w:t>28.23</w:t>
            </w:r>
          </w:p>
        </w:tc>
      </w:tr>
      <w:tr w:rsidR="003E594E" w14:paraId="5FA6F7D7" w14:textId="77777777" w:rsidTr="002F23DE">
        <w:trPr>
          <w:jc w:val="center"/>
        </w:trPr>
        <w:tc>
          <w:tcPr>
            <w:tcW w:w="1075" w:type="dxa"/>
          </w:tcPr>
          <w:p w14:paraId="55CD2C4D" w14:textId="2A4FE00D" w:rsidR="003E594E" w:rsidRPr="003E594E" w:rsidRDefault="003E594E" w:rsidP="003E594E">
            <w:pPr>
              <w:pStyle w:val="NormalWeb"/>
              <w:spacing w:before="0" w:beforeAutospacing="0" w:after="0" w:afterAutospacing="0" w:line="360" w:lineRule="auto"/>
              <w:rPr>
                <w:b/>
                <w:bCs/>
              </w:rPr>
            </w:pPr>
            <w:r w:rsidRPr="003E594E">
              <w:rPr>
                <w:b/>
                <w:bCs/>
              </w:rPr>
              <w:t>Max</w:t>
            </w:r>
          </w:p>
        </w:tc>
        <w:tc>
          <w:tcPr>
            <w:tcW w:w="2700" w:type="dxa"/>
          </w:tcPr>
          <w:p w14:paraId="3B2964AF" w14:textId="29C77717" w:rsidR="003E594E" w:rsidRDefault="003E594E" w:rsidP="003E594E">
            <w:pPr>
              <w:pStyle w:val="NormalWeb"/>
              <w:spacing w:before="0" w:beforeAutospacing="0" w:after="0" w:afterAutospacing="0" w:line="360" w:lineRule="auto"/>
            </w:pPr>
            <w:r>
              <w:t>29.40</w:t>
            </w:r>
          </w:p>
        </w:tc>
        <w:tc>
          <w:tcPr>
            <w:tcW w:w="2700" w:type="dxa"/>
          </w:tcPr>
          <w:p w14:paraId="3E0857D4" w14:textId="03BBD725" w:rsidR="003E594E" w:rsidRDefault="003E594E" w:rsidP="003E594E">
            <w:pPr>
              <w:pStyle w:val="NormalWeb"/>
              <w:spacing w:before="0" w:beforeAutospacing="0" w:after="0" w:afterAutospacing="0" w:line="360" w:lineRule="auto"/>
            </w:pPr>
            <w:r>
              <w:t>35.80</w:t>
            </w:r>
          </w:p>
        </w:tc>
        <w:tc>
          <w:tcPr>
            <w:tcW w:w="2520" w:type="dxa"/>
          </w:tcPr>
          <w:p w14:paraId="611E3A14" w14:textId="4CCF341C" w:rsidR="003E594E" w:rsidRDefault="003E594E" w:rsidP="003E594E">
            <w:pPr>
              <w:pStyle w:val="NormalWeb"/>
              <w:spacing w:before="0" w:beforeAutospacing="0" w:after="0" w:afterAutospacing="0" w:line="360" w:lineRule="auto"/>
            </w:pPr>
            <w:r>
              <w:t>40.00</w:t>
            </w:r>
          </w:p>
        </w:tc>
      </w:tr>
    </w:tbl>
    <w:p w14:paraId="515E3DE0" w14:textId="77777777" w:rsidR="00FB5CF1" w:rsidRPr="00FE2911" w:rsidRDefault="00FB5CF1" w:rsidP="003E594E">
      <w:pPr>
        <w:pStyle w:val="NormalWeb"/>
        <w:spacing w:before="0" w:beforeAutospacing="0" w:after="0" w:afterAutospacing="0" w:line="480" w:lineRule="auto"/>
      </w:pPr>
    </w:p>
    <w:p w14:paraId="1D16B813" w14:textId="77777777" w:rsidR="00FE2911" w:rsidRPr="009E4C47" w:rsidRDefault="00FE2911" w:rsidP="00FE2911">
      <w:pPr>
        <w:pStyle w:val="Heading2"/>
        <w:spacing w:before="0" w:line="480" w:lineRule="auto"/>
        <w:rPr>
          <w:rFonts w:ascii="Times New Roman" w:hAnsi="Times New Roman" w:cs="Times New Roman"/>
          <w:i/>
          <w:iCs/>
          <w:color w:val="000000" w:themeColor="text1"/>
          <w:sz w:val="24"/>
          <w:szCs w:val="24"/>
        </w:rPr>
      </w:pPr>
      <w:r w:rsidRPr="009E4C47">
        <w:rPr>
          <w:rFonts w:ascii="Times New Roman" w:hAnsi="Times New Roman" w:cs="Times New Roman"/>
          <w:i/>
          <w:iCs/>
          <w:color w:val="000000" w:themeColor="text1"/>
          <w:sz w:val="24"/>
          <w:szCs w:val="24"/>
        </w:rPr>
        <w:t>Modeling Strategy</w:t>
      </w:r>
    </w:p>
    <w:p w14:paraId="0BA07B89" w14:textId="2F3DC89E" w:rsidR="00FE2911" w:rsidRPr="00FE2911" w:rsidRDefault="00FE2911" w:rsidP="009B306C">
      <w:pPr>
        <w:pStyle w:val="NormalWeb"/>
        <w:spacing w:before="0" w:beforeAutospacing="0" w:after="0" w:afterAutospacing="0" w:line="480" w:lineRule="auto"/>
        <w:ind w:firstLine="720"/>
      </w:pPr>
      <w:r w:rsidRPr="00FE2911">
        <w:t>A simple linear regression model was used to evaluate trends in obesity over time. Then, a multiple linear regression model was run to examine how soda consumption, physical activity, race/ethnicity, and year were associated with obesity prevalence. Visualizations, including scatter plots, histograms, and line graphs, were used to illustrate variable trends over time and by racial/ethnic group</w:t>
      </w:r>
      <w:r w:rsidR="004757EC">
        <w:t xml:space="preserve"> (see Appendix). </w:t>
      </w:r>
    </w:p>
    <w:p w14:paraId="26AFE6F3" w14:textId="77777777" w:rsidR="00FE2911" w:rsidRPr="004E796A" w:rsidRDefault="00FE2911" w:rsidP="00FE2911">
      <w:pPr>
        <w:pStyle w:val="Heading1"/>
        <w:spacing w:before="0" w:line="480" w:lineRule="auto"/>
        <w:rPr>
          <w:rFonts w:ascii="Times New Roman" w:hAnsi="Times New Roman" w:cs="Times New Roman"/>
          <w:color w:val="000000" w:themeColor="text1"/>
          <w:sz w:val="28"/>
          <w:szCs w:val="28"/>
          <w:u w:val="single"/>
        </w:rPr>
      </w:pPr>
      <w:r w:rsidRPr="004E796A">
        <w:rPr>
          <w:rFonts w:ascii="Times New Roman" w:hAnsi="Times New Roman" w:cs="Times New Roman"/>
          <w:color w:val="000000" w:themeColor="text1"/>
          <w:sz w:val="28"/>
          <w:szCs w:val="28"/>
          <w:u w:val="single"/>
        </w:rPr>
        <w:t>Analysis and Results</w:t>
      </w:r>
    </w:p>
    <w:p w14:paraId="7EA4A952" w14:textId="6E98FB7F" w:rsidR="00D47453" w:rsidRPr="00DF280C" w:rsidRDefault="00FE2911" w:rsidP="00DF280C">
      <w:pPr>
        <w:pStyle w:val="NormalWeb"/>
        <w:spacing w:before="0" w:beforeAutospacing="0" w:after="0" w:afterAutospacing="0" w:line="480" w:lineRule="auto"/>
        <w:ind w:firstLine="720"/>
      </w:pPr>
      <w:r w:rsidRPr="00FE2911">
        <w:t>The simple linear regression showed that obesity rates significantly increased over time</w:t>
      </w:r>
      <w:r w:rsidR="003370D5">
        <w:t xml:space="preserve"> (see Table 2)</w:t>
      </w:r>
      <w:r w:rsidRPr="00FE2911">
        <w:t>. Th</w:t>
      </w:r>
      <w:r w:rsidR="00607C2C">
        <w:t xml:space="preserve">is </w:t>
      </w:r>
      <w:r w:rsidRPr="00FE2911">
        <w:t xml:space="preserve">model </w:t>
      </w:r>
      <w:r w:rsidR="00AA6E0D">
        <w:t>confirmed this trend by using year as a predictor</w:t>
      </w:r>
      <w:r w:rsidRPr="00FE2911">
        <w:t xml:space="preserve"> (Estimate = 0.5635, p = 0.0314, 95% CI [0.053, 1.074]) and </w:t>
      </w:r>
      <w:r w:rsidR="00B0165A">
        <w:t xml:space="preserve">also </w:t>
      </w:r>
      <w:r w:rsidRPr="00FE2911">
        <w:t xml:space="preserve">explained 9.3% of the variance in obesity (Adjusted </w:t>
      </w:r>
      <w:r w:rsidRPr="00FE2911">
        <w:lastRenderedPageBreak/>
        <w:t>R² = 0.093). Residuals from this model were approximately normally distributed</w:t>
      </w:r>
      <w:r w:rsidR="00CF229E">
        <w:t xml:space="preserve">, which verifies the validity of the results. </w:t>
      </w:r>
    </w:p>
    <w:p w14:paraId="55BBE8A1" w14:textId="6BAD9E74" w:rsidR="002014B9" w:rsidRPr="002014B9" w:rsidRDefault="002014B9" w:rsidP="00A14FC0">
      <w:pPr>
        <w:spacing w:after="200"/>
        <w:jc w:val="center"/>
        <w:rPr>
          <w:rFonts w:eastAsiaTheme="majorEastAsia"/>
          <w:b/>
          <w:bCs/>
          <w:color w:val="000000" w:themeColor="text1"/>
        </w:rPr>
      </w:pPr>
      <w:r w:rsidRPr="00642DBF">
        <w:rPr>
          <w:b/>
          <w:bCs/>
          <w:color w:val="000000" w:themeColor="text1"/>
        </w:rPr>
        <w:t xml:space="preserve">Table </w:t>
      </w:r>
      <w:r>
        <w:rPr>
          <w:b/>
          <w:bCs/>
          <w:color w:val="000000" w:themeColor="text1"/>
        </w:rPr>
        <w:t>2</w:t>
      </w:r>
      <w:r w:rsidRPr="00642DBF">
        <w:rPr>
          <w:b/>
          <w:bCs/>
          <w:color w:val="000000" w:themeColor="text1"/>
        </w:rPr>
        <w:t>.</w:t>
      </w:r>
      <w:r w:rsidRPr="00FE2911">
        <w:rPr>
          <w:color w:val="000000" w:themeColor="text1"/>
        </w:rPr>
        <w:t xml:space="preserve"> </w:t>
      </w:r>
      <w:r w:rsidR="00DB2D71">
        <w:rPr>
          <w:b/>
          <w:bCs/>
          <w:color w:val="000000" w:themeColor="text1"/>
        </w:rPr>
        <w:t xml:space="preserve">Simple </w:t>
      </w:r>
      <w:r w:rsidRPr="002014B9">
        <w:rPr>
          <w:b/>
          <w:bCs/>
          <w:color w:val="000000" w:themeColor="text1"/>
        </w:rPr>
        <w:t xml:space="preserve">Linear Regression Results Predicting Obesity </w:t>
      </w:r>
      <w:r w:rsidR="00DB2D71">
        <w:rPr>
          <w:b/>
          <w:bCs/>
          <w:color w:val="000000" w:themeColor="text1"/>
        </w:rPr>
        <w:t>Over Time</w:t>
      </w:r>
    </w:p>
    <w:tbl>
      <w:tblPr>
        <w:tblStyle w:val="TableGrid"/>
        <w:tblW w:w="0" w:type="auto"/>
        <w:jc w:val="center"/>
        <w:tblLook w:val="04A0" w:firstRow="1" w:lastRow="0" w:firstColumn="1" w:lastColumn="0" w:noHBand="0" w:noVBand="1"/>
      </w:tblPr>
      <w:tblGrid>
        <w:gridCol w:w="1189"/>
        <w:gridCol w:w="1123"/>
        <w:gridCol w:w="1283"/>
        <w:gridCol w:w="996"/>
        <w:gridCol w:w="1976"/>
      </w:tblGrid>
      <w:tr w:rsidR="00871C96" w:rsidRPr="00FE2911" w14:paraId="240DCAE8" w14:textId="77777777" w:rsidTr="00A14FC0">
        <w:trPr>
          <w:jc w:val="center"/>
        </w:trPr>
        <w:tc>
          <w:tcPr>
            <w:tcW w:w="0" w:type="auto"/>
            <w:hideMark/>
          </w:tcPr>
          <w:p w14:paraId="75B12C30" w14:textId="77777777" w:rsidR="00871C96" w:rsidRPr="00FE2911" w:rsidRDefault="00871C96" w:rsidP="00A14FC0">
            <w:pPr>
              <w:spacing w:line="360" w:lineRule="auto"/>
              <w:rPr>
                <w:b/>
                <w:bCs/>
              </w:rPr>
            </w:pPr>
            <w:r w:rsidRPr="00FE2911">
              <w:rPr>
                <w:b/>
                <w:bCs/>
              </w:rPr>
              <w:t>Predictor</w:t>
            </w:r>
          </w:p>
        </w:tc>
        <w:tc>
          <w:tcPr>
            <w:tcW w:w="0" w:type="auto"/>
            <w:hideMark/>
          </w:tcPr>
          <w:p w14:paraId="28F9349C" w14:textId="77777777" w:rsidR="00871C96" w:rsidRPr="00FE2911" w:rsidRDefault="00871C96" w:rsidP="00A14FC0">
            <w:pPr>
              <w:spacing w:line="360" w:lineRule="auto"/>
              <w:jc w:val="center"/>
              <w:rPr>
                <w:b/>
                <w:bCs/>
              </w:rPr>
            </w:pPr>
            <w:r w:rsidRPr="00FE2911">
              <w:rPr>
                <w:b/>
                <w:bCs/>
              </w:rPr>
              <w:t>Estimate</w:t>
            </w:r>
          </w:p>
        </w:tc>
        <w:tc>
          <w:tcPr>
            <w:tcW w:w="0" w:type="auto"/>
            <w:hideMark/>
          </w:tcPr>
          <w:p w14:paraId="7B641238" w14:textId="77777777" w:rsidR="00871C96" w:rsidRPr="00FE2911" w:rsidRDefault="00871C96" w:rsidP="00A14FC0">
            <w:pPr>
              <w:spacing w:line="360" w:lineRule="auto"/>
              <w:jc w:val="center"/>
              <w:rPr>
                <w:b/>
                <w:bCs/>
              </w:rPr>
            </w:pPr>
            <w:r w:rsidRPr="00FE2911">
              <w:rPr>
                <w:b/>
                <w:bCs/>
              </w:rPr>
              <w:t>Std. Error</w:t>
            </w:r>
          </w:p>
        </w:tc>
        <w:tc>
          <w:tcPr>
            <w:tcW w:w="0" w:type="auto"/>
            <w:hideMark/>
          </w:tcPr>
          <w:p w14:paraId="491BEE79" w14:textId="77777777" w:rsidR="00871C96" w:rsidRPr="00FE2911" w:rsidRDefault="00871C96" w:rsidP="00A14FC0">
            <w:pPr>
              <w:spacing w:line="360" w:lineRule="auto"/>
              <w:jc w:val="center"/>
              <w:rPr>
                <w:b/>
                <w:bCs/>
              </w:rPr>
            </w:pPr>
            <w:r w:rsidRPr="00FE2911">
              <w:rPr>
                <w:b/>
                <w:bCs/>
              </w:rPr>
              <w:t>p-value</w:t>
            </w:r>
          </w:p>
        </w:tc>
        <w:tc>
          <w:tcPr>
            <w:tcW w:w="0" w:type="auto"/>
            <w:hideMark/>
          </w:tcPr>
          <w:p w14:paraId="4F9862A9" w14:textId="77777777" w:rsidR="00871C96" w:rsidRPr="00FE2911" w:rsidRDefault="00871C96" w:rsidP="00A14FC0">
            <w:pPr>
              <w:spacing w:line="360" w:lineRule="auto"/>
              <w:jc w:val="center"/>
              <w:rPr>
                <w:b/>
                <w:bCs/>
              </w:rPr>
            </w:pPr>
            <w:r w:rsidRPr="00FE2911">
              <w:rPr>
                <w:b/>
                <w:bCs/>
              </w:rPr>
              <w:t>95% CI</w:t>
            </w:r>
          </w:p>
        </w:tc>
      </w:tr>
      <w:tr w:rsidR="00871C96" w:rsidRPr="00FE2911" w14:paraId="443104AC" w14:textId="77777777" w:rsidTr="00A14FC0">
        <w:trPr>
          <w:jc w:val="center"/>
        </w:trPr>
        <w:tc>
          <w:tcPr>
            <w:tcW w:w="0" w:type="auto"/>
            <w:hideMark/>
          </w:tcPr>
          <w:p w14:paraId="402DF422" w14:textId="77777777" w:rsidR="00871C96" w:rsidRPr="00FE2911" w:rsidRDefault="00871C96" w:rsidP="00A14FC0">
            <w:pPr>
              <w:spacing w:line="360" w:lineRule="auto"/>
            </w:pPr>
            <w:r w:rsidRPr="00FE2911">
              <w:t>Intercept</w:t>
            </w:r>
          </w:p>
        </w:tc>
        <w:tc>
          <w:tcPr>
            <w:tcW w:w="0" w:type="auto"/>
            <w:hideMark/>
          </w:tcPr>
          <w:p w14:paraId="3DFB8BA0" w14:textId="095DF25F" w:rsidR="00871C96" w:rsidRPr="00FE2911" w:rsidRDefault="009F207C" w:rsidP="00A14FC0">
            <w:pPr>
              <w:spacing w:line="360" w:lineRule="auto"/>
              <w:jc w:val="center"/>
            </w:pPr>
            <w:r>
              <w:t>-1120.43</w:t>
            </w:r>
          </w:p>
        </w:tc>
        <w:tc>
          <w:tcPr>
            <w:tcW w:w="0" w:type="auto"/>
            <w:hideMark/>
          </w:tcPr>
          <w:p w14:paraId="762859B4" w14:textId="35630B15" w:rsidR="00871C96" w:rsidRPr="00FE2911" w:rsidRDefault="009F207C" w:rsidP="00A14FC0">
            <w:pPr>
              <w:spacing w:line="360" w:lineRule="auto"/>
              <w:jc w:val="center"/>
            </w:pPr>
            <w:r>
              <w:t>508.49</w:t>
            </w:r>
          </w:p>
        </w:tc>
        <w:tc>
          <w:tcPr>
            <w:tcW w:w="0" w:type="auto"/>
            <w:hideMark/>
          </w:tcPr>
          <w:p w14:paraId="050653C4" w14:textId="0C564130" w:rsidR="00871C96" w:rsidRPr="00FE2911" w:rsidRDefault="00871C96" w:rsidP="00A14FC0">
            <w:pPr>
              <w:spacing w:line="360" w:lineRule="auto"/>
              <w:jc w:val="center"/>
            </w:pPr>
            <w:r w:rsidRPr="00FE2911">
              <w:t>0.0</w:t>
            </w:r>
            <w:r w:rsidR="009F4973">
              <w:t>337</w:t>
            </w:r>
            <w:r>
              <w:t>*</w:t>
            </w:r>
          </w:p>
        </w:tc>
        <w:tc>
          <w:tcPr>
            <w:tcW w:w="0" w:type="auto"/>
            <w:hideMark/>
          </w:tcPr>
          <w:p w14:paraId="5EC845F7" w14:textId="67B83DD5" w:rsidR="00871C96" w:rsidRPr="00FE2911" w:rsidRDefault="00871C96" w:rsidP="00A14FC0">
            <w:pPr>
              <w:spacing w:line="360" w:lineRule="auto"/>
              <w:jc w:val="center"/>
            </w:pPr>
            <w:r w:rsidRPr="00FE2911">
              <w:t>[-</w:t>
            </w:r>
            <w:r w:rsidR="009F4973">
              <w:t>2149.81</w:t>
            </w:r>
            <w:r w:rsidRPr="00FE2911">
              <w:t>, -</w:t>
            </w:r>
            <w:r w:rsidR="009F4973">
              <w:t>91.04</w:t>
            </w:r>
            <w:r w:rsidRPr="00FE2911">
              <w:t>]</w:t>
            </w:r>
          </w:p>
        </w:tc>
      </w:tr>
      <w:tr w:rsidR="00871C96" w:rsidRPr="00FE2911" w14:paraId="237ACBF6" w14:textId="77777777" w:rsidTr="00A14FC0">
        <w:trPr>
          <w:jc w:val="center"/>
        </w:trPr>
        <w:tc>
          <w:tcPr>
            <w:tcW w:w="0" w:type="auto"/>
            <w:hideMark/>
          </w:tcPr>
          <w:p w14:paraId="278D2290" w14:textId="1F49A273" w:rsidR="00871C96" w:rsidRPr="00FE2911" w:rsidRDefault="009F207C" w:rsidP="00A14FC0">
            <w:pPr>
              <w:spacing w:line="360" w:lineRule="auto"/>
            </w:pPr>
            <w:r>
              <w:t>Year</w:t>
            </w:r>
          </w:p>
        </w:tc>
        <w:tc>
          <w:tcPr>
            <w:tcW w:w="0" w:type="auto"/>
            <w:hideMark/>
          </w:tcPr>
          <w:p w14:paraId="6C73AD40" w14:textId="582C9124" w:rsidR="00871C96" w:rsidRPr="00FE2911" w:rsidRDefault="00871C96" w:rsidP="00A14FC0">
            <w:pPr>
              <w:spacing w:line="360" w:lineRule="auto"/>
              <w:jc w:val="center"/>
            </w:pPr>
            <w:r w:rsidRPr="00FE2911">
              <w:t>0.</w:t>
            </w:r>
            <w:r w:rsidR="001E4C7A">
              <w:t>5635</w:t>
            </w:r>
          </w:p>
        </w:tc>
        <w:tc>
          <w:tcPr>
            <w:tcW w:w="0" w:type="auto"/>
            <w:hideMark/>
          </w:tcPr>
          <w:p w14:paraId="2CCA6045" w14:textId="5BF5A5E2" w:rsidR="00871C96" w:rsidRPr="00FE2911" w:rsidRDefault="001E4C7A" w:rsidP="00A14FC0">
            <w:pPr>
              <w:spacing w:line="360" w:lineRule="auto"/>
              <w:jc w:val="center"/>
            </w:pPr>
            <w:r>
              <w:t>0.2522</w:t>
            </w:r>
          </w:p>
        </w:tc>
        <w:tc>
          <w:tcPr>
            <w:tcW w:w="0" w:type="auto"/>
            <w:hideMark/>
          </w:tcPr>
          <w:p w14:paraId="6ADBFFD2" w14:textId="12484F65" w:rsidR="00871C96" w:rsidRPr="00FE2911" w:rsidRDefault="00871C96" w:rsidP="00A14FC0">
            <w:pPr>
              <w:spacing w:line="360" w:lineRule="auto"/>
              <w:jc w:val="center"/>
            </w:pPr>
            <w:r w:rsidRPr="00FE2911">
              <w:t>0.</w:t>
            </w:r>
            <w:r w:rsidR="001E4C7A">
              <w:t>0314*</w:t>
            </w:r>
          </w:p>
        </w:tc>
        <w:tc>
          <w:tcPr>
            <w:tcW w:w="0" w:type="auto"/>
            <w:hideMark/>
          </w:tcPr>
          <w:p w14:paraId="14F20371" w14:textId="7A614914" w:rsidR="00871C96" w:rsidRPr="00FE2911" w:rsidRDefault="00871C96" w:rsidP="00A14FC0">
            <w:pPr>
              <w:spacing w:line="360" w:lineRule="auto"/>
              <w:jc w:val="center"/>
            </w:pPr>
            <w:r w:rsidRPr="00FE2911">
              <w:t>[</w:t>
            </w:r>
            <w:r w:rsidR="001E4C7A">
              <w:t>0.0529</w:t>
            </w:r>
            <w:r w:rsidRPr="00FE2911">
              <w:t xml:space="preserve">, </w:t>
            </w:r>
            <w:r w:rsidR="001E4C7A">
              <w:t>1.0741</w:t>
            </w:r>
            <w:r w:rsidRPr="00FE2911">
              <w:t>]</w:t>
            </w:r>
          </w:p>
        </w:tc>
      </w:tr>
    </w:tbl>
    <w:p w14:paraId="48B97E81" w14:textId="418484D6" w:rsidR="00871C96" w:rsidRDefault="00642DBF" w:rsidP="00A14FC0">
      <w:pPr>
        <w:pStyle w:val="NormalWeb"/>
        <w:spacing w:before="0" w:beforeAutospacing="0" w:after="0" w:afterAutospacing="0" w:line="276" w:lineRule="auto"/>
        <w:jc w:val="center"/>
        <w:rPr>
          <w:rStyle w:val="Emphasis"/>
        </w:rPr>
      </w:pPr>
      <w:r w:rsidRPr="00CD1B54">
        <w:rPr>
          <w:rStyle w:val="Emphasis"/>
          <w:b/>
          <w:bCs/>
          <w:i w:val="0"/>
          <w:iCs w:val="0"/>
        </w:rPr>
        <w:t>Note:</w:t>
      </w:r>
      <w:r w:rsidRPr="00FE2911">
        <w:rPr>
          <w:rStyle w:val="Emphasis"/>
        </w:rPr>
        <w:t xml:space="preserve"> Adjusted R² = 0.1</w:t>
      </w:r>
      <w:r w:rsidR="002014B9">
        <w:rPr>
          <w:rStyle w:val="Emphasis"/>
        </w:rPr>
        <w:t>2</w:t>
      </w:r>
      <w:r>
        <w:rPr>
          <w:rStyle w:val="Emphasis"/>
        </w:rPr>
        <w:t>. * denotes a significant value of &lt; 0.05.</w:t>
      </w:r>
    </w:p>
    <w:p w14:paraId="152DE32F" w14:textId="77777777" w:rsidR="00642DBF" w:rsidRPr="00642DBF" w:rsidRDefault="00642DBF" w:rsidP="00642DBF">
      <w:pPr>
        <w:pStyle w:val="NormalWeb"/>
        <w:spacing w:before="0" w:beforeAutospacing="0" w:after="0" w:afterAutospacing="0" w:line="276" w:lineRule="auto"/>
        <w:rPr>
          <w:i/>
          <w:iCs/>
        </w:rPr>
      </w:pPr>
    </w:p>
    <w:p w14:paraId="21CAC827" w14:textId="18FABD96" w:rsidR="00FE2911" w:rsidRPr="00FE2911" w:rsidRDefault="00FE2911" w:rsidP="009B306C">
      <w:pPr>
        <w:pStyle w:val="NormalWeb"/>
        <w:spacing w:before="0" w:beforeAutospacing="0" w:after="0" w:afterAutospacing="0" w:line="480" w:lineRule="auto"/>
        <w:ind w:firstLine="720"/>
      </w:pPr>
      <w:r w:rsidRPr="00FE2911">
        <w:t>The multiple linear regression model revealed several key findings</w:t>
      </w:r>
      <w:r w:rsidR="007747D1">
        <w:t xml:space="preserve"> (see Table </w:t>
      </w:r>
      <w:r w:rsidR="003370D5">
        <w:t>3</w:t>
      </w:r>
      <w:r w:rsidR="007747D1">
        <w:t>)</w:t>
      </w:r>
      <w:r w:rsidRPr="00FE2911">
        <w:t xml:space="preserve">. Soda consumption and physical activity were not significantly associated with obesity. However, the </w:t>
      </w:r>
      <w:r w:rsidR="002B2BEC">
        <w:t xml:space="preserve">students who identified as </w:t>
      </w:r>
      <w:r w:rsidRPr="00FE2911">
        <w:t>Hawaiian/Pacific Islander</w:t>
      </w:r>
      <w:r w:rsidR="00F61D16">
        <w:t xml:space="preserve"> </w:t>
      </w:r>
      <w:r w:rsidRPr="00FE2911">
        <w:t xml:space="preserve">showed a significant positive association with obesity prevalence. </w:t>
      </w:r>
      <w:r w:rsidR="00267D53">
        <w:t>The y</w:t>
      </w:r>
      <w:r w:rsidRPr="00FE2911">
        <w:t xml:space="preserve">ear </w:t>
      </w:r>
      <w:r w:rsidR="00F61D16">
        <w:t xml:space="preserve">of data collection </w:t>
      </w:r>
      <w:r w:rsidRPr="00FE2911">
        <w:t xml:space="preserve">was also a significant predictor, suggesting that obesity has increased over time regardless of behavior changes. The </w:t>
      </w:r>
      <w:r w:rsidR="00F61D16">
        <w:t xml:space="preserve">full </w:t>
      </w:r>
      <w:r w:rsidRPr="00FE2911">
        <w:t>model explained about 57% of the variance in obesity (Adjusted R² = 0.571).</w:t>
      </w:r>
      <w:r w:rsidR="000744CB">
        <w:t xml:space="preserve"> A scatterplot with a regression line </w:t>
      </w:r>
      <w:r w:rsidR="00E3322B">
        <w:t xml:space="preserve">and a forest plot </w:t>
      </w:r>
      <w:r w:rsidR="000744CB">
        <w:t>w</w:t>
      </w:r>
      <w:r w:rsidR="00E3322B">
        <w:t>ere</w:t>
      </w:r>
      <w:r w:rsidR="000744CB">
        <w:t xml:space="preserve"> </w:t>
      </w:r>
      <w:r w:rsidR="00E3322B">
        <w:t>created to</w:t>
      </w:r>
      <w:r w:rsidR="000744CB">
        <w:t xml:space="preserve"> visualize the </w:t>
      </w:r>
      <w:r w:rsidR="00E3322B">
        <w:t xml:space="preserve">main </w:t>
      </w:r>
      <w:r w:rsidR="000744CB">
        <w:t>model</w:t>
      </w:r>
      <w:r w:rsidR="00F73276">
        <w:t xml:space="preserve"> </w:t>
      </w:r>
      <w:r w:rsidR="000744CB">
        <w:t xml:space="preserve">(see Appendix). </w:t>
      </w:r>
    </w:p>
    <w:p w14:paraId="7B6D3DE8" w14:textId="649AC31E" w:rsidR="00FE2911" w:rsidRPr="00642DBF" w:rsidRDefault="00FE2911" w:rsidP="00A14FC0">
      <w:pPr>
        <w:spacing w:after="200"/>
        <w:jc w:val="center"/>
        <w:rPr>
          <w:rFonts w:eastAsiaTheme="majorEastAsia"/>
          <w:b/>
          <w:bCs/>
          <w:color w:val="000000" w:themeColor="text1"/>
        </w:rPr>
      </w:pPr>
      <w:r w:rsidRPr="00642DBF">
        <w:rPr>
          <w:b/>
          <w:bCs/>
          <w:color w:val="000000" w:themeColor="text1"/>
        </w:rPr>
        <w:t xml:space="preserve">Table </w:t>
      </w:r>
      <w:r w:rsidR="003370D5" w:rsidRPr="00642DBF">
        <w:rPr>
          <w:b/>
          <w:bCs/>
          <w:color w:val="000000" w:themeColor="text1"/>
        </w:rPr>
        <w:t>3</w:t>
      </w:r>
      <w:r w:rsidRPr="00642DBF">
        <w:rPr>
          <w:b/>
          <w:bCs/>
          <w:color w:val="000000" w:themeColor="text1"/>
        </w:rPr>
        <w:t>.</w:t>
      </w:r>
      <w:r w:rsidRPr="00FE2911">
        <w:rPr>
          <w:color w:val="000000" w:themeColor="text1"/>
        </w:rPr>
        <w:t xml:space="preserve"> </w:t>
      </w:r>
      <w:r w:rsidRPr="002014B9">
        <w:rPr>
          <w:b/>
          <w:bCs/>
          <w:color w:val="000000" w:themeColor="text1"/>
        </w:rPr>
        <w:t>Multiple Linear Regression Results Predicting Obesity Prevalence</w:t>
      </w:r>
    </w:p>
    <w:tbl>
      <w:tblPr>
        <w:tblStyle w:val="TableGrid"/>
        <w:tblW w:w="0" w:type="auto"/>
        <w:jc w:val="center"/>
        <w:tblLook w:val="04A0" w:firstRow="1" w:lastRow="0" w:firstColumn="1" w:lastColumn="0" w:noHBand="0" w:noVBand="1"/>
      </w:tblPr>
      <w:tblGrid>
        <w:gridCol w:w="2702"/>
        <w:gridCol w:w="1123"/>
        <w:gridCol w:w="1283"/>
        <w:gridCol w:w="977"/>
        <w:gridCol w:w="2096"/>
      </w:tblGrid>
      <w:tr w:rsidR="00FE2911" w:rsidRPr="00FE2911" w14:paraId="28E7CFE4" w14:textId="77777777" w:rsidTr="00A14FC0">
        <w:trPr>
          <w:jc w:val="center"/>
        </w:trPr>
        <w:tc>
          <w:tcPr>
            <w:tcW w:w="0" w:type="auto"/>
            <w:hideMark/>
          </w:tcPr>
          <w:p w14:paraId="28ECE0E6" w14:textId="77777777" w:rsidR="00FE2911" w:rsidRPr="00FE2911" w:rsidRDefault="00FE2911" w:rsidP="00A14FC0">
            <w:pPr>
              <w:spacing w:line="360" w:lineRule="auto"/>
              <w:jc w:val="center"/>
              <w:rPr>
                <w:b/>
                <w:bCs/>
              </w:rPr>
            </w:pPr>
            <w:r w:rsidRPr="00FE2911">
              <w:rPr>
                <w:b/>
                <w:bCs/>
              </w:rPr>
              <w:t>Predictor</w:t>
            </w:r>
          </w:p>
        </w:tc>
        <w:tc>
          <w:tcPr>
            <w:tcW w:w="0" w:type="auto"/>
            <w:hideMark/>
          </w:tcPr>
          <w:p w14:paraId="227C9586" w14:textId="77777777" w:rsidR="00FE2911" w:rsidRPr="00FE2911" w:rsidRDefault="00FE2911" w:rsidP="00A14FC0">
            <w:pPr>
              <w:spacing w:line="360" w:lineRule="auto"/>
              <w:jc w:val="center"/>
              <w:rPr>
                <w:b/>
                <w:bCs/>
              </w:rPr>
            </w:pPr>
            <w:r w:rsidRPr="00FE2911">
              <w:rPr>
                <w:b/>
                <w:bCs/>
              </w:rPr>
              <w:t>Estimate</w:t>
            </w:r>
          </w:p>
        </w:tc>
        <w:tc>
          <w:tcPr>
            <w:tcW w:w="0" w:type="auto"/>
            <w:hideMark/>
          </w:tcPr>
          <w:p w14:paraId="2080F17A" w14:textId="77777777" w:rsidR="00FE2911" w:rsidRPr="00FE2911" w:rsidRDefault="00FE2911" w:rsidP="00A14FC0">
            <w:pPr>
              <w:spacing w:line="360" w:lineRule="auto"/>
              <w:jc w:val="center"/>
              <w:rPr>
                <w:b/>
                <w:bCs/>
              </w:rPr>
            </w:pPr>
            <w:r w:rsidRPr="00FE2911">
              <w:rPr>
                <w:b/>
                <w:bCs/>
              </w:rPr>
              <w:t>Std. Error</w:t>
            </w:r>
          </w:p>
        </w:tc>
        <w:tc>
          <w:tcPr>
            <w:tcW w:w="0" w:type="auto"/>
            <w:hideMark/>
          </w:tcPr>
          <w:p w14:paraId="0DBC86DA" w14:textId="77777777" w:rsidR="00FE2911" w:rsidRPr="00FE2911" w:rsidRDefault="00FE2911" w:rsidP="00A14FC0">
            <w:pPr>
              <w:spacing w:line="360" w:lineRule="auto"/>
              <w:jc w:val="center"/>
              <w:rPr>
                <w:b/>
                <w:bCs/>
              </w:rPr>
            </w:pPr>
            <w:r w:rsidRPr="00FE2911">
              <w:rPr>
                <w:b/>
                <w:bCs/>
              </w:rPr>
              <w:t>p-value</w:t>
            </w:r>
          </w:p>
        </w:tc>
        <w:tc>
          <w:tcPr>
            <w:tcW w:w="0" w:type="auto"/>
            <w:hideMark/>
          </w:tcPr>
          <w:p w14:paraId="148E0F26" w14:textId="77777777" w:rsidR="00FE2911" w:rsidRPr="00FE2911" w:rsidRDefault="00FE2911" w:rsidP="00A14FC0">
            <w:pPr>
              <w:spacing w:line="360" w:lineRule="auto"/>
              <w:jc w:val="center"/>
              <w:rPr>
                <w:b/>
                <w:bCs/>
              </w:rPr>
            </w:pPr>
            <w:r w:rsidRPr="00FE2911">
              <w:rPr>
                <w:b/>
                <w:bCs/>
              </w:rPr>
              <w:t>95% CI</w:t>
            </w:r>
          </w:p>
        </w:tc>
      </w:tr>
      <w:tr w:rsidR="00FE2911" w:rsidRPr="00FE2911" w14:paraId="6E8875D9" w14:textId="77777777" w:rsidTr="00A14FC0">
        <w:trPr>
          <w:jc w:val="center"/>
        </w:trPr>
        <w:tc>
          <w:tcPr>
            <w:tcW w:w="0" w:type="auto"/>
            <w:hideMark/>
          </w:tcPr>
          <w:p w14:paraId="601F2250" w14:textId="77777777" w:rsidR="00FE2911" w:rsidRPr="00FE2911" w:rsidRDefault="00FE2911" w:rsidP="00A14FC0">
            <w:pPr>
              <w:spacing w:line="360" w:lineRule="auto"/>
            </w:pPr>
            <w:r w:rsidRPr="00FE2911">
              <w:t>Intercept</w:t>
            </w:r>
          </w:p>
        </w:tc>
        <w:tc>
          <w:tcPr>
            <w:tcW w:w="0" w:type="auto"/>
            <w:hideMark/>
          </w:tcPr>
          <w:p w14:paraId="257431A7" w14:textId="77777777" w:rsidR="00FE2911" w:rsidRPr="00FE2911" w:rsidRDefault="00FE2911" w:rsidP="00A14FC0">
            <w:pPr>
              <w:spacing w:line="360" w:lineRule="auto"/>
              <w:jc w:val="center"/>
            </w:pPr>
            <w:r w:rsidRPr="00FE2911">
              <w:t>1695.65</w:t>
            </w:r>
          </w:p>
        </w:tc>
        <w:tc>
          <w:tcPr>
            <w:tcW w:w="0" w:type="auto"/>
            <w:hideMark/>
          </w:tcPr>
          <w:p w14:paraId="75A19E4B" w14:textId="77777777" w:rsidR="00FE2911" w:rsidRPr="00FE2911" w:rsidRDefault="00FE2911" w:rsidP="00A14FC0">
            <w:pPr>
              <w:spacing w:line="360" w:lineRule="auto"/>
              <w:jc w:val="center"/>
            </w:pPr>
            <w:r w:rsidRPr="00FE2911">
              <w:t>738.77</w:t>
            </w:r>
          </w:p>
        </w:tc>
        <w:tc>
          <w:tcPr>
            <w:tcW w:w="0" w:type="auto"/>
            <w:hideMark/>
          </w:tcPr>
          <w:p w14:paraId="5442A027" w14:textId="4522B03B" w:rsidR="00FE2911" w:rsidRPr="00FE2911" w:rsidRDefault="00FE2911" w:rsidP="00A14FC0">
            <w:pPr>
              <w:spacing w:line="360" w:lineRule="auto"/>
              <w:jc w:val="center"/>
            </w:pPr>
            <w:r w:rsidRPr="00FE2911">
              <w:t>0.029</w:t>
            </w:r>
            <w:r w:rsidR="003C15BF">
              <w:t>*</w:t>
            </w:r>
          </w:p>
        </w:tc>
        <w:tc>
          <w:tcPr>
            <w:tcW w:w="0" w:type="auto"/>
            <w:hideMark/>
          </w:tcPr>
          <w:p w14:paraId="1B06CA38" w14:textId="77777777" w:rsidR="00FE2911" w:rsidRPr="00FE2911" w:rsidRDefault="00FE2911" w:rsidP="00A14FC0">
            <w:pPr>
              <w:spacing w:line="360" w:lineRule="auto"/>
              <w:jc w:val="center"/>
            </w:pPr>
            <w:r w:rsidRPr="00FE2911">
              <w:t>[-3206.60, -184.69]</w:t>
            </w:r>
          </w:p>
        </w:tc>
      </w:tr>
      <w:tr w:rsidR="00FE2911" w:rsidRPr="00FE2911" w14:paraId="07909CF1" w14:textId="77777777" w:rsidTr="00A14FC0">
        <w:trPr>
          <w:jc w:val="center"/>
        </w:trPr>
        <w:tc>
          <w:tcPr>
            <w:tcW w:w="0" w:type="auto"/>
            <w:hideMark/>
          </w:tcPr>
          <w:p w14:paraId="041DE5D2" w14:textId="77777777" w:rsidR="00FE2911" w:rsidRPr="00FE2911" w:rsidRDefault="00FE2911" w:rsidP="00A14FC0">
            <w:pPr>
              <w:spacing w:line="360" w:lineRule="auto"/>
            </w:pPr>
            <w:r w:rsidRPr="00FE2911">
              <w:t>Soda Consumption</w:t>
            </w:r>
          </w:p>
        </w:tc>
        <w:tc>
          <w:tcPr>
            <w:tcW w:w="0" w:type="auto"/>
            <w:hideMark/>
          </w:tcPr>
          <w:p w14:paraId="0A0650A1" w14:textId="77777777" w:rsidR="00FE2911" w:rsidRPr="00FE2911" w:rsidRDefault="00FE2911" w:rsidP="00A14FC0">
            <w:pPr>
              <w:spacing w:line="360" w:lineRule="auto"/>
              <w:jc w:val="center"/>
            </w:pPr>
            <w:r w:rsidRPr="00FE2911">
              <w:t>0.101</w:t>
            </w:r>
          </w:p>
        </w:tc>
        <w:tc>
          <w:tcPr>
            <w:tcW w:w="0" w:type="auto"/>
            <w:hideMark/>
          </w:tcPr>
          <w:p w14:paraId="2F4FF1D4" w14:textId="77777777" w:rsidR="00FE2911" w:rsidRPr="00FE2911" w:rsidRDefault="00FE2911" w:rsidP="00A14FC0">
            <w:pPr>
              <w:spacing w:line="360" w:lineRule="auto"/>
              <w:jc w:val="center"/>
            </w:pPr>
            <w:r w:rsidRPr="00FE2911">
              <w:t>0.232</w:t>
            </w:r>
          </w:p>
        </w:tc>
        <w:tc>
          <w:tcPr>
            <w:tcW w:w="0" w:type="auto"/>
            <w:hideMark/>
          </w:tcPr>
          <w:p w14:paraId="28FD147B" w14:textId="77777777" w:rsidR="00FE2911" w:rsidRPr="00FE2911" w:rsidRDefault="00FE2911" w:rsidP="00A14FC0">
            <w:pPr>
              <w:spacing w:line="360" w:lineRule="auto"/>
              <w:jc w:val="center"/>
            </w:pPr>
            <w:r w:rsidRPr="00FE2911">
              <w:t>0.666</w:t>
            </w:r>
          </w:p>
        </w:tc>
        <w:tc>
          <w:tcPr>
            <w:tcW w:w="0" w:type="auto"/>
            <w:hideMark/>
          </w:tcPr>
          <w:p w14:paraId="10076A95" w14:textId="77777777" w:rsidR="00FE2911" w:rsidRPr="00FE2911" w:rsidRDefault="00FE2911" w:rsidP="00A14FC0">
            <w:pPr>
              <w:spacing w:line="360" w:lineRule="auto"/>
              <w:jc w:val="center"/>
            </w:pPr>
            <w:r w:rsidRPr="00FE2911">
              <w:t>[-0.374, 0.576]</w:t>
            </w:r>
          </w:p>
        </w:tc>
      </w:tr>
      <w:tr w:rsidR="00FE2911" w:rsidRPr="00FE2911" w14:paraId="652F103B" w14:textId="77777777" w:rsidTr="00A14FC0">
        <w:trPr>
          <w:jc w:val="center"/>
        </w:trPr>
        <w:tc>
          <w:tcPr>
            <w:tcW w:w="0" w:type="auto"/>
            <w:hideMark/>
          </w:tcPr>
          <w:p w14:paraId="51E16F9D" w14:textId="77777777" w:rsidR="00FE2911" w:rsidRPr="00FE2911" w:rsidRDefault="00FE2911" w:rsidP="00A14FC0">
            <w:pPr>
              <w:spacing w:line="360" w:lineRule="auto"/>
            </w:pPr>
            <w:r w:rsidRPr="00FE2911">
              <w:t>Physical Activity</w:t>
            </w:r>
          </w:p>
        </w:tc>
        <w:tc>
          <w:tcPr>
            <w:tcW w:w="0" w:type="auto"/>
            <w:hideMark/>
          </w:tcPr>
          <w:p w14:paraId="5083BE5D" w14:textId="77777777" w:rsidR="00FE2911" w:rsidRPr="00FE2911" w:rsidRDefault="00FE2911" w:rsidP="00A14FC0">
            <w:pPr>
              <w:spacing w:line="360" w:lineRule="auto"/>
              <w:jc w:val="center"/>
            </w:pPr>
            <w:r w:rsidRPr="00FE2911">
              <w:t>0.380</w:t>
            </w:r>
          </w:p>
        </w:tc>
        <w:tc>
          <w:tcPr>
            <w:tcW w:w="0" w:type="auto"/>
            <w:hideMark/>
          </w:tcPr>
          <w:p w14:paraId="692AD7F0" w14:textId="77777777" w:rsidR="00FE2911" w:rsidRPr="00FE2911" w:rsidRDefault="00FE2911" w:rsidP="00A14FC0">
            <w:pPr>
              <w:spacing w:line="360" w:lineRule="auto"/>
              <w:jc w:val="center"/>
            </w:pPr>
            <w:r w:rsidRPr="00FE2911">
              <w:t>0.231</w:t>
            </w:r>
          </w:p>
        </w:tc>
        <w:tc>
          <w:tcPr>
            <w:tcW w:w="0" w:type="auto"/>
            <w:hideMark/>
          </w:tcPr>
          <w:p w14:paraId="2BAB1071" w14:textId="77777777" w:rsidR="00FE2911" w:rsidRPr="00FE2911" w:rsidRDefault="00FE2911" w:rsidP="00A14FC0">
            <w:pPr>
              <w:spacing w:line="360" w:lineRule="auto"/>
              <w:jc w:val="center"/>
            </w:pPr>
            <w:r w:rsidRPr="00FE2911">
              <w:t>0.111</w:t>
            </w:r>
          </w:p>
        </w:tc>
        <w:tc>
          <w:tcPr>
            <w:tcW w:w="0" w:type="auto"/>
            <w:hideMark/>
          </w:tcPr>
          <w:p w14:paraId="5CA29B5C" w14:textId="77777777" w:rsidR="00FE2911" w:rsidRPr="00FE2911" w:rsidRDefault="00FE2911" w:rsidP="00A14FC0">
            <w:pPr>
              <w:spacing w:line="360" w:lineRule="auto"/>
              <w:jc w:val="center"/>
            </w:pPr>
            <w:r w:rsidRPr="00FE2911">
              <w:t>[-0.093, 0.854]</w:t>
            </w:r>
          </w:p>
        </w:tc>
      </w:tr>
      <w:tr w:rsidR="00FE2911" w:rsidRPr="00FE2911" w14:paraId="437D3E71" w14:textId="77777777" w:rsidTr="00A14FC0">
        <w:trPr>
          <w:jc w:val="center"/>
        </w:trPr>
        <w:tc>
          <w:tcPr>
            <w:tcW w:w="0" w:type="auto"/>
            <w:hideMark/>
          </w:tcPr>
          <w:p w14:paraId="598E9248" w14:textId="77777777" w:rsidR="00FE2911" w:rsidRPr="00FE2911" w:rsidRDefault="00FE2911" w:rsidP="00A14FC0">
            <w:pPr>
              <w:spacing w:line="360" w:lineRule="auto"/>
            </w:pPr>
            <w:r w:rsidRPr="00FE2911">
              <w:t>Hawaiian/Pacific Islander</w:t>
            </w:r>
          </w:p>
        </w:tc>
        <w:tc>
          <w:tcPr>
            <w:tcW w:w="0" w:type="auto"/>
            <w:hideMark/>
          </w:tcPr>
          <w:p w14:paraId="4D8EAEBE" w14:textId="77777777" w:rsidR="00FE2911" w:rsidRPr="00FE2911" w:rsidRDefault="00FE2911" w:rsidP="00A14FC0">
            <w:pPr>
              <w:spacing w:line="360" w:lineRule="auto"/>
              <w:jc w:val="center"/>
            </w:pPr>
            <w:r w:rsidRPr="00FE2911">
              <w:t>5.363</w:t>
            </w:r>
          </w:p>
        </w:tc>
        <w:tc>
          <w:tcPr>
            <w:tcW w:w="0" w:type="auto"/>
            <w:hideMark/>
          </w:tcPr>
          <w:p w14:paraId="75D2A003" w14:textId="77777777" w:rsidR="00FE2911" w:rsidRPr="00FE2911" w:rsidRDefault="00FE2911" w:rsidP="00A14FC0">
            <w:pPr>
              <w:spacing w:line="360" w:lineRule="auto"/>
              <w:jc w:val="center"/>
            </w:pPr>
            <w:r w:rsidRPr="00FE2911">
              <w:t>2.496</w:t>
            </w:r>
          </w:p>
        </w:tc>
        <w:tc>
          <w:tcPr>
            <w:tcW w:w="0" w:type="auto"/>
            <w:hideMark/>
          </w:tcPr>
          <w:p w14:paraId="2C518FFF" w14:textId="31403B75" w:rsidR="00FE2911" w:rsidRPr="00FE2911" w:rsidRDefault="00FE2911" w:rsidP="00A14FC0">
            <w:pPr>
              <w:spacing w:line="360" w:lineRule="auto"/>
              <w:jc w:val="center"/>
            </w:pPr>
            <w:r w:rsidRPr="00FE2911">
              <w:t>0.040</w:t>
            </w:r>
            <w:r w:rsidR="003C15BF">
              <w:t>*</w:t>
            </w:r>
          </w:p>
        </w:tc>
        <w:tc>
          <w:tcPr>
            <w:tcW w:w="0" w:type="auto"/>
            <w:hideMark/>
          </w:tcPr>
          <w:p w14:paraId="500DFBAF" w14:textId="77777777" w:rsidR="00FE2911" w:rsidRPr="00FE2911" w:rsidRDefault="00FE2911" w:rsidP="00A14FC0">
            <w:pPr>
              <w:spacing w:line="360" w:lineRule="auto"/>
              <w:jc w:val="center"/>
            </w:pPr>
            <w:r w:rsidRPr="00FE2911">
              <w:t>[0.259, 10.467]</w:t>
            </w:r>
          </w:p>
        </w:tc>
      </w:tr>
      <w:tr w:rsidR="00FE2911" w:rsidRPr="00FE2911" w14:paraId="06CADC6A" w14:textId="77777777" w:rsidTr="00A14FC0">
        <w:trPr>
          <w:jc w:val="center"/>
        </w:trPr>
        <w:tc>
          <w:tcPr>
            <w:tcW w:w="0" w:type="auto"/>
            <w:hideMark/>
          </w:tcPr>
          <w:p w14:paraId="36D15509" w14:textId="77777777" w:rsidR="00FE2911" w:rsidRPr="00FE2911" w:rsidRDefault="00FE2911" w:rsidP="00A14FC0">
            <w:pPr>
              <w:spacing w:line="360" w:lineRule="auto"/>
            </w:pPr>
            <w:r w:rsidRPr="00FE2911">
              <w:t>Non-Hispanic White</w:t>
            </w:r>
          </w:p>
        </w:tc>
        <w:tc>
          <w:tcPr>
            <w:tcW w:w="0" w:type="auto"/>
            <w:hideMark/>
          </w:tcPr>
          <w:p w14:paraId="17B807E6" w14:textId="77777777" w:rsidR="00FE2911" w:rsidRPr="00FE2911" w:rsidRDefault="00FE2911" w:rsidP="00A14FC0">
            <w:pPr>
              <w:spacing w:line="360" w:lineRule="auto"/>
              <w:jc w:val="center"/>
            </w:pPr>
            <w:r w:rsidRPr="00FE2911">
              <w:t>-4.274</w:t>
            </w:r>
          </w:p>
        </w:tc>
        <w:tc>
          <w:tcPr>
            <w:tcW w:w="0" w:type="auto"/>
            <w:hideMark/>
          </w:tcPr>
          <w:p w14:paraId="0A13BCED" w14:textId="77777777" w:rsidR="00FE2911" w:rsidRPr="00FE2911" w:rsidRDefault="00FE2911" w:rsidP="00A14FC0">
            <w:pPr>
              <w:spacing w:line="360" w:lineRule="auto"/>
              <w:jc w:val="center"/>
            </w:pPr>
            <w:r w:rsidRPr="00FE2911">
              <w:t>2.269</w:t>
            </w:r>
          </w:p>
        </w:tc>
        <w:tc>
          <w:tcPr>
            <w:tcW w:w="0" w:type="auto"/>
            <w:hideMark/>
          </w:tcPr>
          <w:p w14:paraId="324396AE" w14:textId="77777777" w:rsidR="00FE2911" w:rsidRPr="00FE2911" w:rsidRDefault="00FE2911" w:rsidP="00A14FC0">
            <w:pPr>
              <w:spacing w:line="360" w:lineRule="auto"/>
              <w:jc w:val="center"/>
            </w:pPr>
            <w:r w:rsidRPr="00FE2911">
              <w:t>0.070</w:t>
            </w:r>
          </w:p>
        </w:tc>
        <w:tc>
          <w:tcPr>
            <w:tcW w:w="0" w:type="auto"/>
            <w:hideMark/>
          </w:tcPr>
          <w:p w14:paraId="65F86F18" w14:textId="77777777" w:rsidR="00FE2911" w:rsidRPr="00FE2911" w:rsidRDefault="00FE2911" w:rsidP="00A14FC0">
            <w:pPr>
              <w:spacing w:line="360" w:lineRule="auto"/>
              <w:jc w:val="center"/>
            </w:pPr>
            <w:r w:rsidRPr="00FE2911">
              <w:t>[-8.914, 0.367]</w:t>
            </w:r>
          </w:p>
        </w:tc>
      </w:tr>
      <w:tr w:rsidR="00FE2911" w:rsidRPr="00FE2911" w14:paraId="3F6EDC36" w14:textId="77777777" w:rsidTr="00A14FC0">
        <w:trPr>
          <w:jc w:val="center"/>
        </w:trPr>
        <w:tc>
          <w:tcPr>
            <w:tcW w:w="0" w:type="auto"/>
            <w:hideMark/>
          </w:tcPr>
          <w:p w14:paraId="2F76892E" w14:textId="77777777" w:rsidR="00FE2911" w:rsidRPr="00FE2911" w:rsidRDefault="00FE2911" w:rsidP="00A14FC0">
            <w:pPr>
              <w:spacing w:line="276" w:lineRule="auto"/>
            </w:pPr>
            <w:r w:rsidRPr="00FE2911">
              <w:t>Year</w:t>
            </w:r>
          </w:p>
        </w:tc>
        <w:tc>
          <w:tcPr>
            <w:tcW w:w="0" w:type="auto"/>
            <w:hideMark/>
          </w:tcPr>
          <w:p w14:paraId="717965CD" w14:textId="77777777" w:rsidR="00FE2911" w:rsidRPr="00FE2911" w:rsidRDefault="00FE2911" w:rsidP="00A14FC0">
            <w:pPr>
              <w:spacing w:line="276" w:lineRule="auto"/>
              <w:jc w:val="center"/>
            </w:pPr>
            <w:r w:rsidRPr="00FE2911">
              <w:t>0.843</w:t>
            </w:r>
          </w:p>
        </w:tc>
        <w:tc>
          <w:tcPr>
            <w:tcW w:w="0" w:type="auto"/>
            <w:hideMark/>
          </w:tcPr>
          <w:p w14:paraId="59435D3C" w14:textId="77777777" w:rsidR="00FE2911" w:rsidRPr="00FE2911" w:rsidRDefault="00FE2911" w:rsidP="00A14FC0">
            <w:pPr>
              <w:spacing w:line="276" w:lineRule="auto"/>
              <w:jc w:val="center"/>
            </w:pPr>
            <w:r w:rsidRPr="00FE2911">
              <w:t>0.363</w:t>
            </w:r>
          </w:p>
        </w:tc>
        <w:tc>
          <w:tcPr>
            <w:tcW w:w="0" w:type="auto"/>
            <w:hideMark/>
          </w:tcPr>
          <w:p w14:paraId="085CB911" w14:textId="5ECFB01B" w:rsidR="00FE2911" w:rsidRPr="00FE2911" w:rsidRDefault="00FE2911" w:rsidP="00A14FC0">
            <w:pPr>
              <w:spacing w:line="276" w:lineRule="auto"/>
              <w:jc w:val="center"/>
            </w:pPr>
            <w:r w:rsidRPr="00FE2911">
              <w:t>0.028</w:t>
            </w:r>
            <w:r w:rsidR="003C15BF">
              <w:t>*</w:t>
            </w:r>
          </w:p>
        </w:tc>
        <w:tc>
          <w:tcPr>
            <w:tcW w:w="0" w:type="auto"/>
            <w:hideMark/>
          </w:tcPr>
          <w:p w14:paraId="683474B9" w14:textId="77777777" w:rsidR="00FE2911" w:rsidRPr="00FE2911" w:rsidRDefault="00FE2911" w:rsidP="00A14FC0">
            <w:pPr>
              <w:spacing w:line="276" w:lineRule="auto"/>
              <w:jc w:val="center"/>
            </w:pPr>
            <w:r w:rsidRPr="00FE2911">
              <w:t>[0.100, 1.587]</w:t>
            </w:r>
          </w:p>
        </w:tc>
      </w:tr>
    </w:tbl>
    <w:p w14:paraId="4AA9A5B7" w14:textId="706B4505" w:rsidR="00D25B2C" w:rsidRDefault="00FE2911" w:rsidP="00A14FC0">
      <w:pPr>
        <w:pStyle w:val="NormalWeb"/>
        <w:spacing w:before="0" w:beforeAutospacing="0" w:after="0" w:afterAutospacing="0" w:line="276" w:lineRule="auto"/>
        <w:ind w:firstLine="720"/>
        <w:rPr>
          <w:rStyle w:val="Emphasis"/>
        </w:rPr>
      </w:pPr>
      <w:r w:rsidRPr="00CD1B54">
        <w:rPr>
          <w:rStyle w:val="Emphasis"/>
          <w:b/>
          <w:bCs/>
          <w:i w:val="0"/>
          <w:iCs w:val="0"/>
        </w:rPr>
        <w:t>Note:</w:t>
      </w:r>
      <w:r w:rsidRPr="00FE2911">
        <w:rPr>
          <w:rStyle w:val="Emphasis"/>
        </w:rPr>
        <w:t xml:space="preserve"> Only selected predictors shown. Full model F(9, 29) = 6.618, p &lt; </w:t>
      </w:r>
      <w:r w:rsidR="00D25B2C" w:rsidRPr="00FE2911">
        <w:rPr>
          <w:rStyle w:val="Emphasis"/>
        </w:rPr>
        <w:t>0.001.</w:t>
      </w:r>
    </w:p>
    <w:p w14:paraId="3516CD8B" w14:textId="5E43C1F5" w:rsidR="00D6754A" w:rsidRDefault="00FE2911" w:rsidP="00A14FC0">
      <w:pPr>
        <w:pStyle w:val="NormalWeb"/>
        <w:spacing w:before="0" w:beforeAutospacing="0" w:after="0" w:afterAutospacing="0" w:line="276" w:lineRule="auto"/>
        <w:ind w:firstLine="720"/>
        <w:rPr>
          <w:rStyle w:val="Emphasis"/>
        </w:rPr>
      </w:pPr>
      <w:r w:rsidRPr="00FE2911">
        <w:rPr>
          <w:rStyle w:val="Emphasis"/>
        </w:rPr>
        <w:t>Adjusted R² = 0.571</w:t>
      </w:r>
      <w:r w:rsidR="00D25B2C">
        <w:rPr>
          <w:rStyle w:val="Emphasis"/>
        </w:rPr>
        <w:t>.</w:t>
      </w:r>
      <w:r w:rsidR="004E2EF4">
        <w:rPr>
          <w:rStyle w:val="Emphasis"/>
        </w:rPr>
        <w:t xml:space="preserve"> * denotes a </w:t>
      </w:r>
      <w:r w:rsidR="00275935">
        <w:rPr>
          <w:rStyle w:val="Emphasis"/>
        </w:rPr>
        <w:t xml:space="preserve">significant </w:t>
      </w:r>
      <w:r w:rsidR="004E2EF4">
        <w:rPr>
          <w:rStyle w:val="Emphasis"/>
        </w:rPr>
        <w:t>value of &lt; 0.05</w:t>
      </w:r>
      <w:r w:rsidR="00275935">
        <w:rPr>
          <w:rStyle w:val="Emphasis"/>
        </w:rPr>
        <w:t>.</w:t>
      </w:r>
    </w:p>
    <w:p w14:paraId="52367A28" w14:textId="77777777" w:rsidR="00780954" w:rsidRPr="00780954" w:rsidRDefault="00780954" w:rsidP="00780954">
      <w:pPr>
        <w:pStyle w:val="NormalWeb"/>
        <w:spacing w:before="0" w:beforeAutospacing="0" w:after="0" w:afterAutospacing="0" w:line="276" w:lineRule="auto"/>
      </w:pPr>
    </w:p>
    <w:p w14:paraId="57474B10" w14:textId="7103AD28" w:rsidR="00FE2911" w:rsidRPr="004E796A" w:rsidRDefault="00FE2911" w:rsidP="00FE2911">
      <w:pPr>
        <w:pStyle w:val="Heading1"/>
        <w:spacing w:before="0" w:line="480" w:lineRule="auto"/>
        <w:rPr>
          <w:rFonts w:ascii="Times New Roman" w:hAnsi="Times New Roman" w:cs="Times New Roman"/>
          <w:color w:val="000000" w:themeColor="text1"/>
          <w:sz w:val="28"/>
          <w:szCs w:val="28"/>
          <w:u w:val="single"/>
        </w:rPr>
      </w:pPr>
      <w:r w:rsidRPr="004E796A">
        <w:rPr>
          <w:rFonts w:ascii="Times New Roman" w:hAnsi="Times New Roman" w:cs="Times New Roman"/>
          <w:color w:val="000000" w:themeColor="text1"/>
          <w:sz w:val="28"/>
          <w:szCs w:val="28"/>
          <w:u w:val="single"/>
        </w:rPr>
        <w:lastRenderedPageBreak/>
        <w:t>Discussion</w:t>
      </w:r>
    </w:p>
    <w:p w14:paraId="65179368" w14:textId="3230E937" w:rsidR="00FE2911" w:rsidRPr="00FE2911" w:rsidRDefault="00FE2911" w:rsidP="009B306C">
      <w:pPr>
        <w:pStyle w:val="NormalWeb"/>
        <w:spacing w:before="0" w:beforeAutospacing="0" w:after="0" w:afterAutospacing="0" w:line="480" w:lineRule="auto"/>
        <w:ind w:firstLine="720"/>
      </w:pPr>
      <w:r w:rsidRPr="00FE2911">
        <w:t xml:space="preserve">This study found that obesity rates among high school students in the U.S. have significantly increased </w:t>
      </w:r>
      <w:r w:rsidR="000F0C2D">
        <w:t>from 2011 to 2021</w:t>
      </w:r>
      <w:r w:rsidRPr="00FE2911">
        <w:t xml:space="preserve">. This finding is supported by both the simple regression model and </w:t>
      </w:r>
      <w:r w:rsidR="006E0710">
        <w:t xml:space="preserve">the </w:t>
      </w:r>
      <w:r w:rsidRPr="00FE2911">
        <w:t xml:space="preserve">upward trends seen in the visualizations. The Hawaiian/Pacific Islander group had the highest predicted obesity rates, a finding that was statistically significant even after adjusting for other </w:t>
      </w:r>
      <w:r w:rsidR="00231F3D">
        <w:t>soda consumption, physical activity, and year</w:t>
      </w:r>
      <w:r w:rsidRPr="00FE2911">
        <w:t xml:space="preserve">. Hispanic and Black youth also had consistently elevated average obesity rates, though not statistically significant in the </w:t>
      </w:r>
      <w:r w:rsidR="0009199C">
        <w:t xml:space="preserve">main </w:t>
      </w:r>
      <w:r w:rsidR="005B33F9">
        <w:t xml:space="preserve">regression </w:t>
      </w:r>
      <w:r w:rsidRPr="00FE2911">
        <w:t>model.</w:t>
      </w:r>
    </w:p>
    <w:p w14:paraId="547EDA84" w14:textId="6FD12988" w:rsidR="00FE2911" w:rsidRDefault="00FE2911" w:rsidP="009B306C">
      <w:pPr>
        <w:pStyle w:val="NormalWeb"/>
        <w:spacing w:before="0" w:beforeAutospacing="0" w:after="0" w:afterAutospacing="0" w:line="480" w:lineRule="auto"/>
        <w:ind w:firstLine="720"/>
      </w:pPr>
      <w:r w:rsidRPr="00FE2911">
        <w:t xml:space="preserve">Although soda consumption and physical activity are commonly </w:t>
      </w:r>
      <w:r w:rsidR="00FA764C">
        <w:t xml:space="preserve">known </w:t>
      </w:r>
      <w:r w:rsidR="005B33F9">
        <w:t xml:space="preserve">in the literature </w:t>
      </w:r>
      <w:r w:rsidR="00FA764C">
        <w:t xml:space="preserve">as </w:t>
      </w:r>
      <w:r w:rsidRPr="00FE2911">
        <w:t xml:space="preserve">contributors to obesity, they were not significant predictors in this dataset. This could be due to self-reported </w:t>
      </w:r>
      <w:r w:rsidR="002265BC">
        <w:t>data</w:t>
      </w:r>
      <w:r w:rsidR="00DC031E">
        <w:t xml:space="preserve"> bias</w:t>
      </w:r>
      <w:r w:rsidRPr="00FE2911">
        <w:t>, measurement error, or the</w:t>
      </w:r>
      <w:r w:rsidR="0024784A">
        <w:t xml:space="preserve"> outside</w:t>
      </w:r>
      <w:r w:rsidRPr="00FE2911">
        <w:t xml:space="preserve"> influence of other factors</w:t>
      </w:r>
      <w:r w:rsidR="00DC031E">
        <w:t xml:space="preserve"> not measured in the statistical models</w:t>
      </w:r>
      <w:r w:rsidRPr="00FE2911">
        <w:t xml:space="preserve">. </w:t>
      </w:r>
      <w:r w:rsidR="0024784A">
        <w:t xml:space="preserve">However, it is </w:t>
      </w:r>
      <w:r w:rsidR="00DC031E">
        <w:t>important</w:t>
      </w:r>
      <w:r w:rsidR="0024784A">
        <w:t xml:space="preserve"> to mention that </w:t>
      </w:r>
      <w:r w:rsidRPr="00FE2911">
        <w:t xml:space="preserve">soda consumption declined over time across all groups, while obesity continued to rise. Physical activity rates also declined, except among American Indian/Alaska Native students. These trends suggest that broader environmental, structural, and demographic </w:t>
      </w:r>
      <w:r w:rsidR="009B306C" w:rsidRPr="00FE2911">
        <w:t>influences, such</w:t>
      </w:r>
      <w:r w:rsidRPr="00FE2911">
        <w:t xml:space="preserve"> as poverty, access to healthy food, school funding, </w:t>
      </w:r>
      <w:r w:rsidR="00935885">
        <w:t xml:space="preserve">racial discrimination, </w:t>
      </w:r>
      <w:r w:rsidRPr="00FE2911">
        <w:t xml:space="preserve">and community </w:t>
      </w:r>
      <w:r w:rsidR="009B306C" w:rsidRPr="00FE2911">
        <w:t>resources, may</w:t>
      </w:r>
      <w:r w:rsidRPr="00FE2911">
        <w:t xml:space="preserve"> play a stronger role than individual behaviors.</w:t>
      </w:r>
    </w:p>
    <w:p w14:paraId="5FAF5ED1" w14:textId="2BCD981B" w:rsidR="002D1C58" w:rsidRPr="002D1C58" w:rsidRDefault="002D1C58" w:rsidP="002D1C58">
      <w:pPr>
        <w:pStyle w:val="NormalWeb"/>
        <w:spacing w:before="0" w:beforeAutospacing="0" w:after="0" w:afterAutospacing="0" w:line="480" w:lineRule="auto"/>
        <w:rPr>
          <w:b/>
          <w:bCs/>
          <w:i/>
          <w:iCs/>
        </w:rPr>
      </w:pPr>
      <w:r w:rsidRPr="002D1C58">
        <w:rPr>
          <w:b/>
          <w:bCs/>
          <w:i/>
          <w:iCs/>
        </w:rPr>
        <w:t>Limitations</w:t>
      </w:r>
    </w:p>
    <w:p w14:paraId="701C713A" w14:textId="6CDE411A" w:rsidR="002D1C58" w:rsidRPr="00FE2911" w:rsidRDefault="002D1C58" w:rsidP="009B306C">
      <w:pPr>
        <w:pStyle w:val="NormalWeb"/>
        <w:spacing w:before="0" w:beforeAutospacing="0" w:after="0" w:afterAutospacing="0" w:line="480" w:lineRule="auto"/>
        <w:ind w:firstLine="720"/>
      </w:pPr>
      <w:r>
        <w:t xml:space="preserve">One limitation of this project is the reliance on self-reported survey data, which can introduce bias. </w:t>
      </w:r>
      <w:r w:rsidR="007679E1">
        <w:t>Since the high school students complete</w:t>
      </w:r>
      <w:r w:rsidR="00556ECE">
        <w:t>d</w:t>
      </w:r>
      <w:r w:rsidR="007679E1">
        <w:t xml:space="preserve"> the survey themselves, </w:t>
      </w:r>
      <w:r w:rsidR="00556ECE">
        <w:t xml:space="preserve">that may have posed issues such as understanding the questions, recalling their behaviors correctly, or putting the answers that they believe are most desired even if they </w:t>
      </w:r>
      <w:r w:rsidR="002755AC">
        <w:t>are untrue or inaccurate</w:t>
      </w:r>
      <w:r w:rsidR="00556ECE">
        <w:t xml:space="preserve">. </w:t>
      </w:r>
      <w:r>
        <w:t>Additionally, the YRBSS dataset may not fully represent all studen</w:t>
      </w:r>
      <w:r w:rsidR="002755AC">
        <w:t>ts</w:t>
      </w:r>
      <w:r>
        <w:t xml:space="preserve">, especially in states or districts with </w:t>
      </w:r>
      <w:r>
        <w:lastRenderedPageBreak/>
        <w:t xml:space="preserve">lower participation rates. These gaps can </w:t>
      </w:r>
      <w:r w:rsidR="00655034">
        <w:t>hide</w:t>
      </w:r>
      <w:r>
        <w:t xml:space="preserve"> the experiences of underrepresented groups and limit the ability to draw conclusions</w:t>
      </w:r>
      <w:r w:rsidR="00655034">
        <w:t xml:space="preserve"> that are equitable</w:t>
      </w:r>
      <w:r>
        <w:t xml:space="preserve">. From a data equity perspective, the lack of disaggregated data within certain racial or ethnic subgroups may </w:t>
      </w:r>
      <w:r w:rsidR="007F67EB">
        <w:t>also mask</w:t>
      </w:r>
      <w:r>
        <w:t xml:space="preserve"> important differences, reinforcing the need for more inclusive data collection </w:t>
      </w:r>
      <w:r w:rsidR="00B955AF">
        <w:t xml:space="preserve">methods </w:t>
      </w:r>
      <w:r>
        <w:t xml:space="preserve">in </w:t>
      </w:r>
      <w:r w:rsidR="00E94B59">
        <w:t xml:space="preserve">student </w:t>
      </w:r>
      <w:r w:rsidR="00B955AF">
        <w:t>surveys</w:t>
      </w:r>
      <w:r>
        <w:t>.</w:t>
      </w:r>
    </w:p>
    <w:p w14:paraId="2191DCB6" w14:textId="77777777" w:rsidR="00FE2911" w:rsidRPr="00E8513C" w:rsidRDefault="00FE2911" w:rsidP="00FE2911">
      <w:pPr>
        <w:pStyle w:val="Heading1"/>
        <w:spacing w:before="0" w:line="480" w:lineRule="auto"/>
        <w:rPr>
          <w:rFonts w:ascii="Times New Roman" w:hAnsi="Times New Roman" w:cs="Times New Roman"/>
          <w:color w:val="000000" w:themeColor="text1"/>
          <w:sz w:val="28"/>
          <w:szCs w:val="28"/>
          <w:u w:val="single"/>
        </w:rPr>
      </w:pPr>
      <w:r w:rsidRPr="00E8513C">
        <w:rPr>
          <w:rFonts w:ascii="Times New Roman" w:hAnsi="Times New Roman" w:cs="Times New Roman"/>
          <w:color w:val="000000" w:themeColor="text1"/>
          <w:sz w:val="28"/>
          <w:szCs w:val="28"/>
          <w:u w:val="single"/>
        </w:rPr>
        <w:t>Data Equity</w:t>
      </w:r>
    </w:p>
    <w:p w14:paraId="73CCF506" w14:textId="2CDC64D1" w:rsidR="00FE2911" w:rsidRPr="00FE2911" w:rsidRDefault="00E94B59" w:rsidP="009B306C">
      <w:pPr>
        <w:pStyle w:val="NormalWeb"/>
        <w:spacing w:before="0" w:beforeAutospacing="0" w:after="0" w:afterAutospacing="0" w:line="480" w:lineRule="auto"/>
        <w:ind w:firstLine="720"/>
      </w:pPr>
      <w:r>
        <w:t>As previously mentioned, w</w:t>
      </w:r>
      <w:r w:rsidR="00FE2911" w:rsidRPr="00FE2911">
        <w:t xml:space="preserve">hen analyzing trends by race and ethnicity, it is important to </w:t>
      </w:r>
      <w:r w:rsidR="00324A3D">
        <w:t xml:space="preserve">consider </w:t>
      </w:r>
      <w:r w:rsidR="00FE2911" w:rsidRPr="00FE2911">
        <w:t xml:space="preserve">data equity principles. As </w:t>
      </w:r>
      <w:r w:rsidR="005910AE">
        <w:t>outlined</w:t>
      </w:r>
      <w:r w:rsidR="00FE2911" w:rsidRPr="00FE2911">
        <w:t xml:space="preserve"> by the P</w:t>
      </w:r>
      <w:r w:rsidR="00160F15">
        <w:t xml:space="preserve">ublic Health Institute at Denver Health </w:t>
      </w:r>
      <w:r w:rsidR="001D1476">
        <w:t xml:space="preserve">(2024) </w:t>
      </w:r>
      <w:r w:rsidR="00FE2911" w:rsidRPr="00FE2911">
        <w:t xml:space="preserve">Data Equity Principles Guide, race should be </w:t>
      </w:r>
      <w:r w:rsidR="005910AE">
        <w:t>considered</w:t>
      </w:r>
      <w:r w:rsidR="00FE2911" w:rsidRPr="00FE2911">
        <w:t xml:space="preserve"> a social construct, not a biological one. This perspective helps prevent generalizations </w:t>
      </w:r>
      <w:r w:rsidR="00A907B9">
        <w:t xml:space="preserve">about </w:t>
      </w:r>
      <w:r w:rsidR="005910AE">
        <w:t>certain</w:t>
      </w:r>
      <w:r w:rsidR="00FE2911" w:rsidRPr="00FE2911">
        <w:t xml:space="preserve"> individuals or communities</w:t>
      </w:r>
      <w:r w:rsidR="00A907B9">
        <w:t xml:space="preserve"> and avoids placing any blame on them</w:t>
      </w:r>
      <w:r w:rsidR="00FE2911" w:rsidRPr="00FE2911">
        <w:t xml:space="preserve">. </w:t>
      </w:r>
      <w:r w:rsidR="00A907B9">
        <w:t>Also, d</w:t>
      </w:r>
      <w:r w:rsidR="00FE2911" w:rsidRPr="00FE2911">
        <w:t>isaggregating data by race</w:t>
      </w:r>
      <w:r w:rsidR="00B94733">
        <w:t xml:space="preserve"> and ethnicity</w:t>
      </w:r>
      <w:r w:rsidR="00FE2911" w:rsidRPr="00FE2911">
        <w:t xml:space="preserve"> provides a clearer understanding of health disparities. </w:t>
      </w:r>
      <w:r w:rsidR="00FE2911" w:rsidRPr="002D1C58">
        <w:t xml:space="preserve">It is essential to acknowledge </w:t>
      </w:r>
      <w:r w:rsidR="00004884" w:rsidRPr="002D1C58">
        <w:t xml:space="preserve">the </w:t>
      </w:r>
      <w:r w:rsidR="00FE2911" w:rsidRPr="002D1C58">
        <w:t xml:space="preserve">limitations </w:t>
      </w:r>
      <w:r w:rsidR="00B94733" w:rsidRPr="002D1C58">
        <w:t xml:space="preserve">in data collection, data analysis, and methodology </w:t>
      </w:r>
      <w:r w:rsidR="00FE2911" w:rsidRPr="002D1C58">
        <w:t>to maintain transparency and trust</w:t>
      </w:r>
      <w:r w:rsidR="00004884" w:rsidRPr="002D1C58">
        <w:t>.</w:t>
      </w:r>
      <w:r w:rsidR="00004884">
        <w:t xml:space="preserve"> </w:t>
      </w:r>
    </w:p>
    <w:p w14:paraId="18E0EF41" w14:textId="77777777" w:rsidR="00FE2911" w:rsidRPr="00E8513C" w:rsidRDefault="00FE2911" w:rsidP="00FE2911">
      <w:pPr>
        <w:pStyle w:val="Heading1"/>
        <w:spacing w:before="0" w:line="480" w:lineRule="auto"/>
        <w:rPr>
          <w:rFonts w:ascii="Times New Roman" w:hAnsi="Times New Roman" w:cs="Times New Roman"/>
          <w:color w:val="000000" w:themeColor="text1"/>
          <w:sz w:val="28"/>
          <w:szCs w:val="28"/>
          <w:u w:val="single"/>
        </w:rPr>
      </w:pPr>
      <w:r w:rsidRPr="00E8513C">
        <w:rPr>
          <w:rFonts w:ascii="Times New Roman" w:hAnsi="Times New Roman" w:cs="Times New Roman"/>
          <w:color w:val="000000" w:themeColor="text1"/>
          <w:sz w:val="28"/>
          <w:szCs w:val="28"/>
          <w:u w:val="single"/>
        </w:rPr>
        <w:t>FAIR Principles</w:t>
      </w:r>
    </w:p>
    <w:p w14:paraId="08473EB3" w14:textId="0569CDC8" w:rsidR="00FE2911" w:rsidRPr="00FE2911" w:rsidRDefault="00FE2911" w:rsidP="009B306C">
      <w:pPr>
        <w:pStyle w:val="NormalWeb"/>
        <w:spacing w:before="0" w:beforeAutospacing="0" w:after="0" w:afterAutospacing="0" w:line="480" w:lineRule="auto"/>
        <w:ind w:firstLine="720"/>
      </w:pPr>
      <w:r w:rsidRPr="00FE2911">
        <w:t>The YRBSS dataset follows many of the FAIR data principles</w:t>
      </w:r>
      <w:r w:rsidR="00D20083">
        <w:t xml:space="preserve"> (GO FAIR, 2016)</w:t>
      </w:r>
      <w:r w:rsidRPr="00FE2911">
        <w:t xml:space="preserve">. It is </w:t>
      </w:r>
      <w:r w:rsidR="0048145A">
        <w:t>F</w:t>
      </w:r>
      <w:r w:rsidRPr="00FE2911">
        <w:t>indable through Data.</w:t>
      </w:r>
      <w:r w:rsidR="00564757">
        <w:t>G</w:t>
      </w:r>
      <w:r w:rsidRPr="00FE2911">
        <w:t xml:space="preserve">ov and </w:t>
      </w:r>
      <w:r w:rsidR="0048145A">
        <w:t>A</w:t>
      </w:r>
      <w:r w:rsidRPr="00FE2911">
        <w:t>ccessible in multiple formats compatible with s</w:t>
      </w:r>
      <w:r w:rsidR="00411194">
        <w:t>everal</w:t>
      </w:r>
      <w:r w:rsidRPr="00FE2911">
        <w:t xml:space="preserve"> statistical tools. The dataset is </w:t>
      </w:r>
      <w:r w:rsidR="0048145A">
        <w:t>I</w:t>
      </w:r>
      <w:r w:rsidRPr="00FE2911">
        <w:t xml:space="preserve">nteroperable with programs like SPSS, SAS, and R. However, its </w:t>
      </w:r>
      <w:r w:rsidR="0048145A">
        <w:t>R</w:t>
      </w:r>
      <w:r w:rsidRPr="00FE2911">
        <w:t xml:space="preserve">eusability could be improved with </w:t>
      </w:r>
      <w:r w:rsidR="000E7D8A">
        <w:t xml:space="preserve">the inclusion of a </w:t>
      </w:r>
      <w:r w:rsidRPr="00FE2911">
        <w:t>codebook</w:t>
      </w:r>
      <w:r w:rsidR="000E7D8A">
        <w:t xml:space="preserve"> for users to better understand the dataset</w:t>
      </w:r>
      <w:r w:rsidRPr="00FE2911">
        <w:t>. Additionally, variations in state participation may impact the generalizability of the findings.</w:t>
      </w:r>
    </w:p>
    <w:p w14:paraId="303D0157" w14:textId="77777777" w:rsidR="00FE2911" w:rsidRPr="00E8513C" w:rsidRDefault="00FE2911" w:rsidP="00FE2911">
      <w:pPr>
        <w:pStyle w:val="Heading1"/>
        <w:spacing w:before="0" w:line="480" w:lineRule="auto"/>
        <w:rPr>
          <w:rFonts w:ascii="Times New Roman" w:hAnsi="Times New Roman" w:cs="Times New Roman"/>
          <w:color w:val="000000" w:themeColor="text1"/>
          <w:sz w:val="28"/>
          <w:szCs w:val="28"/>
          <w:u w:val="single"/>
        </w:rPr>
      </w:pPr>
      <w:r w:rsidRPr="00E8513C">
        <w:rPr>
          <w:rFonts w:ascii="Times New Roman" w:hAnsi="Times New Roman" w:cs="Times New Roman"/>
          <w:color w:val="000000" w:themeColor="text1"/>
          <w:sz w:val="28"/>
          <w:szCs w:val="28"/>
          <w:u w:val="single"/>
        </w:rPr>
        <w:t>Conclusion</w:t>
      </w:r>
    </w:p>
    <w:p w14:paraId="2F6935CE" w14:textId="6095DD31" w:rsidR="00FE2911" w:rsidRPr="00FE2911" w:rsidRDefault="00FE2911" w:rsidP="009B306C">
      <w:pPr>
        <w:pStyle w:val="NormalWeb"/>
        <w:spacing w:before="0" w:beforeAutospacing="0" w:after="0" w:afterAutospacing="0" w:line="480" w:lineRule="auto"/>
        <w:ind w:firstLine="720"/>
      </w:pPr>
      <w:r w:rsidRPr="00FE2911">
        <w:t xml:space="preserve">This project contributes to our understanding of youth obesity by showing that rates have continued to increase over the past decade and that disparities persist across racial and ethnic groups. The analysis found that while soda consumption and physical activity levels are </w:t>
      </w:r>
      <w:r w:rsidRPr="00FE2911">
        <w:lastRenderedPageBreak/>
        <w:t xml:space="preserve">important public health indicators, they were not significant predictors of obesity in this dataset. Instead, the year of data collection and racial </w:t>
      </w:r>
      <w:r w:rsidR="009B306C" w:rsidRPr="00FE2911">
        <w:t>identity, particularly</w:t>
      </w:r>
      <w:r w:rsidRPr="00FE2911">
        <w:t xml:space="preserve"> for Hawaiian/Pacific Islander </w:t>
      </w:r>
      <w:r w:rsidR="009B306C" w:rsidRPr="00FE2911">
        <w:t>youth, were</w:t>
      </w:r>
      <w:r w:rsidRPr="00FE2911">
        <w:t xml:space="preserve"> stronger predictors.</w:t>
      </w:r>
    </w:p>
    <w:p w14:paraId="5353ABFE" w14:textId="7D2E8E97" w:rsidR="007D264C" w:rsidRPr="0057072F" w:rsidRDefault="00FE2911" w:rsidP="0057072F">
      <w:pPr>
        <w:pStyle w:val="NormalWeb"/>
        <w:spacing w:before="0" w:beforeAutospacing="0" w:after="0" w:afterAutospacing="0" w:line="480" w:lineRule="auto"/>
        <w:ind w:firstLine="720"/>
      </w:pPr>
      <w:r w:rsidRPr="00FE2911">
        <w:t xml:space="preserve">These findings emphasize the need for culturally </w:t>
      </w:r>
      <w:r w:rsidR="00471A6B">
        <w:t>relevant</w:t>
      </w:r>
      <w:r w:rsidRPr="00FE2911">
        <w:t xml:space="preserve"> interventions that address not only </w:t>
      </w:r>
      <w:r w:rsidR="003B4EBE">
        <w:t xml:space="preserve">student </w:t>
      </w:r>
      <w:r w:rsidRPr="00FE2911">
        <w:t>behavior</w:t>
      </w:r>
      <w:r w:rsidR="003B4EBE">
        <w:t>s</w:t>
      </w:r>
      <w:r w:rsidR="00F27217">
        <w:t xml:space="preserve"> </w:t>
      </w:r>
      <w:r w:rsidRPr="00FE2911">
        <w:t xml:space="preserve">but also the broader environmental factors affecting adolescent health. Examples </w:t>
      </w:r>
      <w:r w:rsidR="00C3778E">
        <w:t xml:space="preserve">if interventions </w:t>
      </w:r>
      <w:r w:rsidRPr="00FE2911">
        <w:t xml:space="preserve">include school nutrition and physical activity programs tailored to specific communities, improved access to safe spaces for physical activity, and </w:t>
      </w:r>
      <w:r w:rsidR="00C3778E">
        <w:t>advocating</w:t>
      </w:r>
      <w:r w:rsidRPr="00FE2911">
        <w:t xml:space="preserve"> for equitable school funding and food. Future research should explore how structural </w:t>
      </w:r>
      <w:r w:rsidR="009B306C" w:rsidRPr="00FE2911">
        <w:t>factors</w:t>
      </w:r>
      <w:r w:rsidRPr="00FE2911">
        <w:t xml:space="preserve"> </w:t>
      </w:r>
      <w:r w:rsidR="009B306C" w:rsidRPr="00FE2911">
        <w:t>may</w:t>
      </w:r>
      <w:r w:rsidRPr="00FE2911">
        <w:t xml:space="preserve"> contribute to obesity disparities</w:t>
      </w:r>
      <w:r w:rsidR="0057072F">
        <w:t xml:space="preserve">. </w:t>
      </w:r>
      <w:r w:rsidR="007D264C">
        <w:rPr>
          <w:color w:val="000000" w:themeColor="text1"/>
        </w:rPr>
        <w:br w:type="page"/>
      </w:r>
    </w:p>
    <w:p w14:paraId="5709246D" w14:textId="3253C906" w:rsidR="00CD3B40" w:rsidRPr="00E8513C" w:rsidRDefault="00CD3B40" w:rsidP="00E8513C">
      <w:pPr>
        <w:pStyle w:val="Heading3"/>
        <w:spacing w:before="0" w:line="480" w:lineRule="auto"/>
        <w:rPr>
          <w:rFonts w:ascii="Times New Roman" w:hAnsi="Times New Roman" w:cs="Times New Roman"/>
          <w:color w:val="000000" w:themeColor="text1"/>
          <w:sz w:val="28"/>
          <w:szCs w:val="28"/>
          <w:u w:val="single"/>
        </w:rPr>
      </w:pPr>
      <w:r w:rsidRPr="00E8513C">
        <w:rPr>
          <w:rFonts w:ascii="Times New Roman" w:hAnsi="Times New Roman" w:cs="Times New Roman"/>
          <w:color w:val="000000" w:themeColor="text1"/>
          <w:sz w:val="28"/>
          <w:szCs w:val="28"/>
          <w:u w:val="single"/>
        </w:rPr>
        <w:lastRenderedPageBreak/>
        <w:t>References</w:t>
      </w:r>
    </w:p>
    <w:p w14:paraId="14C750DA" w14:textId="0BC79BB4" w:rsidR="00CD3B40" w:rsidRPr="00FE2911" w:rsidRDefault="00CD3B40" w:rsidP="00FE2911">
      <w:pPr>
        <w:spacing w:line="480" w:lineRule="auto"/>
        <w:rPr>
          <w:color w:val="000000" w:themeColor="text1"/>
        </w:rPr>
      </w:pPr>
      <w:r w:rsidRPr="00FE2911">
        <w:rPr>
          <w:color w:val="000000" w:themeColor="text1"/>
        </w:rPr>
        <w:t>GO FAIR. (2016). FAIR Principles Overview. Retrieved from GO FAIR</w:t>
      </w:r>
      <w:r w:rsidR="00C92284">
        <w:rPr>
          <w:color w:val="000000" w:themeColor="text1"/>
        </w:rPr>
        <w:t>.</w:t>
      </w:r>
    </w:p>
    <w:p w14:paraId="3D757A36" w14:textId="77777777" w:rsidR="00CD3B40" w:rsidRPr="00FE2911" w:rsidRDefault="00CD3B40" w:rsidP="00FE2911">
      <w:pPr>
        <w:spacing w:line="480" w:lineRule="auto"/>
        <w:ind w:left="720" w:hanging="720"/>
        <w:rPr>
          <w:color w:val="000000" w:themeColor="text1"/>
        </w:rPr>
      </w:pPr>
      <w:r w:rsidRPr="00FE2911">
        <w:rPr>
          <w:color w:val="000000" w:themeColor="text1"/>
        </w:rPr>
        <w:t>Public Health Institute at Denver Health. (2024). PHIDH Data Equity Principles Guide. Denver, CO: Public Health Institute at Denver Health.</w:t>
      </w:r>
    </w:p>
    <w:p w14:paraId="0DD91CB7" w14:textId="15D26A47" w:rsidR="009743FC" w:rsidRDefault="009743FC" w:rsidP="00FE2911">
      <w:pPr>
        <w:spacing w:line="480" w:lineRule="auto"/>
        <w:ind w:left="720" w:hanging="720"/>
        <w:rPr>
          <w:color w:val="000000" w:themeColor="text1"/>
        </w:rPr>
      </w:pPr>
      <w:r w:rsidRPr="00FE2911">
        <w:rPr>
          <w:color w:val="000000" w:themeColor="text1"/>
        </w:rPr>
        <w:t xml:space="preserve">Rizwan, F., Qadir, M. A., Hussain, H., &amp; Hameed, A. (2011). Prevalence of obesity and its relation to lifestyle behaviors in school children of Lahore. </w:t>
      </w:r>
      <w:r w:rsidRPr="00FE2911">
        <w:rPr>
          <w:i/>
          <w:iCs/>
          <w:color w:val="000000" w:themeColor="text1"/>
        </w:rPr>
        <w:t>Annals of King Edward Medical University</w:t>
      </w:r>
      <w:r w:rsidRPr="00FE2911">
        <w:rPr>
          <w:color w:val="000000" w:themeColor="text1"/>
        </w:rPr>
        <w:t xml:space="preserve">, </w:t>
      </w:r>
      <w:r w:rsidRPr="00FE2911">
        <w:rPr>
          <w:i/>
          <w:iCs/>
          <w:color w:val="000000" w:themeColor="text1"/>
        </w:rPr>
        <w:t>17</w:t>
      </w:r>
      <w:r w:rsidRPr="00FE2911">
        <w:rPr>
          <w:color w:val="000000" w:themeColor="text1"/>
        </w:rPr>
        <w:t xml:space="preserve">(2), 129–133. </w:t>
      </w:r>
      <w:hyperlink r:id="rId7" w:history="1">
        <w:r w:rsidR="00C92284" w:rsidRPr="007E0FA2">
          <w:rPr>
            <w:rStyle w:val="Hyperlink"/>
          </w:rPr>
          <w:t>https://doi.org/10.21649/akemu.v17i2.109</w:t>
        </w:r>
      </w:hyperlink>
    </w:p>
    <w:p w14:paraId="5D2F5386" w14:textId="77777777" w:rsidR="009743FC" w:rsidRPr="00FE2911" w:rsidRDefault="009743FC" w:rsidP="00FE2911">
      <w:pPr>
        <w:spacing w:line="480" w:lineRule="auto"/>
        <w:ind w:left="720" w:hanging="720"/>
        <w:rPr>
          <w:color w:val="000000" w:themeColor="text1"/>
        </w:rPr>
      </w:pPr>
      <w:proofErr w:type="spellStart"/>
      <w:r w:rsidRPr="00FE2911">
        <w:rPr>
          <w:color w:val="000000" w:themeColor="text1"/>
        </w:rPr>
        <w:t>Sanyaolu</w:t>
      </w:r>
      <w:proofErr w:type="spellEnd"/>
      <w:r w:rsidRPr="00FE2911">
        <w:rPr>
          <w:color w:val="000000" w:themeColor="text1"/>
        </w:rPr>
        <w:t xml:space="preserve">, A., Okorie, C., Qi, X., Locke, J., Rehman, S., Patidar, R., &amp; Prakash, S. (2019). Childhood and adolescent obesity in the United States: A public health concern. </w:t>
      </w:r>
      <w:r w:rsidRPr="00FE2911">
        <w:rPr>
          <w:i/>
          <w:iCs/>
          <w:color w:val="000000" w:themeColor="text1"/>
        </w:rPr>
        <w:t>Global Pediatric Health</w:t>
      </w:r>
      <w:r w:rsidRPr="00FE2911">
        <w:rPr>
          <w:color w:val="000000" w:themeColor="text1"/>
        </w:rPr>
        <w:t xml:space="preserve">, </w:t>
      </w:r>
      <w:r w:rsidRPr="00FE2911">
        <w:rPr>
          <w:i/>
          <w:iCs/>
          <w:color w:val="000000" w:themeColor="text1"/>
        </w:rPr>
        <w:t>6</w:t>
      </w:r>
      <w:r w:rsidRPr="00FE2911">
        <w:rPr>
          <w:color w:val="000000" w:themeColor="text1"/>
        </w:rPr>
        <w:t xml:space="preserve">, 1–11. </w:t>
      </w:r>
      <w:hyperlink r:id="rId8" w:tgtFrame="_new" w:history="1">
        <w:r w:rsidRPr="00FE2911">
          <w:rPr>
            <w:rStyle w:val="Hyperlink"/>
          </w:rPr>
          <w:t>https://doi.org/10.1177/2333794X19891305</w:t>
        </w:r>
      </w:hyperlink>
    </w:p>
    <w:p w14:paraId="2478DA86" w14:textId="3E95DC71" w:rsidR="00C92284" w:rsidRDefault="00C92284" w:rsidP="00FE2911">
      <w:pPr>
        <w:spacing w:line="480" w:lineRule="auto"/>
        <w:ind w:left="720" w:hanging="720"/>
      </w:pPr>
      <w:r w:rsidRPr="00C92284">
        <w:rPr>
          <w:rStyle w:val="Strong"/>
          <w:b w:val="0"/>
          <w:bCs w:val="0"/>
        </w:rPr>
        <w:t>Singh, G. K., Kogan, M. D., &amp; Van Dyck, P. C. (2008).</w:t>
      </w:r>
      <w:r>
        <w:t xml:space="preserve"> A multilevel analysis of state and regional disparities in childhood and adolescent obesity in the United States. </w:t>
      </w:r>
      <w:r>
        <w:rPr>
          <w:rStyle w:val="Emphasis"/>
        </w:rPr>
        <w:t>Journal of Community Health, 33</w:t>
      </w:r>
      <w:r>
        <w:t xml:space="preserve">(2), 90–102. </w:t>
      </w:r>
      <w:hyperlink r:id="rId9" w:history="1">
        <w:r w:rsidRPr="007E0FA2">
          <w:rPr>
            <w:rStyle w:val="Hyperlink"/>
          </w:rPr>
          <w:t>https://doi.org/10.1007/s10900-007-9071-7</w:t>
        </w:r>
      </w:hyperlink>
    </w:p>
    <w:p w14:paraId="1DA08CD3" w14:textId="60DEFAB7" w:rsidR="00C92284" w:rsidRDefault="00480667" w:rsidP="00C92284">
      <w:pPr>
        <w:spacing w:line="480" w:lineRule="auto"/>
        <w:ind w:left="720" w:hanging="720"/>
        <w:rPr>
          <w:color w:val="000000" w:themeColor="text1"/>
        </w:rPr>
      </w:pPr>
      <w:r w:rsidRPr="00480667">
        <w:rPr>
          <w:color w:val="000000" w:themeColor="text1"/>
        </w:rPr>
        <w:t xml:space="preserve">U.S. Department of Health &amp; Human Services. (2020, November 10). </w:t>
      </w:r>
      <w:r w:rsidRPr="00480667">
        <w:rPr>
          <w:i/>
          <w:iCs/>
          <w:color w:val="000000" w:themeColor="text1"/>
        </w:rPr>
        <w:t>Nutrition, Physical Activity, and Obesity - Youth Risk Behavior Surveillance System</w:t>
      </w:r>
      <w:r w:rsidRPr="00480667">
        <w:rPr>
          <w:color w:val="000000" w:themeColor="text1"/>
        </w:rPr>
        <w:t xml:space="preserve">. data.gov. </w:t>
      </w:r>
      <w:hyperlink r:id="rId10" w:history="1">
        <w:r w:rsidR="00C92284" w:rsidRPr="007E0FA2">
          <w:rPr>
            <w:rStyle w:val="Hyperlink"/>
          </w:rPr>
          <w:t>https://catalog.data.gov/dataset/nutrition-physical-activity-and-obesity-youth-risk-behavior-surveillance-system</w:t>
        </w:r>
      </w:hyperlink>
    </w:p>
    <w:p w14:paraId="7BA41A9C" w14:textId="692F7608" w:rsidR="009743FC" w:rsidRDefault="009743FC" w:rsidP="00FE2911">
      <w:pPr>
        <w:spacing w:line="480" w:lineRule="auto"/>
        <w:ind w:left="720" w:hanging="720"/>
        <w:rPr>
          <w:color w:val="000000" w:themeColor="text1"/>
        </w:rPr>
      </w:pPr>
      <w:r w:rsidRPr="00FE2911">
        <w:rPr>
          <w:color w:val="000000" w:themeColor="text1"/>
        </w:rPr>
        <w:t xml:space="preserve">Wang, Y. C., Beydoun, M. A., Liang, L., Caballero, B., &amp; Kumanyika, S. K. (2020). Will all Americans become overweight or obese? Estimating the progression and cost of the US obesity epidemic. </w:t>
      </w:r>
      <w:r w:rsidRPr="00FE2911">
        <w:rPr>
          <w:i/>
          <w:iCs/>
          <w:color w:val="000000" w:themeColor="text1"/>
        </w:rPr>
        <w:t>Obesity</w:t>
      </w:r>
      <w:r w:rsidRPr="00FE2911">
        <w:rPr>
          <w:color w:val="000000" w:themeColor="text1"/>
        </w:rPr>
        <w:t xml:space="preserve">, </w:t>
      </w:r>
      <w:r w:rsidRPr="00FE2911">
        <w:rPr>
          <w:i/>
          <w:iCs/>
          <w:color w:val="000000" w:themeColor="text1"/>
        </w:rPr>
        <w:t>18</w:t>
      </w:r>
      <w:r w:rsidRPr="00FE2911">
        <w:rPr>
          <w:color w:val="000000" w:themeColor="text1"/>
        </w:rPr>
        <w:t xml:space="preserve">(10), 1904–1912. </w:t>
      </w:r>
      <w:hyperlink r:id="rId11" w:history="1">
        <w:r w:rsidR="00C92284" w:rsidRPr="007E0FA2">
          <w:rPr>
            <w:rStyle w:val="Hyperlink"/>
          </w:rPr>
          <w:t>https://doi.org/10.1038/oby.2010.100</w:t>
        </w:r>
      </w:hyperlink>
    </w:p>
    <w:p w14:paraId="6710F48C" w14:textId="77777777" w:rsidR="00C92284" w:rsidRPr="00FE2911" w:rsidRDefault="00C92284" w:rsidP="00FE2911">
      <w:pPr>
        <w:spacing w:line="480" w:lineRule="auto"/>
        <w:ind w:left="720" w:hanging="720"/>
        <w:rPr>
          <w:color w:val="000000" w:themeColor="text1"/>
        </w:rPr>
      </w:pPr>
    </w:p>
    <w:p w14:paraId="593558B8" w14:textId="77777777" w:rsidR="009743FC" w:rsidRPr="00FE2911" w:rsidRDefault="009743FC" w:rsidP="00FE2911">
      <w:pPr>
        <w:spacing w:line="480" w:lineRule="auto"/>
        <w:ind w:left="720" w:hanging="720"/>
        <w:rPr>
          <w:color w:val="000000" w:themeColor="text1"/>
        </w:rPr>
      </w:pPr>
    </w:p>
    <w:p w14:paraId="576A17B8" w14:textId="77777777" w:rsidR="006F140E" w:rsidRDefault="006F140E" w:rsidP="00FE2911">
      <w:pPr>
        <w:spacing w:line="480" w:lineRule="auto"/>
        <w:rPr>
          <w:color w:val="000000" w:themeColor="text1"/>
        </w:rPr>
      </w:pPr>
    </w:p>
    <w:p w14:paraId="7FAC3444" w14:textId="1EFBC8FC" w:rsidR="00E8513C" w:rsidRDefault="00E8513C" w:rsidP="00FE2911">
      <w:pPr>
        <w:spacing w:line="480" w:lineRule="auto"/>
        <w:rPr>
          <w:b/>
          <w:bCs/>
          <w:color w:val="000000" w:themeColor="text1"/>
          <w:sz w:val="28"/>
          <w:szCs w:val="28"/>
          <w:u w:val="single"/>
        </w:rPr>
      </w:pPr>
      <w:r w:rsidRPr="00E8513C">
        <w:rPr>
          <w:b/>
          <w:bCs/>
          <w:color w:val="000000" w:themeColor="text1"/>
          <w:sz w:val="28"/>
          <w:szCs w:val="28"/>
          <w:u w:val="single"/>
        </w:rPr>
        <w:lastRenderedPageBreak/>
        <w:t>Appendix</w:t>
      </w:r>
    </w:p>
    <w:p w14:paraId="67E3A0AB" w14:textId="4E51E8C0" w:rsidR="00391AB5" w:rsidRPr="00DD0B38" w:rsidRDefault="00DD0B38" w:rsidP="00DD0B38">
      <w:pPr>
        <w:spacing w:line="480" w:lineRule="auto"/>
        <w:rPr>
          <w:b/>
          <w:bCs/>
          <w:color w:val="000000" w:themeColor="text1"/>
        </w:rPr>
      </w:pPr>
      <w:r w:rsidRPr="00DD0B38">
        <w:rPr>
          <w:b/>
          <w:bCs/>
          <w:color w:val="000000" w:themeColor="text1"/>
        </w:rPr>
        <w:t>A.</w:t>
      </w:r>
      <w:r>
        <w:rPr>
          <w:b/>
          <w:bCs/>
          <w:color w:val="000000" w:themeColor="text1"/>
        </w:rPr>
        <w:t xml:space="preserve"> </w:t>
      </w:r>
      <w:r w:rsidR="00391AB5" w:rsidRPr="00DD0B38">
        <w:rPr>
          <w:b/>
          <w:bCs/>
          <w:color w:val="000000" w:themeColor="text1"/>
        </w:rPr>
        <w:t>Mean Values of Health Indicators by Race</w:t>
      </w:r>
    </w:p>
    <w:tbl>
      <w:tblPr>
        <w:tblW w:w="7910" w:type="dxa"/>
        <w:tblCellMar>
          <w:left w:w="0" w:type="dxa"/>
          <w:right w:w="0" w:type="dxa"/>
        </w:tblCellMar>
        <w:tblLook w:val="0420" w:firstRow="1" w:lastRow="0" w:firstColumn="0" w:lastColumn="0" w:noHBand="0" w:noVBand="1"/>
      </w:tblPr>
      <w:tblGrid>
        <w:gridCol w:w="2069"/>
        <w:gridCol w:w="1863"/>
        <w:gridCol w:w="2268"/>
        <w:gridCol w:w="1710"/>
      </w:tblGrid>
      <w:tr w:rsidR="00740239" w:rsidRPr="00FE2911" w14:paraId="3BC8C085" w14:textId="77777777" w:rsidTr="0067606F">
        <w:trPr>
          <w:trHeight w:val="684"/>
        </w:trPr>
        <w:tc>
          <w:tcPr>
            <w:tcW w:w="2069" w:type="dxa"/>
            <w:tcBorders>
              <w:top w:val="single" w:sz="8" w:space="0" w:color="000000"/>
              <w:left w:val="single" w:sz="8" w:space="0" w:color="000000"/>
              <w:bottom w:val="single" w:sz="18" w:space="0" w:color="000000"/>
              <w:right w:val="single" w:sz="8" w:space="0" w:color="000000"/>
            </w:tcBorders>
            <w:shd w:val="clear" w:color="auto" w:fill="auto"/>
            <w:tcMar>
              <w:top w:w="80" w:type="dxa"/>
              <w:left w:w="161" w:type="dxa"/>
              <w:bottom w:w="80" w:type="dxa"/>
              <w:right w:w="161" w:type="dxa"/>
            </w:tcMar>
            <w:vAlign w:val="center"/>
            <w:hideMark/>
          </w:tcPr>
          <w:p w14:paraId="690419B0" w14:textId="77777777" w:rsidR="00740239" w:rsidRPr="00FE2911" w:rsidRDefault="00740239" w:rsidP="0067606F">
            <w:pPr>
              <w:spacing w:line="480" w:lineRule="auto"/>
              <w:jc w:val="center"/>
              <w:rPr>
                <w:color w:val="000000" w:themeColor="text1"/>
              </w:rPr>
            </w:pPr>
            <w:r w:rsidRPr="00FE2911">
              <w:rPr>
                <w:b/>
                <w:bCs/>
                <w:color w:val="000000" w:themeColor="text1"/>
              </w:rPr>
              <w:t>Race/Ethnicity</w:t>
            </w:r>
          </w:p>
        </w:tc>
        <w:tc>
          <w:tcPr>
            <w:tcW w:w="1863" w:type="dxa"/>
            <w:tcBorders>
              <w:top w:val="single" w:sz="8" w:space="0" w:color="000000"/>
              <w:left w:val="single" w:sz="8" w:space="0" w:color="000000"/>
              <w:bottom w:val="single" w:sz="18" w:space="0" w:color="000000"/>
              <w:right w:val="single" w:sz="8" w:space="0" w:color="000000"/>
            </w:tcBorders>
            <w:shd w:val="clear" w:color="auto" w:fill="auto"/>
            <w:tcMar>
              <w:top w:w="80" w:type="dxa"/>
              <w:left w:w="161" w:type="dxa"/>
              <w:bottom w:w="80" w:type="dxa"/>
              <w:right w:w="161" w:type="dxa"/>
            </w:tcMar>
            <w:vAlign w:val="center"/>
            <w:hideMark/>
          </w:tcPr>
          <w:p w14:paraId="5D5A74B1" w14:textId="77777777" w:rsidR="00740239" w:rsidRPr="00FE2911" w:rsidRDefault="00740239" w:rsidP="0067606F">
            <w:pPr>
              <w:spacing w:line="480" w:lineRule="auto"/>
              <w:jc w:val="center"/>
              <w:rPr>
                <w:color w:val="000000" w:themeColor="text1"/>
              </w:rPr>
            </w:pPr>
            <w:r w:rsidRPr="00FE2911">
              <w:rPr>
                <w:b/>
                <w:bCs/>
                <w:color w:val="000000" w:themeColor="text1"/>
              </w:rPr>
              <w:t>Obesity (%)</w:t>
            </w:r>
          </w:p>
        </w:tc>
        <w:tc>
          <w:tcPr>
            <w:tcW w:w="2268" w:type="dxa"/>
            <w:tcBorders>
              <w:top w:val="single" w:sz="8" w:space="0" w:color="000000"/>
              <w:left w:val="single" w:sz="8" w:space="0" w:color="000000"/>
              <w:bottom w:val="single" w:sz="18" w:space="0" w:color="000000"/>
              <w:right w:val="single" w:sz="8" w:space="0" w:color="000000"/>
            </w:tcBorders>
            <w:shd w:val="clear" w:color="auto" w:fill="auto"/>
            <w:tcMar>
              <w:top w:w="80" w:type="dxa"/>
              <w:left w:w="161" w:type="dxa"/>
              <w:bottom w:w="80" w:type="dxa"/>
              <w:right w:w="161" w:type="dxa"/>
            </w:tcMar>
            <w:vAlign w:val="center"/>
            <w:hideMark/>
          </w:tcPr>
          <w:p w14:paraId="723B8F87" w14:textId="77777777" w:rsidR="00740239" w:rsidRPr="00FE2911" w:rsidRDefault="00740239" w:rsidP="0067606F">
            <w:pPr>
              <w:spacing w:line="480" w:lineRule="auto"/>
              <w:jc w:val="center"/>
              <w:rPr>
                <w:color w:val="000000" w:themeColor="text1"/>
              </w:rPr>
            </w:pPr>
            <w:r w:rsidRPr="00FE2911">
              <w:rPr>
                <w:b/>
                <w:bCs/>
                <w:color w:val="000000" w:themeColor="text1"/>
              </w:rPr>
              <w:t>Soda Consumption (%)</w:t>
            </w:r>
          </w:p>
        </w:tc>
        <w:tc>
          <w:tcPr>
            <w:tcW w:w="1710" w:type="dxa"/>
            <w:tcBorders>
              <w:top w:val="single" w:sz="8" w:space="0" w:color="000000"/>
              <w:left w:val="single" w:sz="8" w:space="0" w:color="000000"/>
              <w:bottom w:val="single" w:sz="18" w:space="0" w:color="000000"/>
              <w:right w:val="single" w:sz="8" w:space="0" w:color="000000"/>
            </w:tcBorders>
            <w:shd w:val="clear" w:color="auto" w:fill="auto"/>
            <w:tcMar>
              <w:top w:w="80" w:type="dxa"/>
              <w:left w:w="161" w:type="dxa"/>
              <w:bottom w:w="80" w:type="dxa"/>
              <w:right w:w="161" w:type="dxa"/>
            </w:tcMar>
            <w:vAlign w:val="center"/>
            <w:hideMark/>
          </w:tcPr>
          <w:p w14:paraId="71FE1717" w14:textId="77777777" w:rsidR="00740239" w:rsidRPr="00FE2911" w:rsidRDefault="00740239" w:rsidP="0067606F">
            <w:pPr>
              <w:spacing w:line="480" w:lineRule="auto"/>
              <w:jc w:val="center"/>
              <w:rPr>
                <w:color w:val="000000" w:themeColor="text1"/>
              </w:rPr>
            </w:pPr>
            <w:r w:rsidRPr="00FE2911">
              <w:rPr>
                <w:b/>
                <w:bCs/>
                <w:color w:val="000000" w:themeColor="text1"/>
              </w:rPr>
              <w:t>Physical Activity (%)</w:t>
            </w:r>
          </w:p>
        </w:tc>
      </w:tr>
      <w:tr w:rsidR="00740239" w:rsidRPr="00FE2911" w14:paraId="0488A40B" w14:textId="77777777" w:rsidTr="0067606F">
        <w:trPr>
          <w:trHeight w:val="431"/>
        </w:trPr>
        <w:tc>
          <w:tcPr>
            <w:tcW w:w="2069" w:type="dxa"/>
            <w:tcBorders>
              <w:top w:val="single" w:sz="1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1F8E8F33" w14:textId="45736186" w:rsidR="00740239" w:rsidRPr="00FE2911" w:rsidRDefault="00740239" w:rsidP="00FE2911">
            <w:pPr>
              <w:spacing w:line="480" w:lineRule="auto"/>
              <w:rPr>
                <w:color w:val="000000" w:themeColor="text1"/>
              </w:rPr>
            </w:pPr>
            <w:r w:rsidRPr="00FE2911">
              <w:rPr>
                <w:b/>
                <w:bCs/>
                <w:color w:val="000000" w:themeColor="text1"/>
              </w:rPr>
              <w:t xml:space="preserve">2 or more </w:t>
            </w:r>
            <w:r w:rsidR="0067606F">
              <w:rPr>
                <w:b/>
                <w:bCs/>
                <w:color w:val="000000" w:themeColor="text1"/>
              </w:rPr>
              <w:t>R</w:t>
            </w:r>
            <w:r w:rsidRPr="00FE2911">
              <w:rPr>
                <w:b/>
                <w:bCs/>
                <w:color w:val="000000" w:themeColor="text1"/>
              </w:rPr>
              <w:t>aces</w:t>
            </w:r>
          </w:p>
        </w:tc>
        <w:tc>
          <w:tcPr>
            <w:tcW w:w="1863" w:type="dxa"/>
            <w:tcBorders>
              <w:top w:val="single" w:sz="1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3B186C0C" w14:textId="77777777" w:rsidR="00740239" w:rsidRPr="00FE2911" w:rsidRDefault="00740239" w:rsidP="00FE2911">
            <w:pPr>
              <w:spacing w:line="480" w:lineRule="auto"/>
              <w:rPr>
                <w:color w:val="000000" w:themeColor="text1"/>
              </w:rPr>
            </w:pPr>
            <w:r w:rsidRPr="00FE2911">
              <w:rPr>
                <w:color w:val="000000" w:themeColor="text1"/>
              </w:rPr>
              <w:t>16.35</w:t>
            </w:r>
          </w:p>
        </w:tc>
        <w:tc>
          <w:tcPr>
            <w:tcW w:w="2268" w:type="dxa"/>
            <w:tcBorders>
              <w:top w:val="single" w:sz="1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32F5DE01" w14:textId="77777777" w:rsidR="00740239" w:rsidRPr="00FE2911" w:rsidRDefault="00740239" w:rsidP="00FE2911">
            <w:pPr>
              <w:spacing w:line="480" w:lineRule="auto"/>
              <w:rPr>
                <w:color w:val="000000" w:themeColor="text1"/>
              </w:rPr>
            </w:pPr>
            <w:r w:rsidRPr="00FE2911">
              <w:rPr>
                <w:color w:val="000000" w:themeColor="text1"/>
              </w:rPr>
              <w:t>19.28</w:t>
            </w:r>
          </w:p>
        </w:tc>
        <w:tc>
          <w:tcPr>
            <w:tcW w:w="1710" w:type="dxa"/>
            <w:tcBorders>
              <w:top w:val="single" w:sz="1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1D529772" w14:textId="77777777" w:rsidR="00740239" w:rsidRPr="00FE2911" w:rsidRDefault="00740239" w:rsidP="00FE2911">
            <w:pPr>
              <w:spacing w:line="480" w:lineRule="auto"/>
              <w:rPr>
                <w:color w:val="000000" w:themeColor="text1"/>
              </w:rPr>
            </w:pPr>
            <w:r w:rsidRPr="00FE2911">
              <w:rPr>
                <w:color w:val="000000" w:themeColor="text1"/>
              </w:rPr>
              <w:t>26.87</w:t>
            </w:r>
          </w:p>
        </w:tc>
      </w:tr>
      <w:tr w:rsidR="00740239" w:rsidRPr="00FE2911" w14:paraId="41FBA4F9" w14:textId="77777777" w:rsidTr="0067606F">
        <w:trPr>
          <w:trHeight w:val="1019"/>
        </w:trPr>
        <w:tc>
          <w:tcPr>
            <w:tcW w:w="2069"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0909F33F" w14:textId="77777777" w:rsidR="00740239" w:rsidRPr="00FE2911" w:rsidRDefault="00740239" w:rsidP="00FE2911">
            <w:pPr>
              <w:spacing w:line="480" w:lineRule="auto"/>
              <w:rPr>
                <w:color w:val="000000" w:themeColor="text1"/>
              </w:rPr>
            </w:pPr>
            <w:r w:rsidRPr="00FE2911">
              <w:rPr>
                <w:b/>
                <w:bCs/>
                <w:color w:val="000000" w:themeColor="text1"/>
              </w:rPr>
              <w:t>American Indian/Alaska Native</w:t>
            </w:r>
          </w:p>
        </w:tc>
        <w:tc>
          <w:tcPr>
            <w:tcW w:w="1863"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5DC562AB" w14:textId="77777777" w:rsidR="00740239" w:rsidRPr="00FE2911" w:rsidRDefault="00740239" w:rsidP="00FE2911">
            <w:pPr>
              <w:spacing w:line="480" w:lineRule="auto"/>
              <w:rPr>
                <w:color w:val="000000" w:themeColor="text1"/>
              </w:rPr>
            </w:pPr>
            <w:r w:rsidRPr="00FE2911">
              <w:rPr>
                <w:color w:val="000000" w:themeColor="text1"/>
              </w:rPr>
              <w:t>17.37</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78672F75" w14:textId="77777777" w:rsidR="00740239" w:rsidRPr="00FE2911" w:rsidRDefault="00740239" w:rsidP="00FE2911">
            <w:pPr>
              <w:spacing w:line="480" w:lineRule="auto"/>
              <w:rPr>
                <w:color w:val="000000" w:themeColor="text1"/>
              </w:rPr>
            </w:pPr>
            <w:r w:rsidRPr="00FE2911">
              <w:rPr>
                <w:color w:val="000000" w:themeColor="text1"/>
              </w:rPr>
              <w:t>29.26</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29948694" w14:textId="77777777" w:rsidR="00740239" w:rsidRPr="00FE2911" w:rsidRDefault="00740239" w:rsidP="00FE2911">
            <w:pPr>
              <w:spacing w:line="480" w:lineRule="auto"/>
              <w:rPr>
                <w:color w:val="000000" w:themeColor="text1"/>
              </w:rPr>
            </w:pPr>
            <w:r w:rsidRPr="00FE2911">
              <w:rPr>
                <w:color w:val="000000" w:themeColor="text1"/>
              </w:rPr>
              <w:t>32.93</w:t>
            </w:r>
          </w:p>
        </w:tc>
      </w:tr>
      <w:tr w:rsidR="00740239" w:rsidRPr="00FE2911" w14:paraId="3CB34E29" w14:textId="77777777" w:rsidTr="0067606F">
        <w:trPr>
          <w:trHeight w:val="431"/>
        </w:trPr>
        <w:tc>
          <w:tcPr>
            <w:tcW w:w="2069"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6DF4A9B0" w14:textId="77777777" w:rsidR="00740239" w:rsidRPr="00FE2911" w:rsidRDefault="00740239" w:rsidP="00FE2911">
            <w:pPr>
              <w:spacing w:line="480" w:lineRule="auto"/>
              <w:rPr>
                <w:color w:val="000000" w:themeColor="text1"/>
              </w:rPr>
            </w:pPr>
            <w:r w:rsidRPr="00FE2911">
              <w:rPr>
                <w:b/>
                <w:bCs/>
                <w:color w:val="000000" w:themeColor="text1"/>
              </w:rPr>
              <w:t>Asian</w:t>
            </w:r>
          </w:p>
        </w:tc>
        <w:tc>
          <w:tcPr>
            <w:tcW w:w="1863"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5E1EBED8" w14:textId="77777777" w:rsidR="00740239" w:rsidRPr="00FE2911" w:rsidRDefault="00740239" w:rsidP="00FE2911">
            <w:pPr>
              <w:spacing w:line="480" w:lineRule="auto"/>
              <w:rPr>
                <w:color w:val="000000" w:themeColor="text1"/>
              </w:rPr>
            </w:pPr>
            <w:r w:rsidRPr="00FE2911">
              <w:rPr>
                <w:color w:val="000000" w:themeColor="text1"/>
              </w:rPr>
              <w:t>7.17</w:t>
            </w:r>
          </w:p>
        </w:tc>
        <w:tc>
          <w:tcPr>
            <w:tcW w:w="2268"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5C8C52B0" w14:textId="77777777" w:rsidR="00740239" w:rsidRPr="00FE2911" w:rsidRDefault="00740239" w:rsidP="00FE2911">
            <w:pPr>
              <w:spacing w:line="480" w:lineRule="auto"/>
              <w:rPr>
                <w:color w:val="000000" w:themeColor="text1"/>
              </w:rPr>
            </w:pPr>
            <w:r w:rsidRPr="00FE2911">
              <w:rPr>
                <w:color w:val="000000" w:themeColor="text1"/>
              </w:rPr>
              <w:t>9.23</w:t>
            </w:r>
          </w:p>
        </w:tc>
        <w:tc>
          <w:tcPr>
            <w:tcW w:w="171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0E4D0B33" w14:textId="77777777" w:rsidR="00740239" w:rsidRPr="00FE2911" w:rsidRDefault="00740239" w:rsidP="00FE2911">
            <w:pPr>
              <w:spacing w:line="480" w:lineRule="auto"/>
              <w:rPr>
                <w:color w:val="000000" w:themeColor="text1"/>
              </w:rPr>
            </w:pPr>
            <w:r w:rsidRPr="00FE2911">
              <w:rPr>
                <w:color w:val="000000" w:themeColor="text1"/>
              </w:rPr>
              <w:t>18.43</w:t>
            </w:r>
          </w:p>
        </w:tc>
      </w:tr>
      <w:tr w:rsidR="00740239" w:rsidRPr="00FE2911" w14:paraId="47D3745B" w14:textId="77777777" w:rsidTr="0067606F">
        <w:trPr>
          <w:trHeight w:val="725"/>
        </w:trPr>
        <w:tc>
          <w:tcPr>
            <w:tcW w:w="2069"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45CA624C" w14:textId="77777777" w:rsidR="00740239" w:rsidRPr="00FE2911" w:rsidRDefault="00740239" w:rsidP="00FE2911">
            <w:pPr>
              <w:spacing w:line="480" w:lineRule="auto"/>
              <w:rPr>
                <w:color w:val="000000" w:themeColor="text1"/>
              </w:rPr>
            </w:pPr>
            <w:r w:rsidRPr="00FE2911">
              <w:rPr>
                <w:b/>
                <w:bCs/>
                <w:color w:val="000000" w:themeColor="text1"/>
              </w:rPr>
              <w:t>Hawaiian/Pacific Islander</w:t>
            </w:r>
          </w:p>
        </w:tc>
        <w:tc>
          <w:tcPr>
            <w:tcW w:w="1863"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0029CA91" w14:textId="77777777" w:rsidR="00740239" w:rsidRPr="00FE2911" w:rsidRDefault="00740239" w:rsidP="00FE2911">
            <w:pPr>
              <w:spacing w:line="480" w:lineRule="auto"/>
              <w:rPr>
                <w:color w:val="000000" w:themeColor="text1"/>
              </w:rPr>
            </w:pPr>
            <w:r w:rsidRPr="00FE2911">
              <w:rPr>
                <w:color w:val="000000" w:themeColor="text1"/>
              </w:rPr>
              <w:t>21.03</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5E4CBEB1" w14:textId="77777777" w:rsidR="00740239" w:rsidRPr="00FE2911" w:rsidRDefault="00740239" w:rsidP="00FE2911">
            <w:pPr>
              <w:spacing w:line="480" w:lineRule="auto"/>
              <w:rPr>
                <w:color w:val="000000" w:themeColor="text1"/>
              </w:rPr>
            </w:pPr>
            <w:r w:rsidRPr="00FE2911">
              <w:rPr>
                <w:color w:val="000000" w:themeColor="text1"/>
              </w:rPr>
              <w:t>18.13</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413C77F9" w14:textId="77777777" w:rsidR="00740239" w:rsidRPr="00FE2911" w:rsidRDefault="00740239" w:rsidP="00FE2911">
            <w:pPr>
              <w:spacing w:line="480" w:lineRule="auto"/>
              <w:rPr>
                <w:color w:val="000000" w:themeColor="text1"/>
              </w:rPr>
            </w:pPr>
            <w:r w:rsidRPr="00FE2911">
              <w:rPr>
                <w:color w:val="000000" w:themeColor="text1"/>
              </w:rPr>
              <w:t>26.48</w:t>
            </w:r>
          </w:p>
        </w:tc>
      </w:tr>
      <w:tr w:rsidR="00740239" w:rsidRPr="00FE2911" w14:paraId="1869F46F" w14:textId="77777777" w:rsidTr="0067606F">
        <w:trPr>
          <w:trHeight w:val="431"/>
        </w:trPr>
        <w:tc>
          <w:tcPr>
            <w:tcW w:w="2069"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1623AC4A" w14:textId="77777777" w:rsidR="00740239" w:rsidRPr="00FE2911" w:rsidRDefault="00740239" w:rsidP="00FE2911">
            <w:pPr>
              <w:spacing w:line="480" w:lineRule="auto"/>
              <w:rPr>
                <w:color w:val="000000" w:themeColor="text1"/>
              </w:rPr>
            </w:pPr>
            <w:r w:rsidRPr="00FE2911">
              <w:rPr>
                <w:b/>
                <w:bCs/>
                <w:color w:val="000000" w:themeColor="text1"/>
              </w:rPr>
              <w:t>Hispanic</w:t>
            </w:r>
          </w:p>
        </w:tc>
        <w:tc>
          <w:tcPr>
            <w:tcW w:w="1863"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71955591" w14:textId="77777777" w:rsidR="00740239" w:rsidRPr="00FE2911" w:rsidRDefault="00740239" w:rsidP="00FE2911">
            <w:pPr>
              <w:spacing w:line="480" w:lineRule="auto"/>
              <w:rPr>
                <w:color w:val="000000" w:themeColor="text1"/>
              </w:rPr>
            </w:pPr>
            <w:r w:rsidRPr="00FE2911">
              <w:rPr>
                <w:color w:val="000000" w:themeColor="text1"/>
              </w:rPr>
              <w:t>17.22</w:t>
            </w:r>
          </w:p>
        </w:tc>
        <w:tc>
          <w:tcPr>
            <w:tcW w:w="2268"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09008ED8" w14:textId="77777777" w:rsidR="00740239" w:rsidRPr="00FE2911" w:rsidRDefault="00740239" w:rsidP="00FE2911">
            <w:pPr>
              <w:spacing w:line="480" w:lineRule="auto"/>
              <w:rPr>
                <w:color w:val="000000" w:themeColor="text1"/>
              </w:rPr>
            </w:pPr>
            <w:r w:rsidRPr="00FE2911">
              <w:rPr>
                <w:color w:val="000000" w:themeColor="text1"/>
              </w:rPr>
              <w:t>19.73</w:t>
            </w:r>
          </w:p>
        </w:tc>
        <w:tc>
          <w:tcPr>
            <w:tcW w:w="171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7574AEFC" w14:textId="77777777" w:rsidR="00740239" w:rsidRPr="00FE2911" w:rsidRDefault="00740239" w:rsidP="00FE2911">
            <w:pPr>
              <w:spacing w:line="480" w:lineRule="auto"/>
              <w:rPr>
                <w:color w:val="000000" w:themeColor="text1"/>
              </w:rPr>
            </w:pPr>
            <w:r w:rsidRPr="00FE2911">
              <w:rPr>
                <w:color w:val="000000" w:themeColor="text1"/>
              </w:rPr>
              <w:t>23.70</w:t>
            </w:r>
          </w:p>
        </w:tc>
      </w:tr>
      <w:tr w:rsidR="00740239" w:rsidRPr="00FE2911" w14:paraId="37049D66" w14:textId="77777777" w:rsidTr="0067606F">
        <w:trPr>
          <w:trHeight w:val="725"/>
        </w:trPr>
        <w:tc>
          <w:tcPr>
            <w:tcW w:w="2069"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33D2F59B" w14:textId="77777777" w:rsidR="00740239" w:rsidRPr="00FE2911" w:rsidRDefault="00740239" w:rsidP="00FE2911">
            <w:pPr>
              <w:spacing w:line="480" w:lineRule="auto"/>
              <w:rPr>
                <w:color w:val="000000" w:themeColor="text1"/>
              </w:rPr>
            </w:pPr>
            <w:r w:rsidRPr="00FE2911">
              <w:rPr>
                <w:b/>
                <w:bCs/>
                <w:color w:val="000000" w:themeColor="text1"/>
              </w:rPr>
              <w:t>Non-Hispanic Black</w:t>
            </w:r>
          </w:p>
        </w:tc>
        <w:tc>
          <w:tcPr>
            <w:tcW w:w="1863"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3F250663" w14:textId="77777777" w:rsidR="00740239" w:rsidRPr="00FE2911" w:rsidRDefault="00740239" w:rsidP="00FE2911">
            <w:pPr>
              <w:spacing w:line="480" w:lineRule="auto"/>
              <w:rPr>
                <w:color w:val="000000" w:themeColor="text1"/>
              </w:rPr>
            </w:pPr>
            <w:r w:rsidRPr="00FE2911">
              <w:rPr>
                <w:color w:val="000000" w:themeColor="text1"/>
              </w:rPr>
              <w:t>18.53</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0A72DDF5" w14:textId="77777777" w:rsidR="00740239" w:rsidRPr="00FE2911" w:rsidRDefault="00740239" w:rsidP="00FE2911">
            <w:pPr>
              <w:spacing w:line="480" w:lineRule="auto"/>
              <w:rPr>
                <w:color w:val="000000" w:themeColor="text1"/>
              </w:rPr>
            </w:pPr>
            <w:r w:rsidRPr="00FE2911">
              <w:rPr>
                <w:color w:val="000000" w:themeColor="text1"/>
              </w:rPr>
              <w:t>22.40</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73B9B93F" w14:textId="77777777" w:rsidR="00740239" w:rsidRPr="00FE2911" w:rsidRDefault="00740239" w:rsidP="00FE2911">
            <w:pPr>
              <w:spacing w:line="480" w:lineRule="auto"/>
              <w:rPr>
                <w:color w:val="000000" w:themeColor="text1"/>
              </w:rPr>
            </w:pPr>
            <w:r w:rsidRPr="00FE2911">
              <w:rPr>
                <w:color w:val="000000" w:themeColor="text1"/>
              </w:rPr>
              <w:t>23.63</w:t>
            </w:r>
          </w:p>
        </w:tc>
      </w:tr>
      <w:tr w:rsidR="00740239" w:rsidRPr="00FE2911" w14:paraId="298F2285" w14:textId="77777777" w:rsidTr="0067606F">
        <w:trPr>
          <w:trHeight w:val="725"/>
        </w:trPr>
        <w:tc>
          <w:tcPr>
            <w:tcW w:w="2069"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4717211B" w14:textId="77777777" w:rsidR="00740239" w:rsidRPr="00FE2911" w:rsidRDefault="00740239" w:rsidP="00FE2911">
            <w:pPr>
              <w:spacing w:line="480" w:lineRule="auto"/>
              <w:rPr>
                <w:color w:val="000000" w:themeColor="text1"/>
              </w:rPr>
            </w:pPr>
            <w:r w:rsidRPr="00FE2911">
              <w:rPr>
                <w:b/>
                <w:bCs/>
                <w:color w:val="000000" w:themeColor="text1"/>
              </w:rPr>
              <w:t>Non-Hispanic White</w:t>
            </w:r>
          </w:p>
        </w:tc>
        <w:tc>
          <w:tcPr>
            <w:tcW w:w="1863"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5D5DD47C" w14:textId="77777777" w:rsidR="00740239" w:rsidRPr="00FE2911" w:rsidRDefault="00740239" w:rsidP="00FE2911">
            <w:pPr>
              <w:spacing w:line="480" w:lineRule="auto"/>
              <w:rPr>
                <w:color w:val="000000" w:themeColor="text1"/>
              </w:rPr>
            </w:pPr>
            <w:r w:rsidRPr="00FE2911">
              <w:rPr>
                <w:color w:val="000000" w:themeColor="text1"/>
              </w:rPr>
              <w:t>12.72</w:t>
            </w:r>
          </w:p>
        </w:tc>
        <w:tc>
          <w:tcPr>
            <w:tcW w:w="2268"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73AD846B" w14:textId="77777777" w:rsidR="00740239" w:rsidRPr="00FE2911" w:rsidRDefault="00740239" w:rsidP="00FE2911">
            <w:pPr>
              <w:spacing w:line="480" w:lineRule="auto"/>
              <w:rPr>
                <w:color w:val="000000" w:themeColor="text1"/>
              </w:rPr>
            </w:pPr>
            <w:r w:rsidRPr="00FE2911">
              <w:rPr>
                <w:color w:val="000000" w:themeColor="text1"/>
              </w:rPr>
              <w:t>21.35</w:t>
            </w:r>
          </w:p>
        </w:tc>
        <w:tc>
          <w:tcPr>
            <w:tcW w:w="171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62BDE1DF" w14:textId="77777777" w:rsidR="00740239" w:rsidRPr="00FE2911" w:rsidRDefault="00740239" w:rsidP="00FE2911">
            <w:pPr>
              <w:spacing w:line="480" w:lineRule="auto"/>
              <w:rPr>
                <w:color w:val="000000" w:themeColor="text1"/>
              </w:rPr>
            </w:pPr>
            <w:r w:rsidRPr="00FE2911">
              <w:rPr>
                <w:color w:val="000000" w:themeColor="text1"/>
              </w:rPr>
              <w:t>28.00</w:t>
            </w:r>
          </w:p>
        </w:tc>
      </w:tr>
    </w:tbl>
    <w:p w14:paraId="6293A8CF" w14:textId="77777777" w:rsidR="00740239" w:rsidRPr="00FE2911" w:rsidRDefault="00740239" w:rsidP="00FE2911">
      <w:pPr>
        <w:spacing w:line="480" w:lineRule="auto"/>
        <w:rPr>
          <w:color w:val="000000" w:themeColor="text1"/>
        </w:rPr>
      </w:pPr>
    </w:p>
    <w:p w14:paraId="429B67EE" w14:textId="77777777" w:rsidR="00740239" w:rsidRPr="00FE2911" w:rsidRDefault="00740239" w:rsidP="00FE2911">
      <w:pPr>
        <w:spacing w:line="480" w:lineRule="auto"/>
        <w:rPr>
          <w:color w:val="000000" w:themeColor="text1"/>
        </w:rPr>
      </w:pPr>
    </w:p>
    <w:p w14:paraId="0C6570EB" w14:textId="77777777" w:rsidR="00740239" w:rsidRPr="00FE2911" w:rsidRDefault="00740239" w:rsidP="00FE2911">
      <w:pPr>
        <w:spacing w:line="480" w:lineRule="auto"/>
        <w:rPr>
          <w:color w:val="000000" w:themeColor="text1"/>
        </w:rPr>
      </w:pPr>
    </w:p>
    <w:p w14:paraId="4A440A5F" w14:textId="77777777" w:rsidR="00740239" w:rsidRPr="00FE2911" w:rsidRDefault="00740239" w:rsidP="00FE2911">
      <w:pPr>
        <w:spacing w:line="480" w:lineRule="auto"/>
        <w:rPr>
          <w:color w:val="000000" w:themeColor="text1"/>
        </w:rPr>
      </w:pPr>
    </w:p>
    <w:p w14:paraId="79C6C914" w14:textId="77777777" w:rsidR="00740239" w:rsidRDefault="00740239" w:rsidP="00FE2911">
      <w:pPr>
        <w:spacing w:line="480" w:lineRule="auto"/>
        <w:rPr>
          <w:color w:val="000000" w:themeColor="text1"/>
        </w:rPr>
      </w:pPr>
    </w:p>
    <w:p w14:paraId="1D532B2A" w14:textId="65DB8A45" w:rsidR="0067606F" w:rsidRPr="0067606F" w:rsidRDefault="00DD0B38" w:rsidP="00FE2911">
      <w:pPr>
        <w:spacing w:line="480" w:lineRule="auto"/>
        <w:rPr>
          <w:b/>
          <w:bCs/>
          <w:color w:val="000000" w:themeColor="text1"/>
        </w:rPr>
      </w:pPr>
      <w:r>
        <w:rPr>
          <w:b/>
          <w:bCs/>
          <w:color w:val="000000" w:themeColor="text1"/>
        </w:rPr>
        <w:lastRenderedPageBreak/>
        <w:t xml:space="preserve">B. </w:t>
      </w:r>
      <w:r w:rsidR="0067606F" w:rsidRPr="0067606F">
        <w:rPr>
          <w:b/>
          <w:bCs/>
          <w:color w:val="000000" w:themeColor="text1"/>
        </w:rPr>
        <w:t xml:space="preserve">Mean Values of Health Indicators by Year </w:t>
      </w:r>
    </w:p>
    <w:tbl>
      <w:tblPr>
        <w:tblW w:w="9080" w:type="dxa"/>
        <w:tblCellMar>
          <w:left w:w="0" w:type="dxa"/>
          <w:right w:w="0" w:type="dxa"/>
        </w:tblCellMar>
        <w:tblLook w:val="0420" w:firstRow="1" w:lastRow="0" w:firstColumn="0" w:lastColumn="0" w:noHBand="0" w:noVBand="1"/>
      </w:tblPr>
      <w:tblGrid>
        <w:gridCol w:w="1160"/>
        <w:gridCol w:w="2160"/>
        <w:gridCol w:w="2970"/>
        <w:gridCol w:w="2790"/>
      </w:tblGrid>
      <w:tr w:rsidR="002E5071" w:rsidRPr="00FE2911" w14:paraId="64D2FCFB" w14:textId="77777777" w:rsidTr="0067606F">
        <w:trPr>
          <w:trHeight w:val="870"/>
        </w:trPr>
        <w:tc>
          <w:tcPr>
            <w:tcW w:w="1160" w:type="dxa"/>
            <w:tcBorders>
              <w:top w:val="single" w:sz="8" w:space="0" w:color="000000"/>
              <w:left w:val="single" w:sz="8" w:space="0" w:color="000000"/>
              <w:bottom w:val="single" w:sz="18" w:space="0" w:color="000000"/>
              <w:right w:val="single" w:sz="8" w:space="0" w:color="000000"/>
            </w:tcBorders>
            <w:shd w:val="clear" w:color="auto" w:fill="auto"/>
            <w:tcMar>
              <w:top w:w="80" w:type="dxa"/>
              <w:left w:w="161" w:type="dxa"/>
              <w:bottom w:w="80" w:type="dxa"/>
              <w:right w:w="161" w:type="dxa"/>
            </w:tcMar>
            <w:vAlign w:val="center"/>
            <w:hideMark/>
          </w:tcPr>
          <w:p w14:paraId="3ED53C4B" w14:textId="77777777" w:rsidR="002E5071" w:rsidRPr="00FE2911" w:rsidRDefault="002E5071" w:rsidP="0067606F">
            <w:pPr>
              <w:spacing w:line="480" w:lineRule="auto"/>
              <w:jc w:val="center"/>
              <w:rPr>
                <w:color w:val="000000" w:themeColor="text1"/>
              </w:rPr>
            </w:pPr>
            <w:r w:rsidRPr="00FE2911">
              <w:rPr>
                <w:b/>
                <w:bCs/>
                <w:color w:val="000000" w:themeColor="text1"/>
              </w:rPr>
              <w:t>Year</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80" w:type="dxa"/>
              <w:left w:w="161" w:type="dxa"/>
              <w:bottom w:w="80" w:type="dxa"/>
              <w:right w:w="161" w:type="dxa"/>
            </w:tcMar>
            <w:vAlign w:val="center"/>
            <w:hideMark/>
          </w:tcPr>
          <w:p w14:paraId="1576CC29" w14:textId="77777777" w:rsidR="002E5071" w:rsidRPr="00FE2911" w:rsidRDefault="002E5071" w:rsidP="0067606F">
            <w:pPr>
              <w:spacing w:line="480" w:lineRule="auto"/>
              <w:jc w:val="center"/>
              <w:rPr>
                <w:color w:val="000000" w:themeColor="text1"/>
              </w:rPr>
            </w:pPr>
            <w:r w:rsidRPr="00FE2911">
              <w:rPr>
                <w:b/>
                <w:bCs/>
                <w:color w:val="000000" w:themeColor="text1"/>
              </w:rPr>
              <w:t>Obesity (%)</w:t>
            </w:r>
          </w:p>
        </w:tc>
        <w:tc>
          <w:tcPr>
            <w:tcW w:w="2970" w:type="dxa"/>
            <w:tcBorders>
              <w:top w:val="single" w:sz="8" w:space="0" w:color="000000"/>
              <w:left w:val="single" w:sz="8" w:space="0" w:color="000000"/>
              <w:bottom w:val="single" w:sz="18" w:space="0" w:color="000000"/>
              <w:right w:val="single" w:sz="8" w:space="0" w:color="000000"/>
            </w:tcBorders>
            <w:shd w:val="clear" w:color="auto" w:fill="auto"/>
            <w:tcMar>
              <w:top w:w="80" w:type="dxa"/>
              <w:left w:w="161" w:type="dxa"/>
              <w:bottom w:w="80" w:type="dxa"/>
              <w:right w:w="161" w:type="dxa"/>
            </w:tcMar>
            <w:vAlign w:val="center"/>
            <w:hideMark/>
          </w:tcPr>
          <w:p w14:paraId="0982FC3E" w14:textId="77777777" w:rsidR="002E5071" w:rsidRPr="00FE2911" w:rsidRDefault="002E5071" w:rsidP="0067606F">
            <w:pPr>
              <w:spacing w:line="480" w:lineRule="auto"/>
              <w:jc w:val="center"/>
              <w:rPr>
                <w:color w:val="000000" w:themeColor="text1"/>
              </w:rPr>
            </w:pPr>
            <w:r w:rsidRPr="00FE2911">
              <w:rPr>
                <w:b/>
                <w:bCs/>
                <w:color w:val="000000" w:themeColor="text1"/>
              </w:rPr>
              <w:t>Soda Consumption (%)</w:t>
            </w:r>
          </w:p>
        </w:tc>
        <w:tc>
          <w:tcPr>
            <w:tcW w:w="2790" w:type="dxa"/>
            <w:tcBorders>
              <w:top w:val="single" w:sz="8" w:space="0" w:color="000000"/>
              <w:left w:val="single" w:sz="8" w:space="0" w:color="000000"/>
              <w:bottom w:val="single" w:sz="18" w:space="0" w:color="000000"/>
              <w:right w:val="single" w:sz="8" w:space="0" w:color="000000"/>
            </w:tcBorders>
            <w:shd w:val="clear" w:color="auto" w:fill="auto"/>
            <w:tcMar>
              <w:top w:w="80" w:type="dxa"/>
              <w:left w:w="161" w:type="dxa"/>
              <w:bottom w:w="80" w:type="dxa"/>
              <w:right w:w="161" w:type="dxa"/>
            </w:tcMar>
            <w:vAlign w:val="center"/>
            <w:hideMark/>
          </w:tcPr>
          <w:p w14:paraId="0113849C" w14:textId="77777777" w:rsidR="002E5071" w:rsidRPr="00FE2911" w:rsidRDefault="002E5071" w:rsidP="0067606F">
            <w:pPr>
              <w:spacing w:line="480" w:lineRule="auto"/>
              <w:jc w:val="center"/>
              <w:rPr>
                <w:color w:val="000000" w:themeColor="text1"/>
              </w:rPr>
            </w:pPr>
            <w:r w:rsidRPr="00FE2911">
              <w:rPr>
                <w:b/>
                <w:bCs/>
                <w:color w:val="000000" w:themeColor="text1"/>
              </w:rPr>
              <w:t>Physical Activity (%)</w:t>
            </w:r>
          </w:p>
        </w:tc>
      </w:tr>
      <w:tr w:rsidR="002E5071" w:rsidRPr="00FE2911" w14:paraId="33A16626" w14:textId="77777777" w:rsidTr="0067606F">
        <w:trPr>
          <w:trHeight w:val="549"/>
        </w:trPr>
        <w:tc>
          <w:tcPr>
            <w:tcW w:w="1160" w:type="dxa"/>
            <w:tcBorders>
              <w:top w:val="single" w:sz="1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0D401EC0" w14:textId="77777777" w:rsidR="002E5071" w:rsidRPr="00FE2911" w:rsidRDefault="002E5071" w:rsidP="00FE2911">
            <w:pPr>
              <w:spacing w:line="480" w:lineRule="auto"/>
              <w:rPr>
                <w:color w:val="000000" w:themeColor="text1"/>
              </w:rPr>
            </w:pPr>
            <w:r w:rsidRPr="00FE2911">
              <w:rPr>
                <w:b/>
                <w:bCs/>
                <w:color w:val="000000" w:themeColor="text1"/>
              </w:rPr>
              <w:t>2011</w:t>
            </w:r>
          </w:p>
        </w:tc>
        <w:tc>
          <w:tcPr>
            <w:tcW w:w="2160" w:type="dxa"/>
            <w:tcBorders>
              <w:top w:val="single" w:sz="1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6FE86A76" w14:textId="77777777" w:rsidR="002E5071" w:rsidRPr="00FE2911" w:rsidRDefault="002E5071" w:rsidP="00FE2911">
            <w:pPr>
              <w:spacing w:line="480" w:lineRule="auto"/>
              <w:rPr>
                <w:color w:val="000000" w:themeColor="text1"/>
              </w:rPr>
            </w:pPr>
            <w:r w:rsidRPr="00FE2911">
              <w:rPr>
                <w:color w:val="000000" w:themeColor="text1"/>
              </w:rPr>
              <w:t>15.16</w:t>
            </w:r>
          </w:p>
        </w:tc>
        <w:tc>
          <w:tcPr>
            <w:tcW w:w="2970" w:type="dxa"/>
            <w:tcBorders>
              <w:top w:val="single" w:sz="1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42493258" w14:textId="77777777" w:rsidR="002E5071" w:rsidRPr="00FE2911" w:rsidRDefault="002E5071" w:rsidP="00FE2911">
            <w:pPr>
              <w:spacing w:line="480" w:lineRule="auto"/>
              <w:rPr>
                <w:color w:val="000000" w:themeColor="text1"/>
              </w:rPr>
            </w:pPr>
            <w:r w:rsidRPr="00FE2911">
              <w:rPr>
                <w:color w:val="000000" w:themeColor="text1"/>
              </w:rPr>
              <w:t>26.31</w:t>
            </w:r>
          </w:p>
        </w:tc>
        <w:tc>
          <w:tcPr>
            <w:tcW w:w="2790" w:type="dxa"/>
            <w:tcBorders>
              <w:top w:val="single" w:sz="1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0D1D2F04" w14:textId="77777777" w:rsidR="002E5071" w:rsidRPr="00FE2911" w:rsidRDefault="002E5071" w:rsidP="00FE2911">
            <w:pPr>
              <w:spacing w:line="480" w:lineRule="auto"/>
              <w:rPr>
                <w:color w:val="000000" w:themeColor="text1"/>
              </w:rPr>
            </w:pPr>
            <w:r w:rsidRPr="00FE2911">
              <w:rPr>
                <w:color w:val="000000" w:themeColor="text1"/>
              </w:rPr>
              <w:t>27.33</w:t>
            </w:r>
          </w:p>
        </w:tc>
      </w:tr>
      <w:tr w:rsidR="002E5071" w:rsidRPr="00FE2911" w14:paraId="47231D72" w14:textId="77777777" w:rsidTr="0067606F">
        <w:trPr>
          <w:trHeight w:val="1297"/>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51D89466" w14:textId="77777777" w:rsidR="002E5071" w:rsidRPr="00FE2911" w:rsidRDefault="002E5071" w:rsidP="00FE2911">
            <w:pPr>
              <w:spacing w:line="480" w:lineRule="auto"/>
              <w:rPr>
                <w:color w:val="000000" w:themeColor="text1"/>
              </w:rPr>
            </w:pPr>
            <w:r w:rsidRPr="00FE2911">
              <w:rPr>
                <w:b/>
                <w:bCs/>
                <w:color w:val="000000" w:themeColor="text1"/>
              </w:rPr>
              <w:t>2013</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7CC1E9AA" w14:textId="77777777" w:rsidR="002E5071" w:rsidRPr="00FE2911" w:rsidRDefault="002E5071" w:rsidP="00FE2911">
            <w:pPr>
              <w:spacing w:line="480" w:lineRule="auto"/>
              <w:rPr>
                <w:color w:val="000000" w:themeColor="text1"/>
              </w:rPr>
            </w:pPr>
            <w:r w:rsidRPr="00FE2911">
              <w:rPr>
                <w:color w:val="000000" w:themeColor="text1"/>
              </w:rPr>
              <w:t>11.63</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362E0C14" w14:textId="77777777" w:rsidR="002E5071" w:rsidRPr="00FE2911" w:rsidRDefault="002E5071" w:rsidP="00FE2911">
            <w:pPr>
              <w:spacing w:line="480" w:lineRule="auto"/>
              <w:rPr>
                <w:color w:val="000000" w:themeColor="text1"/>
              </w:rPr>
            </w:pPr>
            <w:r w:rsidRPr="00FE2911">
              <w:rPr>
                <w:color w:val="000000" w:themeColor="text1"/>
              </w:rPr>
              <w:t>24.64</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1F9235B5" w14:textId="77777777" w:rsidR="002E5071" w:rsidRPr="00FE2911" w:rsidRDefault="002E5071" w:rsidP="00FE2911">
            <w:pPr>
              <w:spacing w:line="480" w:lineRule="auto"/>
              <w:rPr>
                <w:color w:val="000000" w:themeColor="text1"/>
              </w:rPr>
            </w:pPr>
            <w:r w:rsidRPr="00FE2911">
              <w:rPr>
                <w:color w:val="000000" w:themeColor="text1"/>
              </w:rPr>
              <w:t>26.73</w:t>
            </w:r>
          </w:p>
        </w:tc>
      </w:tr>
      <w:tr w:rsidR="002E5071" w:rsidRPr="00FE2911" w14:paraId="7FED291D" w14:textId="77777777" w:rsidTr="0067606F">
        <w:trPr>
          <w:trHeight w:val="549"/>
        </w:trPr>
        <w:tc>
          <w:tcPr>
            <w:tcW w:w="116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292D7D33" w14:textId="77777777" w:rsidR="002E5071" w:rsidRPr="00FE2911" w:rsidRDefault="002E5071" w:rsidP="00FE2911">
            <w:pPr>
              <w:spacing w:line="480" w:lineRule="auto"/>
              <w:rPr>
                <w:color w:val="000000" w:themeColor="text1"/>
              </w:rPr>
            </w:pPr>
            <w:r w:rsidRPr="00FE2911">
              <w:rPr>
                <w:b/>
                <w:bCs/>
                <w:color w:val="000000" w:themeColor="text1"/>
              </w:rPr>
              <w:t>2015</w:t>
            </w:r>
          </w:p>
        </w:tc>
        <w:tc>
          <w:tcPr>
            <w:tcW w:w="216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5128DEC0" w14:textId="77777777" w:rsidR="002E5071" w:rsidRPr="00FE2911" w:rsidRDefault="002E5071" w:rsidP="00FE2911">
            <w:pPr>
              <w:spacing w:line="480" w:lineRule="auto"/>
              <w:rPr>
                <w:color w:val="000000" w:themeColor="text1"/>
              </w:rPr>
            </w:pPr>
            <w:r w:rsidRPr="00FE2911">
              <w:rPr>
                <w:color w:val="000000" w:themeColor="text1"/>
              </w:rPr>
              <w:t>14.08</w:t>
            </w:r>
          </w:p>
        </w:tc>
        <w:tc>
          <w:tcPr>
            <w:tcW w:w="297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27F641B2" w14:textId="77777777" w:rsidR="002E5071" w:rsidRPr="00FE2911" w:rsidRDefault="002E5071" w:rsidP="00FE2911">
            <w:pPr>
              <w:spacing w:line="480" w:lineRule="auto"/>
              <w:rPr>
                <w:color w:val="000000" w:themeColor="text1"/>
              </w:rPr>
            </w:pPr>
            <w:r w:rsidRPr="00FE2911">
              <w:rPr>
                <w:color w:val="000000" w:themeColor="text1"/>
              </w:rPr>
              <w:t>19.80</w:t>
            </w:r>
          </w:p>
        </w:tc>
        <w:tc>
          <w:tcPr>
            <w:tcW w:w="279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2D430A41" w14:textId="77777777" w:rsidR="002E5071" w:rsidRPr="00FE2911" w:rsidRDefault="002E5071" w:rsidP="00FE2911">
            <w:pPr>
              <w:spacing w:line="480" w:lineRule="auto"/>
              <w:rPr>
                <w:color w:val="000000" w:themeColor="text1"/>
              </w:rPr>
            </w:pPr>
            <w:r w:rsidRPr="00FE2911">
              <w:rPr>
                <w:color w:val="000000" w:themeColor="text1"/>
              </w:rPr>
              <w:t>27.32</w:t>
            </w:r>
          </w:p>
        </w:tc>
      </w:tr>
      <w:tr w:rsidR="002E5071" w:rsidRPr="00FE2911" w14:paraId="5BEE5BCA" w14:textId="77777777" w:rsidTr="0067606F">
        <w:trPr>
          <w:trHeight w:val="923"/>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484F4501" w14:textId="77777777" w:rsidR="002E5071" w:rsidRPr="00FE2911" w:rsidRDefault="002E5071" w:rsidP="00FE2911">
            <w:pPr>
              <w:spacing w:line="480" w:lineRule="auto"/>
              <w:rPr>
                <w:color w:val="000000" w:themeColor="text1"/>
              </w:rPr>
            </w:pPr>
            <w:r w:rsidRPr="00FE2911">
              <w:rPr>
                <w:b/>
                <w:bCs/>
                <w:color w:val="000000" w:themeColor="text1"/>
              </w:rPr>
              <w:t>2017</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241720CA" w14:textId="77777777" w:rsidR="002E5071" w:rsidRPr="00FE2911" w:rsidRDefault="002E5071" w:rsidP="00FE2911">
            <w:pPr>
              <w:spacing w:line="480" w:lineRule="auto"/>
              <w:rPr>
                <w:color w:val="000000" w:themeColor="text1"/>
              </w:rPr>
            </w:pPr>
            <w:r w:rsidRPr="00FE2911">
              <w:rPr>
                <w:color w:val="000000" w:themeColor="text1"/>
              </w:rPr>
              <w:t>16.03</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2651AEAA" w14:textId="77777777" w:rsidR="002E5071" w:rsidRPr="00FE2911" w:rsidRDefault="002E5071" w:rsidP="00FE2911">
            <w:pPr>
              <w:spacing w:line="480" w:lineRule="auto"/>
              <w:rPr>
                <w:color w:val="000000" w:themeColor="text1"/>
              </w:rPr>
            </w:pPr>
            <w:r w:rsidRPr="00FE2911">
              <w:rPr>
                <w:color w:val="000000" w:themeColor="text1"/>
              </w:rPr>
              <w:t>17.90</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26A67BF6" w14:textId="77777777" w:rsidR="002E5071" w:rsidRPr="00FE2911" w:rsidRDefault="002E5071" w:rsidP="00FE2911">
            <w:pPr>
              <w:spacing w:line="480" w:lineRule="auto"/>
              <w:rPr>
                <w:color w:val="000000" w:themeColor="text1"/>
              </w:rPr>
            </w:pPr>
            <w:r w:rsidRPr="00FE2911">
              <w:rPr>
                <w:color w:val="000000" w:themeColor="text1"/>
              </w:rPr>
              <w:t>26.27</w:t>
            </w:r>
          </w:p>
        </w:tc>
      </w:tr>
      <w:tr w:rsidR="002E5071" w:rsidRPr="00FE2911" w14:paraId="29A20BF3" w14:textId="77777777" w:rsidTr="0067606F">
        <w:trPr>
          <w:trHeight w:val="549"/>
        </w:trPr>
        <w:tc>
          <w:tcPr>
            <w:tcW w:w="116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624442E6" w14:textId="77777777" w:rsidR="002E5071" w:rsidRPr="00FE2911" w:rsidRDefault="002E5071" w:rsidP="00FE2911">
            <w:pPr>
              <w:spacing w:line="480" w:lineRule="auto"/>
              <w:rPr>
                <w:color w:val="000000" w:themeColor="text1"/>
              </w:rPr>
            </w:pPr>
            <w:r w:rsidRPr="00FE2911">
              <w:rPr>
                <w:b/>
                <w:bCs/>
                <w:color w:val="000000" w:themeColor="text1"/>
              </w:rPr>
              <w:t>2019</w:t>
            </w:r>
          </w:p>
        </w:tc>
        <w:tc>
          <w:tcPr>
            <w:tcW w:w="216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6FC76EAF" w14:textId="77777777" w:rsidR="002E5071" w:rsidRPr="00FE2911" w:rsidRDefault="002E5071" w:rsidP="00FE2911">
            <w:pPr>
              <w:spacing w:line="480" w:lineRule="auto"/>
              <w:rPr>
                <w:color w:val="000000" w:themeColor="text1"/>
              </w:rPr>
            </w:pPr>
            <w:r w:rsidRPr="00FE2911">
              <w:rPr>
                <w:color w:val="000000" w:themeColor="text1"/>
              </w:rPr>
              <w:t>16.13</w:t>
            </w:r>
          </w:p>
        </w:tc>
        <w:tc>
          <w:tcPr>
            <w:tcW w:w="297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50EE1673" w14:textId="77777777" w:rsidR="002E5071" w:rsidRPr="00FE2911" w:rsidRDefault="002E5071" w:rsidP="00FE2911">
            <w:pPr>
              <w:spacing w:line="480" w:lineRule="auto"/>
              <w:rPr>
                <w:color w:val="000000" w:themeColor="text1"/>
              </w:rPr>
            </w:pPr>
            <w:r w:rsidRPr="00FE2911">
              <w:rPr>
                <w:color w:val="000000" w:themeColor="text1"/>
              </w:rPr>
              <w:t>13.24</w:t>
            </w:r>
          </w:p>
        </w:tc>
        <w:tc>
          <w:tcPr>
            <w:tcW w:w="2790" w:type="dxa"/>
            <w:tcBorders>
              <w:top w:val="single" w:sz="8" w:space="0" w:color="000000"/>
              <w:left w:val="single" w:sz="8" w:space="0" w:color="000000"/>
              <w:bottom w:val="single" w:sz="8" w:space="0" w:color="000000"/>
              <w:right w:val="single" w:sz="8" w:space="0" w:color="000000"/>
            </w:tcBorders>
            <w:shd w:val="clear" w:color="auto" w:fill="E7E7E7"/>
            <w:tcMar>
              <w:top w:w="80" w:type="dxa"/>
              <w:left w:w="161" w:type="dxa"/>
              <w:bottom w:w="80" w:type="dxa"/>
              <w:right w:w="161" w:type="dxa"/>
            </w:tcMar>
            <w:vAlign w:val="center"/>
            <w:hideMark/>
          </w:tcPr>
          <w:p w14:paraId="58E022C0" w14:textId="77777777" w:rsidR="002E5071" w:rsidRPr="00FE2911" w:rsidRDefault="002E5071" w:rsidP="00FE2911">
            <w:pPr>
              <w:spacing w:line="480" w:lineRule="auto"/>
              <w:rPr>
                <w:color w:val="000000" w:themeColor="text1"/>
              </w:rPr>
            </w:pPr>
            <w:r w:rsidRPr="00FE2911">
              <w:rPr>
                <w:color w:val="000000" w:themeColor="text1"/>
              </w:rPr>
              <w:t>21.82</w:t>
            </w:r>
          </w:p>
        </w:tc>
      </w:tr>
      <w:tr w:rsidR="002E5071" w:rsidRPr="00FE2911" w14:paraId="211AF1E1" w14:textId="77777777" w:rsidTr="0067606F">
        <w:trPr>
          <w:trHeight w:val="923"/>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48B127D8" w14:textId="77777777" w:rsidR="002E5071" w:rsidRPr="00FE2911" w:rsidRDefault="002E5071" w:rsidP="00FE2911">
            <w:pPr>
              <w:spacing w:line="480" w:lineRule="auto"/>
              <w:rPr>
                <w:color w:val="000000" w:themeColor="text1"/>
              </w:rPr>
            </w:pPr>
            <w:r w:rsidRPr="00FE2911">
              <w:rPr>
                <w:b/>
                <w:bCs/>
                <w:color w:val="000000" w:themeColor="text1"/>
              </w:rPr>
              <w:t>2021</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4F5256A5" w14:textId="77777777" w:rsidR="002E5071" w:rsidRPr="00FE2911" w:rsidRDefault="002E5071" w:rsidP="00FE2911">
            <w:pPr>
              <w:spacing w:line="480" w:lineRule="auto"/>
              <w:rPr>
                <w:color w:val="000000" w:themeColor="text1"/>
              </w:rPr>
            </w:pPr>
            <w:r w:rsidRPr="00FE2911">
              <w:rPr>
                <w:color w:val="000000" w:themeColor="text1"/>
              </w:rPr>
              <w:t>19.89</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24D2D53B" w14:textId="77777777" w:rsidR="002E5071" w:rsidRPr="00FE2911" w:rsidRDefault="002E5071" w:rsidP="00FE2911">
            <w:pPr>
              <w:spacing w:line="480" w:lineRule="auto"/>
              <w:rPr>
                <w:color w:val="000000" w:themeColor="text1"/>
              </w:rPr>
            </w:pPr>
            <w:r w:rsidRPr="00FE2911">
              <w:rPr>
                <w:color w:val="000000" w:themeColor="text1"/>
              </w:rPr>
              <w:t>14.83</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161" w:type="dxa"/>
              <w:bottom w:w="80" w:type="dxa"/>
              <w:right w:w="161" w:type="dxa"/>
            </w:tcMar>
            <w:vAlign w:val="center"/>
            <w:hideMark/>
          </w:tcPr>
          <w:p w14:paraId="474AF161" w14:textId="77777777" w:rsidR="002E5071" w:rsidRPr="00FE2911" w:rsidRDefault="002E5071" w:rsidP="00FE2911">
            <w:pPr>
              <w:spacing w:line="480" w:lineRule="auto"/>
              <w:rPr>
                <w:color w:val="000000" w:themeColor="text1"/>
              </w:rPr>
            </w:pPr>
            <w:r w:rsidRPr="00FE2911">
              <w:rPr>
                <w:color w:val="000000" w:themeColor="text1"/>
              </w:rPr>
              <w:t>24.31</w:t>
            </w:r>
          </w:p>
        </w:tc>
      </w:tr>
    </w:tbl>
    <w:p w14:paraId="27A8911A" w14:textId="1611364C" w:rsidR="00005E73" w:rsidRDefault="00005E73" w:rsidP="00FE2911">
      <w:pPr>
        <w:spacing w:line="480" w:lineRule="auto"/>
        <w:rPr>
          <w:color w:val="000000" w:themeColor="text1"/>
        </w:rPr>
      </w:pPr>
    </w:p>
    <w:p w14:paraId="2D5CC5A5" w14:textId="77777777" w:rsidR="00005E73" w:rsidRDefault="00005E73">
      <w:pPr>
        <w:spacing w:after="200"/>
        <w:rPr>
          <w:color w:val="000000" w:themeColor="text1"/>
        </w:rPr>
      </w:pPr>
      <w:r>
        <w:rPr>
          <w:color w:val="000000" w:themeColor="text1"/>
        </w:rPr>
        <w:br w:type="page"/>
      </w:r>
    </w:p>
    <w:p w14:paraId="31013313" w14:textId="4EFF6BB4" w:rsidR="00740239" w:rsidRDefault="00005E73" w:rsidP="00FE2911">
      <w:pPr>
        <w:spacing w:line="480" w:lineRule="auto"/>
        <w:rPr>
          <w:b/>
          <w:bCs/>
          <w:color w:val="000000" w:themeColor="text1"/>
        </w:rPr>
      </w:pPr>
      <w:r w:rsidRPr="00BB37D2">
        <w:rPr>
          <w:b/>
          <w:bCs/>
          <w:color w:val="000000" w:themeColor="text1"/>
        </w:rPr>
        <w:lastRenderedPageBreak/>
        <w:t xml:space="preserve">C. </w:t>
      </w:r>
      <w:r w:rsidR="00BB37D2" w:rsidRPr="00BB37D2">
        <w:rPr>
          <w:b/>
          <w:bCs/>
          <w:color w:val="000000" w:themeColor="text1"/>
        </w:rPr>
        <w:t>Histogram Distributions of Key Variables</w:t>
      </w:r>
      <w:r w:rsidR="00BB37D2">
        <w:rPr>
          <w:b/>
          <w:bCs/>
          <w:color w:val="000000" w:themeColor="text1"/>
        </w:rPr>
        <w:t xml:space="preserve"> </w:t>
      </w:r>
    </w:p>
    <w:p w14:paraId="3C324450" w14:textId="04EB0287" w:rsidR="006C0500" w:rsidRDefault="006C0500" w:rsidP="00FE2911">
      <w:pPr>
        <w:spacing w:line="480" w:lineRule="auto"/>
        <w:rPr>
          <w:b/>
          <w:bCs/>
          <w:color w:val="000000" w:themeColor="text1"/>
        </w:rPr>
      </w:pPr>
    </w:p>
    <w:p w14:paraId="401D20A6" w14:textId="4C1ACBB0" w:rsidR="006C0500" w:rsidRDefault="006C0500" w:rsidP="00FE2911">
      <w:pPr>
        <w:spacing w:line="480" w:lineRule="auto"/>
        <w:rPr>
          <w:b/>
          <w:bCs/>
          <w:color w:val="000000" w:themeColor="text1"/>
        </w:rPr>
      </w:pPr>
    </w:p>
    <w:p w14:paraId="4868548B" w14:textId="46CCBA5A" w:rsidR="006C0500" w:rsidRDefault="006C0500">
      <w:pPr>
        <w:spacing w:after="200"/>
        <w:rPr>
          <w:b/>
          <w:bCs/>
          <w:color w:val="000000" w:themeColor="text1"/>
        </w:rPr>
      </w:pPr>
      <w:r>
        <w:rPr>
          <w:b/>
          <w:bCs/>
          <w:noProof/>
          <w:color w:val="000000" w:themeColor="text1"/>
        </w:rPr>
        <w:drawing>
          <wp:anchor distT="0" distB="0" distL="114300" distR="114300" simplePos="0" relativeHeight="251658240" behindDoc="0" locked="0" layoutInCell="1" allowOverlap="1" wp14:anchorId="0E46A693" wp14:editId="0740DD9B">
            <wp:simplePos x="0" y="0"/>
            <wp:positionH relativeFrom="column">
              <wp:posOffset>434340</wp:posOffset>
            </wp:positionH>
            <wp:positionV relativeFrom="paragraph">
              <wp:posOffset>199852</wp:posOffset>
            </wp:positionV>
            <wp:extent cx="4937760" cy="4937760"/>
            <wp:effectExtent l="0" t="0" r="2540" b="2540"/>
            <wp:wrapNone/>
            <wp:docPr id="1532839254"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39254" name="Picture 1" descr="A graph of a number of blue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937760" cy="4937760"/>
                    </a:xfrm>
                    <a:prstGeom prst="rect">
                      <a:avLst/>
                    </a:prstGeom>
                  </pic:spPr>
                </pic:pic>
              </a:graphicData>
            </a:graphic>
            <wp14:sizeRelH relativeFrom="page">
              <wp14:pctWidth>0</wp14:pctWidth>
            </wp14:sizeRelH>
            <wp14:sizeRelV relativeFrom="page">
              <wp14:pctHeight>0</wp14:pctHeight>
            </wp14:sizeRelV>
          </wp:anchor>
        </w:drawing>
      </w:r>
      <w:r>
        <w:rPr>
          <w:b/>
          <w:bCs/>
          <w:color w:val="000000" w:themeColor="text1"/>
        </w:rPr>
        <w:br w:type="page"/>
      </w:r>
    </w:p>
    <w:p w14:paraId="522447B3" w14:textId="67EDE010" w:rsidR="006C0500" w:rsidRDefault="006C0500" w:rsidP="00FE2911">
      <w:pPr>
        <w:spacing w:line="480" w:lineRule="auto"/>
        <w:rPr>
          <w:b/>
          <w:bCs/>
          <w:color w:val="000000" w:themeColor="text1"/>
        </w:rPr>
      </w:pPr>
    </w:p>
    <w:p w14:paraId="1A6B43D1" w14:textId="2BB9AE1D" w:rsidR="006C0500" w:rsidRDefault="006C0500">
      <w:pPr>
        <w:spacing w:after="200"/>
        <w:rPr>
          <w:b/>
          <w:bCs/>
          <w:color w:val="000000" w:themeColor="text1"/>
        </w:rPr>
      </w:pPr>
      <w:r>
        <w:rPr>
          <w:b/>
          <w:bCs/>
          <w:noProof/>
          <w:color w:val="000000" w:themeColor="text1"/>
        </w:rPr>
        <w:drawing>
          <wp:anchor distT="0" distB="0" distL="114300" distR="114300" simplePos="0" relativeHeight="251660288" behindDoc="0" locked="0" layoutInCell="1" allowOverlap="1" wp14:anchorId="24F7F76E" wp14:editId="6B0D0B1D">
            <wp:simplePos x="0" y="0"/>
            <wp:positionH relativeFrom="column">
              <wp:posOffset>327602</wp:posOffset>
            </wp:positionH>
            <wp:positionV relativeFrom="paragraph">
              <wp:posOffset>951865</wp:posOffset>
            </wp:positionV>
            <wp:extent cx="4937760" cy="4937760"/>
            <wp:effectExtent l="0" t="0" r="2540" b="2540"/>
            <wp:wrapNone/>
            <wp:docPr id="1629572386" name="Picture 2" descr="A graph of a physical activ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72386" name="Picture 2" descr="A graph of a physical activit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937760" cy="4937760"/>
                    </a:xfrm>
                    <a:prstGeom prst="rect">
                      <a:avLst/>
                    </a:prstGeom>
                  </pic:spPr>
                </pic:pic>
              </a:graphicData>
            </a:graphic>
            <wp14:sizeRelH relativeFrom="page">
              <wp14:pctWidth>0</wp14:pctWidth>
            </wp14:sizeRelH>
            <wp14:sizeRelV relativeFrom="page">
              <wp14:pctHeight>0</wp14:pctHeight>
            </wp14:sizeRelV>
          </wp:anchor>
        </w:drawing>
      </w:r>
      <w:r>
        <w:rPr>
          <w:b/>
          <w:bCs/>
          <w:color w:val="000000" w:themeColor="text1"/>
        </w:rPr>
        <w:br w:type="page"/>
      </w:r>
    </w:p>
    <w:p w14:paraId="1FDBED34" w14:textId="77777777" w:rsidR="00584B51" w:rsidRDefault="00584B51" w:rsidP="00FE2911">
      <w:pPr>
        <w:spacing w:line="480" w:lineRule="auto"/>
        <w:rPr>
          <w:b/>
          <w:bCs/>
          <w:color w:val="000000" w:themeColor="text1"/>
        </w:rPr>
      </w:pPr>
    </w:p>
    <w:p w14:paraId="33312870" w14:textId="284DEF2F" w:rsidR="00584B51" w:rsidRDefault="00584B51">
      <w:pPr>
        <w:spacing w:after="200"/>
        <w:rPr>
          <w:b/>
          <w:bCs/>
          <w:color w:val="000000" w:themeColor="text1"/>
        </w:rPr>
      </w:pPr>
      <w:r>
        <w:rPr>
          <w:b/>
          <w:bCs/>
          <w:noProof/>
          <w:color w:val="000000" w:themeColor="text1"/>
        </w:rPr>
        <w:drawing>
          <wp:anchor distT="0" distB="0" distL="114300" distR="114300" simplePos="0" relativeHeight="251659264" behindDoc="0" locked="0" layoutInCell="1" allowOverlap="1" wp14:anchorId="25FB0051" wp14:editId="7F02530C">
            <wp:simplePos x="0" y="0"/>
            <wp:positionH relativeFrom="column">
              <wp:posOffset>461645</wp:posOffset>
            </wp:positionH>
            <wp:positionV relativeFrom="paragraph">
              <wp:posOffset>1264458</wp:posOffset>
            </wp:positionV>
            <wp:extent cx="4937760" cy="4937760"/>
            <wp:effectExtent l="0" t="0" r="2540" b="2540"/>
            <wp:wrapNone/>
            <wp:docPr id="1057712814" name="Picture 3" descr="A graph of a distribution of soda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12814" name="Picture 3" descr="A graph of a distribution of soda consumpti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937760" cy="4937760"/>
                    </a:xfrm>
                    <a:prstGeom prst="rect">
                      <a:avLst/>
                    </a:prstGeom>
                  </pic:spPr>
                </pic:pic>
              </a:graphicData>
            </a:graphic>
            <wp14:sizeRelH relativeFrom="page">
              <wp14:pctWidth>0</wp14:pctWidth>
            </wp14:sizeRelH>
            <wp14:sizeRelV relativeFrom="page">
              <wp14:pctHeight>0</wp14:pctHeight>
            </wp14:sizeRelV>
          </wp:anchor>
        </w:drawing>
      </w:r>
      <w:r>
        <w:rPr>
          <w:b/>
          <w:bCs/>
          <w:color w:val="000000" w:themeColor="text1"/>
        </w:rPr>
        <w:br w:type="page"/>
      </w:r>
    </w:p>
    <w:p w14:paraId="027D4578" w14:textId="608CCD16" w:rsidR="00BA1C0F" w:rsidRDefault="00584B51" w:rsidP="00FE2911">
      <w:pPr>
        <w:spacing w:line="480" w:lineRule="auto"/>
        <w:rPr>
          <w:b/>
          <w:bCs/>
          <w:color w:val="000000" w:themeColor="text1"/>
        </w:rPr>
      </w:pPr>
      <w:r>
        <w:rPr>
          <w:b/>
          <w:bCs/>
          <w:color w:val="000000" w:themeColor="text1"/>
        </w:rPr>
        <w:lastRenderedPageBreak/>
        <w:t xml:space="preserve">D. </w:t>
      </w:r>
      <w:r w:rsidR="000E1F06">
        <w:rPr>
          <w:b/>
          <w:bCs/>
          <w:color w:val="000000" w:themeColor="text1"/>
        </w:rPr>
        <w:t xml:space="preserve">Health Indicators by Race/Ethnicity – Line Graphs </w:t>
      </w:r>
    </w:p>
    <w:p w14:paraId="3798A8BF" w14:textId="10C70ACA" w:rsidR="00433447" w:rsidRDefault="00433447" w:rsidP="00FE2911">
      <w:pPr>
        <w:spacing w:line="480" w:lineRule="auto"/>
        <w:rPr>
          <w:b/>
          <w:bCs/>
          <w:color w:val="000000" w:themeColor="text1"/>
        </w:rPr>
      </w:pPr>
      <w:r>
        <w:rPr>
          <w:b/>
          <w:bCs/>
          <w:noProof/>
          <w:color w:val="000000" w:themeColor="text1"/>
        </w:rPr>
        <w:drawing>
          <wp:anchor distT="0" distB="0" distL="114300" distR="114300" simplePos="0" relativeHeight="251661312" behindDoc="0" locked="0" layoutInCell="1" allowOverlap="1" wp14:anchorId="2BA2B557" wp14:editId="599B2F30">
            <wp:simplePos x="0" y="0"/>
            <wp:positionH relativeFrom="column">
              <wp:posOffset>-27478</wp:posOffset>
            </wp:positionH>
            <wp:positionV relativeFrom="paragraph">
              <wp:posOffset>282344</wp:posOffset>
            </wp:positionV>
            <wp:extent cx="5943600" cy="5943600"/>
            <wp:effectExtent l="0" t="0" r="0" b="0"/>
            <wp:wrapNone/>
            <wp:docPr id="1280491968" name="Picture 4"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91968" name="Picture 4" descr="A graph with colored lines and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5564CFB4" w14:textId="6D131986" w:rsidR="00433447" w:rsidRDefault="00433447">
      <w:pPr>
        <w:spacing w:after="200"/>
        <w:rPr>
          <w:b/>
          <w:bCs/>
          <w:color w:val="000000" w:themeColor="text1"/>
        </w:rPr>
      </w:pPr>
      <w:r>
        <w:rPr>
          <w:b/>
          <w:bCs/>
          <w:color w:val="000000" w:themeColor="text1"/>
        </w:rPr>
        <w:br w:type="page"/>
      </w:r>
    </w:p>
    <w:p w14:paraId="0A23666B" w14:textId="075998DF" w:rsidR="00433447" w:rsidRDefault="00433447" w:rsidP="00FE2911">
      <w:pPr>
        <w:spacing w:line="480" w:lineRule="auto"/>
        <w:rPr>
          <w:b/>
          <w:bCs/>
          <w:color w:val="000000" w:themeColor="text1"/>
        </w:rPr>
      </w:pPr>
    </w:p>
    <w:p w14:paraId="134A4C27" w14:textId="61A9F9EE" w:rsidR="00433447" w:rsidRDefault="002500BC">
      <w:pPr>
        <w:spacing w:after="200"/>
        <w:rPr>
          <w:b/>
          <w:bCs/>
          <w:color w:val="000000" w:themeColor="text1"/>
        </w:rPr>
      </w:pPr>
      <w:r>
        <w:rPr>
          <w:b/>
          <w:bCs/>
          <w:noProof/>
          <w:color w:val="000000" w:themeColor="text1"/>
        </w:rPr>
        <w:drawing>
          <wp:anchor distT="0" distB="0" distL="114300" distR="114300" simplePos="0" relativeHeight="251662336" behindDoc="0" locked="0" layoutInCell="1" allowOverlap="1" wp14:anchorId="69C37042" wp14:editId="060A7C42">
            <wp:simplePos x="0" y="0"/>
            <wp:positionH relativeFrom="column">
              <wp:posOffset>0</wp:posOffset>
            </wp:positionH>
            <wp:positionV relativeFrom="paragraph">
              <wp:posOffset>568036</wp:posOffset>
            </wp:positionV>
            <wp:extent cx="5943600" cy="5943600"/>
            <wp:effectExtent l="0" t="0" r="0" b="0"/>
            <wp:wrapNone/>
            <wp:docPr id="85742113"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2113" name="Picture 5" descr="A graph of different colored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433447">
        <w:rPr>
          <w:b/>
          <w:bCs/>
          <w:color w:val="000000" w:themeColor="text1"/>
        </w:rPr>
        <w:br w:type="page"/>
      </w:r>
    </w:p>
    <w:p w14:paraId="7198A0B1" w14:textId="38A5BA9D" w:rsidR="002500BC" w:rsidRDefault="002500BC" w:rsidP="00FE2911">
      <w:pPr>
        <w:spacing w:line="480" w:lineRule="auto"/>
        <w:rPr>
          <w:b/>
          <w:bCs/>
          <w:color w:val="000000" w:themeColor="text1"/>
        </w:rPr>
      </w:pPr>
    </w:p>
    <w:p w14:paraId="48F4DC05" w14:textId="09FFF6BD" w:rsidR="002500BC" w:rsidRDefault="002500BC">
      <w:pPr>
        <w:spacing w:after="200"/>
        <w:rPr>
          <w:b/>
          <w:bCs/>
          <w:color w:val="000000" w:themeColor="text1"/>
        </w:rPr>
      </w:pPr>
      <w:r>
        <w:rPr>
          <w:b/>
          <w:bCs/>
          <w:noProof/>
          <w:color w:val="000000" w:themeColor="text1"/>
        </w:rPr>
        <w:drawing>
          <wp:anchor distT="0" distB="0" distL="114300" distR="114300" simplePos="0" relativeHeight="251663360" behindDoc="0" locked="0" layoutInCell="1" allowOverlap="1" wp14:anchorId="6C787DD6" wp14:editId="52D6A23B">
            <wp:simplePos x="0" y="0"/>
            <wp:positionH relativeFrom="column">
              <wp:posOffset>0</wp:posOffset>
            </wp:positionH>
            <wp:positionV relativeFrom="paragraph">
              <wp:posOffset>415636</wp:posOffset>
            </wp:positionV>
            <wp:extent cx="5943600" cy="5943600"/>
            <wp:effectExtent l="0" t="0" r="0" b="0"/>
            <wp:wrapNone/>
            <wp:docPr id="1142480270" name="Picture 6" descr="A graph of the number of soda consumption tre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0270" name="Picture 6" descr="A graph of the number of soda consumption trend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b/>
          <w:bCs/>
          <w:color w:val="000000" w:themeColor="text1"/>
        </w:rPr>
        <w:br w:type="page"/>
      </w:r>
    </w:p>
    <w:p w14:paraId="21439487" w14:textId="737C44C0" w:rsidR="002500BC" w:rsidRDefault="005556D7" w:rsidP="00FE2911">
      <w:pPr>
        <w:spacing w:line="480" w:lineRule="auto"/>
        <w:rPr>
          <w:b/>
          <w:bCs/>
          <w:color w:val="000000" w:themeColor="text1"/>
        </w:rPr>
      </w:pPr>
      <w:r>
        <w:rPr>
          <w:b/>
          <w:bCs/>
          <w:color w:val="000000" w:themeColor="text1"/>
        </w:rPr>
        <w:lastRenderedPageBreak/>
        <w:t>E. Correlation Matrix</w:t>
      </w:r>
      <w:r w:rsidR="00C829EE">
        <w:rPr>
          <w:b/>
          <w:bCs/>
          <w:color w:val="000000" w:themeColor="text1"/>
        </w:rPr>
        <w:t xml:space="preserve"> – H</w:t>
      </w:r>
      <w:r>
        <w:rPr>
          <w:b/>
          <w:bCs/>
          <w:color w:val="000000" w:themeColor="text1"/>
        </w:rPr>
        <w:t>eat Map of Predictors</w:t>
      </w:r>
    </w:p>
    <w:p w14:paraId="5C27FE83" w14:textId="3C164B33" w:rsidR="002500BC" w:rsidRDefault="005556D7">
      <w:pPr>
        <w:spacing w:after="200"/>
        <w:rPr>
          <w:b/>
          <w:bCs/>
          <w:color w:val="000000" w:themeColor="text1"/>
        </w:rPr>
      </w:pPr>
      <w:r>
        <w:rPr>
          <w:b/>
          <w:bCs/>
          <w:noProof/>
          <w:color w:val="000000" w:themeColor="text1"/>
        </w:rPr>
        <w:drawing>
          <wp:anchor distT="0" distB="0" distL="114300" distR="114300" simplePos="0" relativeHeight="251664384" behindDoc="0" locked="0" layoutInCell="1" allowOverlap="1" wp14:anchorId="03C6B3F4" wp14:editId="79321B16">
            <wp:simplePos x="0" y="0"/>
            <wp:positionH relativeFrom="column">
              <wp:posOffset>-6350</wp:posOffset>
            </wp:positionH>
            <wp:positionV relativeFrom="paragraph">
              <wp:posOffset>618894</wp:posOffset>
            </wp:positionV>
            <wp:extent cx="5831540" cy="4932218"/>
            <wp:effectExtent l="0" t="0" r="0" b="0"/>
            <wp:wrapNone/>
            <wp:docPr id="1370697278" name="Picture 7"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97278" name="Picture 7" descr="A graph with different colored squa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831540" cy="4932218"/>
                    </a:xfrm>
                    <a:prstGeom prst="rect">
                      <a:avLst/>
                    </a:prstGeom>
                  </pic:spPr>
                </pic:pic>
              </a:graphicData>
            </a:graphic>
            <wp14:sizeRelH relativeFrom="page">
              <wp14:pctWidth>0</wp14:pctWidth>
            </wp14:sizeRelH>
            <wp14:sizeRelV relativeFrom="page">
              <wp14:pctHeight>0</wp14:pctHeight>
            </wp14:sizeRelV>
          </wp:anchor>
        </w:drawing>
      </w:r>
      <w:r w:rsidR="002500BC">
        <w:rPr>
          <w:b/>
          <w:bCs/>
          <w:color w:val="000000" w:themeColor="text1"/>
        </w:rPr>
        <w:br w:type="page"/>
      </w:r>
    </w:p>
    <w:p w14:paraId="607AB506" w14:textId="77777777" w:rsidR="00F46CF2" w:rsidRDefault="00F46CF2" w:rsidP="00FE2911">
      <w:pPr>
        <w:spacing w:line="480" w:lineRule="auto"/>
        <w:rPr>
          <w:b/>
          <w:bCs/>
          <w:color w:val="000000" w:themeColor="text1"/>
        </w:rPr>
      </w:pPr>
    </w:p>
    <w:p w14:paraId="027780C2" w14:textId="267E37B6" w:rsidR="00F46CF2" w:rsidRDefault="00F46CF2">
      <w:pPr>
        <w:spacing w:after="200"/>
        <w:rPr>
          <w:b/>
          <w:bCs/>
          <w:color w:val="000000" w:themeColor="text1"/>
        </w:rPr>
      </w:pPr>
      <w:r>
        <w:rPr>
          <w:b/>
          <w:bCs/>
          <w:color w:val="000000" w:themeColor="text1"/>
        </w:rPr>
        <w:t>F. Scatterplot with Regression Line – Simple Linear Regression</w:t>
      </w:r>
      <w:r w:rsidR="001B25ED">
        <w:rPr>
          <w:b/>
          <w:bCs/>
          <w:color w:val="000000" w:themeColor="text1"/>
        </w:rPr>
        <w:t xml:space="preserve">: </w:t>
      </w:r>
      <w:r>
        <w:rPr>
          <w:b/>
          <w:bCs/>
          <w:color w:val="000000" w:themeColor="text1"/>
        </w:rPr>
        <w:t>Obesity Over Time</w:t>
      </w:r>
    </w:p>
    <w:p w14:paraId="5FEF472C" w14:textId="7A13BCDC" w:rsidR="00F46CF2" w:rsidRDefault="00BF7078">
      <w:pPr>
        <w:spacing w:after="200"/>
        <w:rPr>
          <w:b/>
          <w:bCs/>
          <w:color w:val="000000" w:themeColor="text1"/>
        </w:rPr>
      </w:pPr>
      <w:r>
        <w:rPr>
          <w:b/>
          <w:bCs/>
          <w:noProof/>
          <w:color w:val="000000" w:themeColor="text1"/>
        </w:rPr>
        <w:drawing>
          <wp:anchor distT="0" distB="0" distL="114300" distR="114300" simplePos="0" relativeHeight="251666432" behindDoc="0" locked="0" layoutInCell="1" allowOverlap="1" wp14:anchorId="1CF0624C" wp14:editId="1035F6A8">
            <wp:simplePos x="0" y="0"/>
            <wp:positionH relativeFrom="column">
              <wp:posOffset>0</wp:posOffset>
            </wp:positionH>
            <wp:positionV relativeFrom="paragraph">
              <wp:posOffset>401782</wp:posOffset>
            </wp:positionV>
            <wp:extent cx="5943600" cy="5943600"/>
            <wp:effectExtent l="0" t="0" r="0" b="0"/>
            <wp:wrapNone/>
            <wp:docPr id="1840539783" name="Picture 10" descr="A graph with a lin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39783" name="Picture 10" descr="A graph with a line and dot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F46CF2">
        <w:rPr>
          <w:b/>
          <w:bCs/>
          <w:color w:val="000000" w:themeColor="text1"/>
        </w:rPr>
        <w:br w:type="page"/>
      </w:r>
    </w:p>
    <w:p w14:paraId="6A233F07" w14:textId="5E7F97CC" w:rsidR="005556D7" w:rsidRDefault="00F46CF2" w:rsidP="00FE2911">
      <w:pPr>
        <w:spacing w:line="480" w:lineRule="auto"/>
        <w:rPr>
          <w:b/>
          <w:bCs/>
          <w:color w:val="000000" w:themeColor="text1"/>
        </w:rPr>
      </w:pPr>
      <w:r>
        <w:rPr>
          <w:b/>
          <w:bCs/>
          <w:color w:val="000000" w:themeColor="text1"/>
        </w:rPr>
        <w:lastRenderedPageBreak/>
        <w:t>G</w:t>
      </w:r>
      <w:r w:rsidR="005556D7">
        <w:rPr>
          <w:b/>
          <w:bCs/>
          <w:color w:val="000000" w:themeColor="text1"/>
        </w:rPr>
        <w:t xml:space="preserve">. </w:t>
      </w:r>
      <w:r w:rsidR="00107C48">
        <w:rPr>
          <w:b/>
          <w:bCs/>
          <w:color w:val="000000" w:themeColor="text1"/>
        </w:rPr>
        <w:t>Forest Plot of Multiple Linear Regression Results</w:t>
      </w:r>
    </w:p>
    <w:p w14:paraId="76D7DC73" w14:textId="59702BAD" w:rsidR="005556D7" w:rsidRDefault="00107C48">
      <w:pPr>
        <w:spacing w:after="200"/>
        <w:rPr>
          <w:b/>
          <w:bCs/>
          <w:color w:val="000000" w:themeColor="text1"/>
        </w:rPr>
      </w:pPr>
      <w:r>
        <w:rPr>
          <w:b/>
          <w:bCs/>
          <w:noProof/>
          <w:color w:val="000000" w:themeColor="text1"/>
        </w:rPr>
        <w:drawing>
          <wp:anchor distT="0" distB="0" distL="114300" distR="114300" simplePos="0" relativeHeight="251665408" behindDoc="0" locked="0" layoutInCell="1" allowOverlap="1" wp14:anchorId="4E693833" wp14:editId="5B1FA92C">
            <wp:simplePos x="0" y="0"/>
            <wp:positionH relativeFrom="column">
              <wp:posOffset>-82550</wp:posOffset>
            </wp:positionH>
            <wp:positionV relativeFrom="paragraph">
              <wp:posOffset>483928</wp:posOffset>
            </wp:positionV>
            <wp:extent cx="5943600" cy="5943600"/>
            <wp:effectExtent l="0" t="0" r="0" b="0"/>
            <wp:wrapNone/>
            <wp:docPr id="171244662" name="Picture 8" descr="A graph of obe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4662" name="Picture 8" descr="A graph of obesity&#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5556D7">
        <w:rPr>
          <w:b/>
          <w:bCs/>
          <w:color w:val="000000" w:themeColor="text1"/>
        </w:rPr>
        <w:br w:type="page"/>
      </w:r>
    </w:p>
    <w:p w14:paraId="44BB75F4" w14:textId="3150892E" w:rsidR="00107C48" w:rsidRDefault="00090F7F" w:rsidP="00FE2911">
      <w:pPr>
        <w:spacing w:line="480" w:lineRule="auto"/>
        <w:rPr>
          <w:b/>
          <w:bCs/>
          <w:color w:val="000000" w:themeColor="text1"/>
        </w:rPr>
      </w:pPr>
      <w:r>
        <w:rPr>
          <w:b/>
          <w:bCs/>
          <w:noProof/>
          <w:color w:val="000000" w:themeColor="text1"/>
        </w:rPr>
        <w:lastRenderedPageBreak/>
        <w:drawing>
          <wp:anchor distT="0" distB="0" distL="114300" distR="114300" simplePos="0" relativeHeight="251667456" behindDoc="0" locked="0" layoutInCell="1" allowOverlap="1" wp14:anchorId="6AADE5A7" wp14:editId="08D97F42">
            <wp:simplePos x="0" y="0"/>
            <wp:positionH relativeFrom="column">
              <wp:posOffset>608965</wp:posOffset>
            </wp:positionH>
            <wp:positionV relativeFrom="paragraph">
              <wp:posOffset>193502</wp:posOffset>
            </wp:positionV>
            <wp:extent cx="4627418" cy="4627418"/>
            <wp:effectExtent l="0" t="0" r="0" b="0"/>
            <wp:wrapNone/>
            <wp:docPr id="1603800982" name="Picture 11" descr="A blue graph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00982" name="Picture 11" descr="A blue graph with black background&#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627418" cy="4627418"/>
                    </a:xfrm>
                    <a:prstGeom prst="rect">
                      <a:avLst/>
                    </a:prstGeom>
                  </pic:spPr>
                </pic:pic>
              </a:graphicData>
            </a:graphic>
            <wp14:sizeRelH relativeFrom="page">
              <wp14:pctWidth>0</wp14:pctWidth>
            </wp14:sizeRelH>
            <wp14:sizeRelV relativeFrom="page">
              <wp14:pctHeight>0</wp14:pctHeight>
            </wp14:sizeRelV>
          </wp:anchor>
        </w:drawing>
      </w:r>
      <w:r w:rsidR="00BF7078">
        <w:rPr>
          <w:b/>
          <w:bCs/>
          <w:color w:val="000000" w:themeColor="text1"/>
        </w:rPr>
        <w:t>H. Normality Test</w:t>
      </w:r>
      <w:r w:rsidR="001B25ED">
        <w:rPr>
          <w:b/>
          <w:bCs/>
          <w:color w:val="000000" w:themeColor="text1"/>
        </w:rPr>
        <w:t xml:space="preserve"> </w:t>
      </w:r>
      <w:r w:rsidR="00BF7078">
        <w:rPr>
          <w:b/>
          <w:bCs/>
          <w:color w:val="000000" w:themeColor="text1"/>
        </w:rPr>
        <w:t>for Simple Linear Regression Model</w:t>
      </w:r>
    </w:p>
    <w:p w14:paraId="20CFB17B" w14:textId="43E1F672" w:rsidR="00BF7078" w:rsidRDefault="00BF7078" w:rsidP="00FE2911">
      <w:pPr>
        <w:spacing w:line="480" w:lineRule="auto"/>
        <w:rPr>
          <w:b/>
          <w:bCs/>
          <w:color w:val="000000" w:themeColor="text1"/>
        </w:rPr>
      </w:pPr>
    </w:p>
    <w:p w14:paraId="63299C00" w14:textId="3E05E78F" w:rsidR="00107C48" w:rsidRDefault="00090F7F">
      <w:pPr>
        <w:spacing w:after="200"/>
        <w:rPr>
          <w:b/>
          <w:bCs/>
          <w:color w:val="000000" w:themeColor="text1"/>
        </w:rPr>
      </w:pPr>
      <w:r>
        <w:rPr>
          <w:b/>
          <w:bCs/>
          <w:noProof/>
          <w:color w:val="000000" w:themeColor="text1"/>
        </w:rPr>
        <w:drawing>
          <wp:anchor distT="0" distB="0" distL="114300" distR="114300" simplePos="0" relativeHeight="251668480" behindDoc="0" locked="0" layoutInCell="1" allowOverlap="1" wp14:anchorId="4138E056" wp14:editId="58C6BBCE">
            <wp:simplePos x="0" y="0"/>
            <wp:positionH relativeFrom="column">
              <wp:posOffset>872490</wp:posOffset>
            </wp:positionH>
            <wp:positionV relativeFrom="paragraph">
              <wp:posOffset>4023360</wp:posOffset>
            </wp:positionV>
            <wp:extent cx="4100946" cy="4100946"/>
            <wp:effectExtent l="0" t="0" r="0" b="0"/>
            <wp:wrapNone/>
            <wp:docPr id="1699436068" name="Picture 12" descr="A red line i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36068" name="Picture 12" descr="A red line in a black background&#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100946" cy="4100946"/>
                    </a:xfrm>
                    <a:prstGeom prst="rect">
                      <a:avLst/>
                    </a:prstGeom>
                  </pic:spPr>
                </pic:pic>
              </a:graphicData>
            </a:graphic>
            <wp14:sizeRelH relativeFrom="page">
              <wp14:pctWidth>0</wp14:pctWidth>
            </wp14:sizeRelH>
            <wp14:sizeRelV relativeFrom="page">
              <wp14:pctHeight>0</wp14:pctHeight>
            </wp14:sizeRelV>
          </wp:anchor>
        </w:drawing>
      </w:r>
      <w:r w:rsidR="00107C48">
        <w:rPr>
          <w:b/>
          <w:bCs/>
          <w:color w:val="000000" w:themeColor="text1"/>
        </w:rPr>
        <w:br w:type="page"/>
      </w:r>
    </w:p>
    <w:p w14:paraId="27C8B869" w14:textId="79AB8100" w:rsidR="000E1F06" w:rsidRDefault="00340BD3" w:rsidP="00090F7F">
      <w:pPr>
        <w:spacing w:line="480" w:lineRule="auto"/>
        <w:rPr>
          <w:b/>
          <w:bCs/>
          <w:color w:val="000000" w:themeColor="text1"/>
        </w:rPr>
      </w:pPr>
      <w:r>
        <w:rPr>
          <w:b/>
          <w:bCs/>
          <w:noProof/>
          <w:color w:val="000000" w:themeColor="text1"/>
        </w:rPr>
        <w:lastRenderedPageBreak/>
        <w:drawing>
          <wp:anchor distT="0" distB="0" distL="114300" distR="114300" simplePos="0" relativeHeight="251669504" behindDoc="0" locked="0" layoutInCell="1" allowOverlap="1" wp14:anchorId="0442D5C1" wp14:editId="40C00E79">
            <wp:simplePos x="0" y="0"/>
            <wp:positionH relativeFrom="column">
              <wp:posOffset>872491</wp:posOffset>
            </wp:positionH>
            <wp:positionV relativeFrom="paragraph">
              <wp:posOffset>318655</wp:posOffset>
            </wp:positionV>
            <wp:extent cx="4391890" cy="4391890"/>
            <wp:effectExtent l="0" t="0" r="0" b="0"/>
            <wp:wrapNone/>
            <wp:docPr id="1422364297" name="Picture 13" descr="A blue rectangular object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64297" name="Picture 13" descr="A blue rectangular object with black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394065" cy="4394065"/>
                    </a:xfrm>
                    <a:prstGeom prst="rect">
                      <a:avLst/>
                    </a:prstGeom>
                  </pic:spPr>
                </pic:pic>
              </a:graphicData>
            </a:graphic>
            <wp14:sizeRelH relativeFrom="page">
              <wp14:pctWidth>0</wp14:pctWidth>
            </wp14:sizeRelH>
            <wp14:sizeRelV relativeFrom="page">
              <wp14:pctHeight>0</wp14:pctHeight>
            </wp14:sizeRelV>
          </wp:anchor>
        </w:drawing>
      </w:r>
      <w:r w:rsidRPr="00340BD3">
        <w:rPr>
          <w:b/>
          <w:bCs/>
          <w:noProof/>
          <w:color w:val="000000" w:themeColor="text1"/>
        </w:rPr>
        <w:t xml:space="preserve"> </w:t>
      </w:r>
      <w:r w:rsidR="00090F7F" w:rsidRPr="00090F7F">
        <w:rPr>
          <w:b/>
          <w:bCs/>
          <w:color w:val="000000" w:themeColor="text1"/>
        </w:rPr>
        <w:t>I.</w:t>
      </w:r>
      <w:r w:rsidR="00090F7F">
        <w:rPr>
          <w:b/>
          <w:bCs/>
          <w:color w:val="000000" w:themeColor="text1"/>
        </w:rPr>
        <w:t xml:space="preserve"> Normality Test for Multiple Linear Regression Model</w:t>
      </w:r>
    </w:p>
    <w:p w14:paraId="185E56EB" w14:textId="30F2DF59" w:rsidR="00090F7F" w:rsidRPr="00090F7F" w:rsidRDefault="00340BD3" w:rsidP="00090F7F">
      <w:pPr>
        <w:spacing w:line="480" w:lineRule="auto"/>
        <w:rPr>
          <w:b/>
          <w:bCs/>
          <w:color w:val="000000" w:themeColor="text1"/>
        </w:rPr>
      </w:pPr>
      <w:r w:rsidRPr="00340BD3">
        <w:rPr>
          <w:b/>
          <w:bCs/>
          <w:noProof/>
          <w:color w:val="000000" w:themeColor="text1"/>
        </w:rPr>
        <w:drawing>
          <wp:anchor distT="0" distB="0" distL="114300" distR="114300" simplePos="0" relativeHeight="251670528" behindDoc="0" locked="0" layoutInCell="1" allowOverlap="1" wp14:anchorId="2FE670CA" wp14:editId="0ED60B4A">
            <wp:simplePos x="0" y="0"/>
            <wp:positionH relativeFrom="column">
              <wp:posOffset>899968</wp:posOffset>
            </wp:positionH>
            <wp:positionV relativeFrom="paragraph">
              <wp:posOffset>4359506</wp:posOffset>
            </wp:positionV>
            <wp:extent cx="4266854" cy="4266854"/>
            <wp:effectExtent l="0" t="0" r="0" b="0"/>
            <wp:wrapNone/>
            <wp:docPr id="3" name="Picture 2" descr="A red line in a black background&#10;&#10;AI-generated content may be incorrect.">
              <a:extLst xmlns:a="http://schemas.openxmlformats.org/drawingml/2006/main">
                <a:ext uri="{FF2B5EF4-FFF2-40B4-BE49-F238E27FC236}">
                  <a16:creationId xmlns:a16="http://schemas.microsoft.com/office/drawing/2014/main" id="{85528A03-69E9-E085-34A4-8913EF8846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red line in a black background&#10;&#10;AI-generated content may be incorrect.">
                      <a:extLst>
                        <a:ext uri="{FF2B5EF4-FFF2-40B4-BE49-F238E27FC236}">
                          <a16:creationId xmlns:a16="http://schemas.microsoft.com/office/drawing/2014/main" id="{85528A03-69E9-E085-34A4-8913EF884654}"/>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266854" cy="4266854"/>
                    </a:xfrm>
                    <a:prstGeom prst="rect">
                      <a:avLst/>
                    </a:prstGeom>
                  </pic:spPr>
                </pic:pic>
              </a:graphicData>
            </a:graphic>
            <wp14:sizeRelH relativeFrom="page">
              <wp14:pctWidth>0</wp14:pctWidth>
            </wp14:sizeRelH>
            <wp14:sizeRelV relativeFrom="page">
              <wp14:pctHeight>0</wp14:pctHeight>
            </wp14:sizeRelV>
          </wp:anchor>
        </w:drawing>
      </w:r>
    </w:p>
    <w:sectPr w:rsidR="00090F7F" w:rsidRPr="00090F7F">
      <w:headerReference w:type="even" r:id="rId25"/>
      <w:head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77693" w14:textId="77777777" w:rsidR="00AE354A" w:rsidRDefault="00AE354A">
      <w:r>
        <w:separator/>
      </w:r>
    </w:p>
  </w:endnote>
  <w:endnote w:type="continuationSeparator" w:id="0">
    <w:p w14:paraId="6313F964" w14:textId="77777777" w:rsidR="00AE354A" w:rsidRDefault="00AE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24A5B" w14:textId="77777777" w:rsidR="00AE354A" w:rsidRDefault="00AE354A">
      <w:r>
        <w:separator/>
      </w:r>
    </w:p>
  </w:footnote>
  <w:footnote w:type="continuationSeparator" w:id="0">
    <w:p w14:paraId="39F7765B" w14:textId="77777777" w:rsidR="00AE354A" w:rsidRDefault="00AE3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0189610"/>
      <w:docPartObj>
        <w:docPartGallery w:val="Page Numbers (Top of Page)"/>
        <w:docPartUnique/>
      </w:docPartObj>
    </w:sdtPr>
    <w:sdtEndPr>
      <w:rPr>
        <w:rStyle w:val="PageNumber"/>
      </w:rPr>
    </w:sdtEndPr>
    <w:sdtContent>
      <w:p w14:paraId="3CAD832A" w14:textId="42EBE2F6" w:rsidR="00C25347" w:rsidRDefault="00C25347" w:rsidP="00C70C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E01C60" w14:textId="77777777" w:rsidR="00C25347" w:rsidRDefault="00C25347" w:rsidP="00C253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1146792"/>
      <w:docPartObj>
        <w:docPartGallery w:val="Page Numbers (Top of Page)"/>
        <w:docPartUnique/>
      </w:docPartObj>
    </w:sdtPr>
    <w:sdtEndPr>
      <w:rPr>
        <w:rStyle w:val="PageNumber"/>
      </w:rPr>
    </w:sdtEndPr>
    <w:sdtContent>
      <w:p w14:paraId="3313B70A" w14:textId="2FB1A85F" w:rsidR="00C25347" w:rsidRPr="00C25347" w:rsidRDefault="00C25347" w:rsidP="003A59E3">
        <w:pPr>
          <w:jc w:val="right"/>
          <w:rPr>
            <w:rStyle w:val="PageNumber"/>
          </w:rPr>
        </w:pPr>
        <w:r w:rsidRPr="00C25347">
          <w:rPr>
            <w:rStyle w:val="PageNumber"/>
          </w:rPr>
          <w:fldChar w:fldCharType="begin"/>
        </w:r>
        <w:r w:rsidRPr="00C25347">
          <w:rPr>
            <w:rStyle w:val="PageNumber"/>
          </w:rPr>
          <w:instrText xml:space="preserve"> PAGE </w:instrText>
        </w:r>
        <w:r w:rsidRPr="00C25347">
          <w:rPr>
            <w:rStyle w:val="PageNumber"/>
          </w:rPr>
          <w:fldChar w:fldCharType="separate"/>
        </w:r>
        <w:r w:rsidRPr="00C25347">
          <w:rPr>
            <w:rStyle w:val="PageNumber"/>
            <w:noProof/>
          </w:rPr>
          <w:t>1</w:t>
        </w:r>
        <w:r w:rsidRPr="00C25347">
          <w:rPr>
            <w:rStyle w:val="PageNumber"/>
          </w:rPr>
          <w:fldChar w:fldCharType="end"/>
        </w:r>
      </w:p>
    </w:sdtContent>
  </w:sdt>
  <w:p w14:paraId="5056F577" w14:textId="77777777" w:rsidR="00C25347" w:rsidRDefault="00C25347" w:rsidP="00C2534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0B0AD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36586B"/>
    <w:multiLevelType w:val="multilevel"/>
    <w:tmpl w:val="97B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5655C"/>
    <w:multiLevelType w:val="multilevel"/>
    <w:tmpl w:val="A76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63968"/>
    <w:multiLevelType w:val="multilevel"/>
    <w:tmpl w:val="30D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E46D9"/>
    <w:multiLevelType w:val="hybridMultilevel"/>
    <w:tmpl w:val="8416B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E782C"/>
    <w:multiLevelType w:val="multilevel"/>
    <w:tmpl w:val="0D4E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A5F58"/>
    <w:multiLevelType w:val="hybridMultilevel"/>
    <w:tmpl w:val="133C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37A3D"/>
    <w:multiLevelType w:val="multilevel"/>
    <w:tmpl w:val="B7F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639C3"/>
    <w:multiLevelType w:val="multilevel"/>
    <w:tmpl w:val="4874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428B1"/>
    <w:multiLevelType w:val="hybridMultilevel"/>
    <w:tmpl w:val="6EDC59A4"/>
    <w:lvl w:ilvl="0" w:tplc="96A0FF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15882"/>
    <w:multiLevelType w:val="multilevel"/>
    <w:tmpl w:val="6D90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414088">
    <w:abstractNumId w:val="0"/>
  </w:num>
  <w:num w:numId="2" w16cid:durableId="73552758">
    <w:abstractNumId w:val="5"/>
  </w:num>
  <w:num w:numId="3" w16cid:durableId="926041226">
    <w:abstractNumId w:val="1"/>
  </w:num>
  <w:num w:numId="4" w16cid:durableId="201525201">
    <w:abstractNumId w:val="3"/>
  </w:num>
  <w:num w:numId="5" w16cid:durableId="269701391">
    <w:abstractNumId w:val="8"/>
  </w:num>
  <w:num w:numId="6" w16cid:durableId="114957027">
    <w:abstractNumId w:val="10"/>
  </w:num>
  <w:num w:numId="7" w16cid:durableId="2010478179">
    <w:abstractNumId w:val="7"/>
  </w:num>
  <w:num w:numId="8" w16cid:durableId="997727582">
    <w:abstractNumId w:val="6"/>
  </w:num>
  <w:num w:numId="9" w16cid:durableId="408890434">
    <w:abstractNumId w:val="2"/>
  </w:num>
  <w:num w:numId="10" w16cid:durableId="584919207">
    <w:abstractNumId w:val="4"/>
  </w:num>
  <w:num w:numId="11" w16cid:durableId="879442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83"/>
    <w:rsid w:val="000020AC"/>
    <w:rsid w:val="00002248"/>
    <w:rsid w:val="00004884"/>
    <w:rsid w:val="00005E73"/>
    <w:rsid w:val="00010E07"/>
    <w:rsid w:val="000563A9"/>
    <w:rsid w:val="00062570"/>
    <w:rsid w:val="00063907"/>
    <w:rsid w:val="00066FA2"/>
    <w:rsid w:val="000744CB"/>
    <w:rsid w:val="00076D42"/>
    <w:rsid w:val="000878C4"/>
    <w:rsid w:val="00090F7F"/>
    <w:rsid w:val="0009199C"/>
    <w:rsid w:val="000A52F2"/>
    <w:rsid w:val="000A5D84"/>
    <w:rsid w:val="000A7C22"/>
    <w:rsid w:val="000B1630"/>
    <w:rsid w:val="000E1F06"/>
    <w:rsid w:val="000E27C8"/>
    <w:rsid w:val="000E7D8A"/>
    <w:rsid w:val="000F0C2D"/>
    <w:rsid w:val="00107C48"/>
    <w:rsid w:val="0013630F"/>
    <w:rsid w:val="00145B55"/>
    <w:rsid w:val="0015355C"/>
    <w:rsid w:val="0015553C"/>
    <w:rsid w:val="00156242"/>
    <w:rsid w:val="00156D22"/>
    <w:rsid w:val="00160EDC"/>
    <w:rsid w:val="00160F15"/>
    <w:rsid w:val="00174D27"/>
    <w:rsid w:val="00184824"/>
    <w:rsid w:val="00184FDC"/>
    <w:rsid w:val="00185B39"/>
    <w:rsid w:val="001930BE"/>
    <w:rsid w:val="00197FB9"/>
    <w:rsid w:val="001A3327"/>
    <w:rsid w:val="001A51AB"/>
    <w:rsid w:val="001B25ED"/>
    <w:rsid w:val="001B5B84"/>
    <w:rsid w:val="001C0CC4"/>
    <w:rsid w:val="001C2DE7"/>
    <w:rsid w:val="001D1476"/>
    <w:rsid w:val="001D1D07"/>
    <w:rsid w:val="001E4C7A"/>
    <w:rsid w:val="001F4074"/>
    <w:rsid w:val="002014B9"/>
    <w:rsid w:val="00203BCC"/>
    <w:rsid w:val="00206D69"/>
    <w:rsid w:val="00224E37"/>
    <w:rsid w:val="002265BC"/>
    <w:rsid w:val="00231F3D"/>
    <w:rsid w:val="0023257F"/>
    <w:rsid w:val="002331C8"/>
    <w:rsid w:val="0024784A"/>
    <w:rsid w:val="002500BC"/>
    <w:rsid w:val="00250F1C"/>
    <w:rsid w:val="0025464F"/>
    <w:rsid w:val="002575B2"/>
    <w:rsid w:val="00263E2F"/>
    <w:rsid w:val="00267D53"/>
    <w:rsid w:val="002755AC"/>
    <w:rsid w:val="00275935"/>
    <w:rsid w:val="00281104"/>
    <w:rsid w:val="0029135B"/>
    <w:rsid w:val="002A659B"/>
    <w:rsid w:val="002B2BEC"/>
    <w:rsid w:val="002B7C33"/>
    <w:rsid w:val="002C0A18"/>
    <w:rsid w:val="002D1C58"/>
    <w:rsid w:val="002D4468"/>
    <w:rsid w:val="002E1F94"/>
    <w:rsid w:val="002E29A2"/>
    <w:rsid w:val="002E5071"/>
    <w:rsid w:val="002F23DE"/>
    <w:rsid w:val="002F2F5B"/>
    <w:rsid w:val="002F60B2"/>
    <w:rsid w:val="003210E6"/>
    <w:rsid w:val="003212E1"/>
    <w:rsid w:val="00324A3D"/>
    <w:rsid w:val="003351D3"/>
    <w:rsid w:val="003370D5"/>
    <w:rsid w:val="00340BD3"/>
    <w:rsid w:val="003448E8"/>
    <w:rsid w:val="00347EDE"/>
    <w:rsid w:val="003515F4"/>
    <w:rsid w:val="00365C91"/>
    <w:rsid w:val="00367D19"/>
    <w:rsid w:val="003708EE"/>
    <w:rsid w:val="00371DE0"/>
    <w:rsid w:val="00374AC6"/>
    <w:rsid w:val="003872FF"/>
    <w:rsid w:val="003909D8"/>
    <w:rsid w:val="003913D3"/>
    <w:rsid w:val="00391AB5"/>
    <w:rsid w:val="00392A34"/>
    <w:rsid w:val="003A59E3"/>
    <w:rsid w:val="003B4196"/>
    <w:rsid w:val="003B4EBE"/>
    <w:rsid w:val="003C15BF"/>
    <w:rsid w:val="003C65B9"/>
    <w:rsid w:val="003C6999"/>
    <w:rsid w:val="003E0A21"/>
    <w:rsid w:val="003E594E"/>
    <w:rsid w:val="003F145F"/>
    <w:rsid w:val="003F15E7"/>
    <w:rsid w:val="003F2566"/>
    <w:rsid w:val="003F2880"/>
    <w:rsid w:val="003F4562"/>
    <w:rsid w:val="003F7624"/>
    <w:rsid w:val="003F7BAB"/>
    <w:rsid w:val="00400476"/>
    <w:rsid w:val="00411194"/>
    <w:rsid w:val="00417856"/>
    <w:rsid w:val="00426527"/>
    <w:rsid w:val="004278A7"/>
    <w:rsid w:val="00431A27"/>
    <w:rsid w:val="00433447"/>
    <w:rsid w:val="00451939"/>
    <w:rsid w:val="00452D78"/>
    <w:rsid w:val="00471A6B"/>
    <w:rsid w:val="004729B0"/>
    <w:rsid w:val="00474312"/>
    <w:rsid w:val="004757EC"/>
    <w:rsid w:val="00480667"/>
    <w:rsid w:val="0048145A"/>
    <w:rsid w:val="00486B59"/>
    <w:rsid w:val="004872F1"/>
    <w:rsid w:val="004910DB"/>
    <w:rsid w:val="00496156"/>
    <w:rsid w:val="00496CB8"/>
    <w:rsid w:val="004A4A12"/>
    <w:rsid w:val="004E15F7"/>
    <w:rsid w:val="004E2EF4"/>
    <w:rsid w:val="004E796A"/>
    <w:rsid w:val="004F103C"/>
    <w:rsid w:val="00511B80"/>
    <w:rsid w:val="0051231F"/>
    <w:rsid w:val="00551F7E"/>
    <w:rsid w:val="005556D7"/>
    <w:rsid w:val="0055581E"/>
    <w:rsid w:val="00556ECE"/>
    <w:rsid w:val="00562B29"/>
    <w:rsid w:val="00563B5F"/>
    <w:rsid w:val="00564757"/>
    <w:rsid w:val="0057072F"/>
    <w:rsid w:val="0057300B"/>
    <w:rsid w:val="00584B1F"/>
    <w:rsid w:val="00584B51"/>
    <w:rsid w:val="00587462"/>
    <w:rsid w:val="0059026A"/>
    <w:rsid w:val="005910AE"/>
    <w:rsid w:val="005B0D24"/>
    <w:rsid w:val="005B33F9"/>
    <w:rsid w:val="005D65F7"/>
    <w:rsid w:val="005E1FF1"/>
    <w:rsid w:val="005E281E"/>
    <w:rsid w:val="005F05C8"/>
    <w:rsid w:val="005F1AE6"/>
    <w:rsid w:val="005F6825"/>
    <w:rsid w:val="00605265"/>
    <w:rsid w:val="00607C2C"/>
    <w:rsid w:val="00614677"/>
    <w:rsid w:val="00616FA5"/>
    <w:rsid w:val="00617601"/>
    <w:rsid w:val="00625F29"/>
    <w:rsid w:val="00635EA0"/>
    <w:rsid w:val="006378B8"/>
    <w:rsid w:val="00642583"/>
    <w:rsid w:val="00642DBF"/>
    <w:rsid w:val="00644220"/>
    <w:rsid w:val="00655034"/>
    <w:rsid w:val="00670A20"/>
    <w:rsid w:val="006733A3"/>
    <w:rsid w:val="00673958"/>
    <w:rsid w:val="00674F4B"/>
    <w:rsid w:val="0067606F"/>
    <w:rsid w:val="006802F9"/>
    <w:rsid w:val="00686CFA"/>
    <w:rsid w:val="00697613"/>
    <w:rsid w:val="006A2D07"/>
    <w:rsid w:val="006A3620"/>
    <w:rsid w:val="006A6E19"/>
    <w:rsid w:val="006B4DE4"/>
    <w:rsid w:val="006C0500"/>
    <w:rsid w:val="006C051D"/>
    <w:rsid w:val="006D0D5D"/>
    <w:rsid w:val="006D14C5"/>
    <w:rsid w:val="006D3C10"/>
    <w:rsid w:val="006E0710"/>
    <w:rsid w:val="006E269F"/>
    <w:rsid w:val="006F140E"/>
    <w:rsid w:val="00707542"/>
    <w:rsid w:val="00714D14"/>
    <w:rsid w:val="00721D00"/>
    <w:rsid w:val="00727936"/>
    <w:rsid w:val="00740239"/>
    <w:rsid w:val="00751229"/>
    <w:rsid w:val="007679E1"/>
    <w:rsid w:val="007747D1"/>
    <w:rsid w:val="00777B1F"/>
    <w:rsid w:val="00780954"/>
    <w:rsid w:val="007A2DB1"/>
    <w:rsid w:val="007C28B5"/>
    <w:rsid w:val="007C735F"/>
    <w:rsid w:val="007D264C"/>
    <w:rsid w:val="007F0D06"/>
    <w:rsid w:val="007F2F88"/>
    <w:rsid w:val="007F4118"/>
    <w:rsid w:val="007F67EB"/>
    <w:rsid w:val="007F6E44"/>
    <w:rsid w:val="00804023"/>
    <w:rsid w:val="0080664A"/>
    <w:rsid w:val="00811643"/>
    <w:rsid w:val="00817091"/>
    <w:rsid w:val="00817964"/>
    <w:rsid w:val="00830D67"/>
    <w:rsid w:val="00837387"/>
    <w:rsid w:val="00844A18"/>
    <w:rsid w:val="00850EDE"/>
    <w:rsid w:val="00857782"/>
    <w:rsid w:val="00864F56"/>
    <w:rsid w:val="00871C96"/>
    <w:rsid w:val="0087284C"/>
    <w:rsid w:val="008765DE"/>
    <w:rsid w:val="00877AEE"/>
    <w:rsid w:val="00890610"/>
    <w:rsid w:val="00891DED"/>
    <w:rsid w:val="008955DC"/>
    <w:rsid w:val="008C3C8B"/>
    <w:rsid w:val="008D4738"/>
    <w:rsid w:val="008E2E54"/>
    <w:rsid w:val="00903C29"/>
    <w:rsid w:val="00910F67"/>
    <w:rsid w:val="009130F5"/>
    <w:rsid w:val="00935885"/>
    <w:rsid w:val="00936E16"/>
    <w:rsid w:val="00942261"/>
    <w:rsid w:val="00944BB9"/>
    <w:rsid w:val="00951589"/>
    <w:rsid w:val="00962F43"/>
    <w:rsid w:val="0096756C"/>
    <w:rsid w:val="00972503"/>
    <w:rsid w:val="009743FC"/>
    <w:rsid w:val="00977F1C"/>
    <w:rsid w:val="00980480"/>
    <w:rsid w:val="0099023A"/>
    <w:rsid w:val="00993620"/>
    <w:rsid w:val="009A062A"/>
    <w:rsid w:val="009A0786"/>
    <w:rsid w:val="009A0CD5"/>
    <w:rsid w:val="009A521F"/>
    <w:rsid w:val="009A52F0"/>
    <w:rsid w:val="009B306C"/>
    <w:rsid w:val="009B370A"/>
    <w:rsid w:val="009C5885"/>
    <w:rsid w:val="009D3EAF"/>
    <w:rsid w:val="009D7D38"/>
    <w:rsid w:val="009E4021"/>
    <w:rsid w:val="009E4B52"/>
    <w:rsid w:val="009E4C47"/>
    <w:rsid w:val="009F207C"/>
    <w:rsid w:val="009F24C0"/>
    <w:rsid w:val="009F4973"/>
    <w:rsid w:val="009F5454"/>
    <w:rsid w:val="00A067C5"/>
    <w:rsid w:val="00A14FC0"/>
    <w:rsid w:val="00A22726"/>
    <w:rsid w:val="00A23C4E"/>
    <w:rsid w:val="00A26557"/>
    <w:rsid w:val="00A404A1"/>
    <w:rsid w:val="00A46265"/>
    <w:rsid w:val="00A71C39"/>
    <w:rsid w:val="00A74B5D"/>
    <w:rsid w:val="00A81C1C"/>
    <w:rsid w:val="00A907B9"/>
    <w:rsid w:val="00AA6E0D"/>
    <w:rsid w:val="00AB5AB0"/>
    <w:rsid w:val="00AB6A68"/>
    <w:rsid w:val="00AE354A"/>
    <w:rsid w:val="00AE6965"/>
    <w:rsid w:val="00B0165A"/>
    <w:rsid w:val="00B05E4C"/>
    <w:rsid w:val="00B101D3"/>
    <w:rsid w:val="00B142C6"/>
    <w:rsid w:val="00B360C4"/>
    <w:rsid w:val="00B4668D"/>
    <w:rsid w:val="00B57ADA"/>
    <w:rsid w:val="00B94733"/>
    <w:rsid w:val="00B955AF"/>
    <w:rsid w:val="00B96956"/>
    <w:rsid w:val="00BA1C0F"/>
    <w:rsid w:val="00BB37D2"/>
    <w:rsid w:val="00BB6C90"/>
    <w:rsid w:val="00BB73A7"/>
    <w:rsid w:val="00BC4E88"/>
    <w:rsid w:val="00BC51B6"/>
    <w:rsid w:val="00BD42EC"/>
    <w:rsid w:val="00BE27CF"/>
    <w:rsid w:val="00BE56D4"/>
    <w:rsid w:val="00BE5B6C"/>
    <w:rsid w:val="00BF23D8"/>
    <w:rsid w:val="00BF7078"/>
    <w:rsid w:val="00C05AC1"/>
    <w:rsid w:val="00C06204"/>
    <w:rsid w:val="00C15FB0"/>
    <w:rsid w:val="00C2528B"/>
    <w:rsid w:val="00C25347"/>
    <w:rsid w:val="00C306C2"/>
    <w:rsid w:val="00C33FBB"/>
    <w:rsid w:val="00C3778E"/>
    <w:rsid w:val="00C44E09"/>
    <w:rsid w:val="00C470BE"/>
    <w:rsid w:val="00C539EB"/>
    <w:rsid w:val="00C64877"/>
    <w:rsid w:val="00C70C5E"/>
    <w:rsid w:val="00C71F80"/>
    <w:rsid w:val="00C7458D"/>
    <w:rsid w:val="00C829EE"/>
    <w:rsid w:val="00C92284"/>
    <w:rsid w:val="00C94DE4"/>
    <w:rsid w:val="00C96045"/>
    <w:rsid w:val="00C96190"/>
    <w:rsid w:val="00CA54DF"/>
    <w:rsid w:val="00CC458C"/>
    <w:rsid w:val="00CC6F57"/>
    <w:rsid w:val="00CD1B54"/>
    <w:rsid w:val="00CD3B40"/>
    <w:rsid w:val="00CF229E"/>
    <w:rsid w:val="00D016B8"/>
    <w:rsid w:val="00D154D1"/>
    <w:rsid w:val="00D20083"/>
    <w:rsid w:val="00D204D9"/>
    <w:rsid w:val="00D22607"/>
    <w:rsid w:val="00D25B2C"/>
    <w:rsid w:val="00D30C0B"/>
    <w:rsid w:val="00D318AF"/>
    <w:rsid w:val="00D3361D"/>
    <w:rsid w:val="00D354FD"/>
    <w:rsid w:val="00D40BBA"/>
    <w:rsid w:val="00D44D67"/>
    <w:rsid w:val="00D467D7"/>
    <w:rsid w:val="00D47453"/>
    <w:rsid w:val="00D50676"/>
    <w:rsid w:val="00D57969"/>
    <w:rsid w:val="00D602FC"/>
    <w:rsid w:val="00D6754A"/>
    <w:rsid w:val="00D87E4E"/>
    <w:rsid w:val="00D91979"/>
    <w:rsid w:val="00D91AF4"/>
    <w:rsid w:val="00D92891"/>
    <w:rsid w:val="00D937AC"/>
    <w:rsid w:val="00DA33E0"/>
    <w:rsid w:val="00DB2D71"/>
    <w:rsid w:val="00DC031E"/>
    <w:rsid w:val="00DC6541"/>
    <w:rsid w:val="00DD0B38"/>
    <w:rsid w:val="00DD31CE"/>
    <w:rsid w:val="00DD6DB3"/>
    <w:rsid w:val="00DE0F0F"/>
    <w:rsid w:val="00DE2F66"/>
    <w:rsid w:val="00DF14AA"/>
    <w:rsid w:val="00DF1EEE"/>
    <w:rsid w:val="00DF20E1"/>
    <w:rsid w:val="00DF280C"/>
    <w:rsid w:val="00DF347F"/>
    <w:rsid w:val="00DF58B7"/>
    <w:rsid w:val="00E07548"/>
    <w:rsid w:val="00E137B9"/>
    <w:rsid w:val="00E1574A"/>
    <w:rsid w:val="00E26142"/>
    <w:rsid w:val="00E27473"/>
    <w:rsid w:val="00E307D7"/>
    <w:rsid w:val="00E3322B"/>
    <w:rsid w:val="00E40DFE"/>
    <w:rsid w:val="00E507C4"/>
    <w:rsid w:val="00E7258B"/>
    <w:rsid w:val="00E8513C"/>
    <w:rsid w:val="00E94B59"/>
    <w:rsid w:val="00E964C7"/>
    <w:rsid w:val="00EA2A0D"/>
    <w:rsid w:val="00EA4589"/>
    <w:rsid w:val="00ED0B3E"/>
    <w:rsid w:val="00ED2E24"/>
    <w:rsid w:val="00EF04F0"/>
    <w:rsid w:val="00F019DD"/>
    <w:rsid w:val="00F056E8"/>
    <w:rsid w:val="00F27217"/>
    <w:rsid w:val="00F46A43"/>
    <w:rsid w:val="00F46CF2"/>
    <w:rsid w:val="00F5059B"/>
    <w:rsid w:val="00F52862"/>
    <w:rsid w:val="00F61D16"/>
    <w:rsid w:val="00F700BE"/>
    <w:rsid w:val="00F73276"/>
    <w:rsid w:val="00F73654"/>
    <w:rsid w:val="00F8007C"/>
    <w:rsid w:val="00FA0A8A"/>
    <w:rsid w:val="00FA2230"/>
    <w:rsid w:val="00FA33A1"/>
    <w:rsid w:val="00FA4FD1"/>
    <w:rsid w:val="00FA6232"/>
    <w:rsid w:val="00FA764C"/>
    <w:rsid w:val="00FB0BB7"/>
    <w:rsid w:val="00FB5CF1"/>
    <w:rsid w:val="00FC018C"/>
    <w:rsid w:val="00FE2911"/>
    <w:rsid w:val="00FE75A4"/>
    <w:rsid w:val="00FF5266"/>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8014"/>
  <w15:docId w15:val="{5BBF7302-693A-D847-A5F5-3E038D4E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24C0"/>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400476"/>
    <w:pPr>
      <w:spacing w:before="100" w:beforeAutospacing="1" w:after="100" w:afterAutospacing="1"/>
    </w:pPr>
  </w:style>
  <w:style w:type="character" w:styleId="Strong">
    <w:name w:val="Strong"/>
    <w:basedOn w:val="DefaultParagraphFont"/>
    <w:uiPriority w:val="22"/>
    <w:qFormat/>
    <w:rsid w:val="00400476"/>
    <w:rPr>
      <w:b/>
      <w:bCs/>
    </w:rPr>
  </w:style>
  <w:style w:type="paragraph" w:styleId="Header">
    <w:name w:val="header"/>
    <w:basedOn w:val="Normal"/>
    <w:link w:val="HeaderChar"/>
    <w:rsid w:val="00C2534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C25347"/>
  </w:style>
  <w:style w:type="character" w:styleId="PageNumber">
    <w:name w:val="page number"/>
    <w:basedOn w:val="DefaultParagraphFont"/>
    <w:rsid w:val="00C25347"/>
  </w:style>
  <w:style w:type="paragraph" w:styleId="Footer">
    <w:name w:val="footer"/>
    <w:basedOn w:val="Normal"/>
    <w:link w:val="FooterChar"/>
    <w:rsid w:val="00C2534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rsid w:val="00C25347"/>
  </w:style>
  <w:style w:type="character" w:styleId="CommentReference">
    <w:name w:val="annotation reference"/>
    <w:basedOn w:val="DefaultParagraphFont"/>
    <w:rsid w:val="00D937AC"/>
    <w:rPr>
      <w:sz w:val="16"/>
      <w:szCs w:val="16"/>
    </w:rPr>
  </w:style>
  <w:style w:type="paragraph" w:styleId="CommentText">
    <w:name w:val="annotation text"/>
    <w:basedOn w:val="Normal"/>
    <w:link w:val="CommentTextChar"/>
    <w:rsid w:val="00D937AC"/>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D937AC"/>
    <w:rPr>
      <w:sz w:val="20"/>
      <w:szCs w:val="20"/>
    </w:rPr>
  </w:style>
  <w:style w:type="paragraph" w:styleId="CommentSubject">
    <w:name w:val="annotation subject"/>
    <w:basedOn w:val="CommentText"/>
    <w:next w:val="CommentText"/>
    <w:link w:val="CommentSubjectChar"/>
    <w:rsid w:val="00D937AC"/>
    <w:rPr>
      <w:b/>
      <w:bCs/>
    </w:rPr>
  </w:style>
  <w:style w:type="character" w:customStyle="1" w:styleId="CommentSubjectChar">
    <w:name w:val="Comment Subject Char"/>
    <w:basedOn w:val="CommentTextChar"/>
    <w:link w:val="CommentSubject"/>
    <w:rsid w:val="00D937AC"/>
    <w:rPr>
      <w:b/>
      <w:bCs/>
      <w:sz w:val="20"/>
      <w:szCs w:val="20"/>
    </w:rPr>
  </w:style>
  <w:style w:type="character" w:styleId="UnresolvedMention">
    <w:name w:val="Unresolved Mention"/>
    <w:basedOn w:val="DefaultParagraphFont"/>
    <w:uiPriority w:val="99"/>
    <w:semiHidden/>
    <w:unhideWhenUsed/>
    <w:rsid w:val="00184FDC"/>
    <w:rPr>
      <w:color w:val="605E5C"/>
      <w:shd w:val="clear" w:color="auto" w:fill="E1DFDD"/>
    </w:rPr>
  </w:style>
  <w:style w:type="paragraph" w:styleId="HTMLPreformatted">
    <w:name w:val="HTML Preformatted"/>
    <w:basedOn w:val="Normal"/>
    <w:link w:val="HTMLPreformattedChar"/>
    <w:uiPriority w:val="99"/>
    <w:unhideWhenUsed/>
    <w:rsid w:val="00CD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B40"/>
    <w:rPr>
      <w:rFonts w:ascii="Courier New" w:eastAsia="Times New Roman" w:hAnsi="Courier New" w:cs="Courier New"/>
      <w:sz w:val="20"/>
      <w:szCs w:val="20"/>
    </w:rPr>
  </w:style>
  <w:style w:type="character" w:styleId="HTMLCode">
    <w:name w:val="HTML Code"/>
    <w:basedOn w:val="DefaultParagraphFont"/>
    <w:uiPriority w:val="99"/>
    <w:unhideWhenUsed/>
    <w:rsid w:val="00CD3B40"/>
    <w:rPr>
      <w:rFonts w:ascii="Courier New" w:eastAsia="Times New Roman" w:hAnsi="Courier New" w:cs="Courier New"/>
      <w:sz w:val="20"/>
      <w:szCs w:val="20"/>
    </w:rPr>
  </w:style>
  <w:style w:type="character" w:styleId="Emphasis">
    <w:name w:val="Emphasis"/>
    <w:basedOn w:val="DefaultParagraphFont"/>
    <w:uiPriority w:val="20"/>
    <w:qFormat/>
    <w:rsid w:val="00FE2911"/>
    <w:rPr>
      <w:i/>
      <w:iCs/>
    </w:rPr>
  </w:style>
  <w:style w:type="table" w:styleId="TableGrid">
    <w:name w:val="Table Grid"/>
    <w:basedOn w:val="TableNormal"/>
    <w:rsid w:val="00FE29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D0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5156">
      <w:bodyDiv w:val="1"/>
      <w:marLeft w:val="0"/>
      <w:marRight w:val="0"/>
      <w:marTop w:val="0"/>
      <w:marBottom w:val="0"/>
      <w:divBdr>
        <w:top w:val="none" w:sz="0" w:space="0" w:color="auto"/>
        <w:left w:val="none" w:sz="0" w:space="0" w:color="auto"/>
        <w:bottom w:val="none" w:sz="0" w:space="0" w:color="auto"/>
        <w:right w:val="none" w:sz="0" w:space="0" w:color="auto"/>
      </w:divBdr>
    </w:div>
    <w:div w:id="54863350">
      <w:bodyDiv w:val="1"/>
      <w:marLeft w:val="0"/>
      <w:marRight w:val="0"/>
      <w:marTop w:val="0"/>
      <w:marBottom w:val="0"/>
      <w:divBdr>
        <w:top w:val="none" w:sz="0" w:space="0" w:color="auto"/>
        <w:left w:val="none" w:sz="0" w:space="0" w:color="auto"/>
        <w:bottom w:val="none" w:sz="0" w:space="0" w:color="auto"/>
        <w:right w:val="none" w:sz="0" w:space="0" w:color="auto"/>
      </w:divBdr>
    </w:div>
    <w:div w:id="145978249">
      <w:bodyDiv w:val="1"/>
      <w:marLeft w:val="0"/>
      <w:marRight w:val="0"/>
      <w:marTop w:val="0"/>
      <w:marBottom w:val="0"/>
      <w:divBdr>
        <w:top w:val="none" w:sz="0" w:space="0" w:color="auto"/>
        <w:left w:val="none" w:sz="0" w:space="0" w:color="auto"/>
        <w:bottom w:val="none" w:sz="0" w:space="0" w:color="auto"/>
        <w:right w:val="none" w:sz="0" w:space="0" w:color="auto"/>
      </w:divBdr>
    </w:div>
    <w:div w:id="148596251">
      <w:bodyDiv w:val="1"/>
      <w:marLeft w:val="0"/>
      <w:marRight w:val="0"/>
      <w:marTop w:val="0"/>
      <w:marBottom w:val="0"/>
      <w:divBdr>
        <w:top w:val="none" w:sz="0" w:space="0" w:color="auto"/>
        <w:left w:val="none" w:sz="0" w:space="0" w:color="auto"/>
        <w:bottom w:val="none" w:sz="0" w:space="0" w:color="auto"/>
        <w:right w:val="none" w:sz="0" w:space="0" w:color="auto"/>
      </w:divBdr>
    </w:div>
    <w:div w:id="370810730">
      <w:bodyDiv w:val="1"/>
      <w:marLeft w:val="0"/>
      <w:marRight w:val="0"/>
      <w:marTop w:val="0"/>
      <w:marBottom w:val="0"/>
      <w:divBdr>
        <w:top w:val="none" w:sz="0" w:space="0" w:color="auto"/>
        <w:left w:val="none" w:sz="0" w:space="0" w:color="auto"/>
        <w:bottom w:val="none" w:sz="0" w:space="0" w:color="auto"/>
        <w:right w:val="none" w:sz="0" w:space="0" w:color="auto"/>
      </w:divBdr>
    </w:div>
    <w:div w:id="453984490">
      <w:bodyDiv w:val="1"/>
      <w:marLeft w:val="0"/>
      <w:marRight w:val="0"/>
      <w:marTop w:val="0"/>
      <w:marBottom w:val="0"/>
      <w:divBdr>
        <w:top w:val="none" w:sz="0" w:space="0" w:color="auto"/>
        <w:left w:val="none" w:sz="0" w:space="0" w:color="auto"/>
        <w:bottom w:val="none" w:sz="0" w:space="0" w:color="auto"/>
        <w:right w:val="none" w:sz="0" w:space="0" w:color="auto"/>
      </w:divBdr>
    </w:div>
    <w:div w:id="494149100">
      <w:bodyDiv w:val="1"/>
      <w:marLeft w:val="0"/>
      <w:marRight w:val="0"/>
      <w:marTop w:val="0"/>
      <w:marBottom w:val="0"/>
      <w:divBdr>
        <w:top w:val="none" w:sz="0" w:space="0" w:color="auto"/>
        <w:left w:val="none" w:sz="0" w:space="0" w:color="auto"/>
        <w:bottom w:val="none" w:sz="0" w:space="0" w:color="auto"/>
        <w:right w:val="none" w:sz="0" w:space="0" w:color="auto"/>
      </w:divBdr>
    </w:div>
    <w:div w:id="727845544">
      <w:bodyDiv w:val="1"/>
      <w:marLeft w:val="0"/>
      <w:marRight w:val="0"/>
      <w:marTop w:val="0"/>
      <w:marBottom w:val="0"/>
      <w:divBdr>
        <w:top w:val="none" w:sz="0" w:space="0" w:color="auto"/>
        <w:left w:val="none" w:sz="0" w:space="0" w:color="auto"/>
        <w:bottom w:val="none" w:sz="0" w:space="0" w:color="auto"/>
        <w:right w:val="none" w:sz="0" w:space="0" w:color="auto"/>
      </w:divBdr>
    </w:div>
    <w:div w:id="856967357">
      <w:bodyDiv w:val="1"/>
      <w:marLeft w:val="0"/>
      <w:marRight w:val="0"/>
      <w:marTop w:val="0"/>
      <w:marBottom w:val="0"/>
      <w:divBdr>
        <w:top w:val="none" w:sz="0" w:space="0" w:color="auto"/>
        <w:left w:val="none" w:sz="0" w:space="0" w:color="auto"/>
        <w:bottom w:val="none" w:sz="0" w:space="0" w:color="auto"/>
        <w:right w:val="none" w:sz="0" w:space="0" w:color="auto"/>
      </w:divBdr>
    </w:div>
    <w:div w:id="917784269">
      <w:bodyDiv w:val="1"/>
      <w:marLeft w:val="0"/>
      <w:marRight w:val="0"/>
      <w:marTop w:val="0"/>
      <w:marBottom w:val="0"/>
      <w:divBdr>
        <w:top w:val="none" w:sz="0" w:space="0" w:color="auto"/>
        <w:left w:val="none" w:sz="0" w:space="0" w:color="auto"/>
        <w:bottom w:val="none" w:sz="0" w:space="0" w:color="auto"/>
        <w:right w:val="none" w:sz="0" w:space="0" w:color="auto"/>
      </w:divBdr>
    </w:div>
    <w:div w:id="976643185">
      <w:bodyDiv w:val="1"/>
      <w:marLeft w:val="0"/>
      <w:marRight w:val="0"/>
      <w:marTop w:val="0"/>
      <w:marBottom w:val="0"/>
      <w:divBdr>
        <w:top w:val="none" w:sz="0" w:space="0" w:color="auto"/>
        <w:left w:val="none" w:sz="0" w:space="0" w:color="auto"/>
        <w:bottom w:val="none" w:sz="0" w:space="0" w:color="auto"/>
        <w:right w:val="none" w:sz="0" w:space="0" w:color="auto"/>
      </w:divBdr>
    </w:div>
    <w:div w:id="983433948">
      <w:bodyDiv w:val="1"/>
      <w:marLeft w:val="0"/>
      <w:marRight w:val="0"/>
      <w:marTop w:val="0"/>
      <w:marBottom w:val="0"/>
      <w:divBdr>
        <w:top w:val="none" w:sz="0" w:space="0" w:color="auto"/>
        <w:left w:val="none" w:sz="0" w:space="0" w:color="auto"/>
        <w:bottom w:val="none" w:sz="0" w:space="0" w:color="auto"/>
        <w:right w:val="none" w:sz="0" w:space="0" w:color="auto"/>
      </w:divBdr>
    </w:div>
    <w:div w:id="1010638633">
      <w:bodyDiv w:val="1"/>
      <w:marLeft w:val="0"/>
      <w:marRight w:val="0"/>
      <w:marTop w:val="0"/>
      <w:marBottom w:val="0"/>
      <w:divBdr>
        <w:top w:val="none" w:sz="0" w:space="0" w:color="auto"/>
        <w:left w:val="none" w:sz="0" w:space="0" w:color="auto"/>
        <w:bottom w:val="none" w:sz="0" w:space="0" w:color="auto"/>
        <w:right w:val="none" w:sz="0" w:space="0" w:color="auto"/>
      </w:divBdr>
    </w:div>
    <w:div w:id="1123231976">
      <w:bodyDiv w:val="1"/>
      <w:marLeft w:val="0"/>
      <w:marRight w:val="0"/>
      <w:marTop w:val="0"/>
      <w:marBottom w:val="0"/>
      <w:divBdr>
        <w:top w:val="none" w:sz="0" w:space="0" w:color="auto"/>
        <w:left w:val="none" w:sz="0" w:space="0" w:color="auto"/>
        <w:bottom w:val="none" w:sz="0" w:space="0" w:color="auto"/>
        <w:right w:val="none" w:sz="0" w:space="0" w:color="auto"/>
      </w:divBdr>
    </w:div>
    <w:div w:id="1127701450">
      <w:bodyDiv w:val="1"/>
      <w:marLeft w:val="0"/>
      <w:marRight w:val="0"/>
      <w:marTop w:val="0"/>
      <w:marBottom w:val="0"/>
      <w:divBdr>
        <w:top w:val="none" w:sz="0" w:space="0" w:color="auto"/>
        <w:left w:val="none" w:sz="0" w:space="0" w:color="auto"/>
        <w:bottom w:val="none" w:sz="0" w:space="0" w:color="auto"/>
        <w:right w:val="none" w:sz="0" w:space="0" w:color="auto"/>
      </w:divBdr>
    </w:div>
    <w:div w:id="1181777162">
      <w:bodyDiv w:val="1"/>
      <w:marLeft w:val="0"/>
      <w:marRight w:val="0"/>
      <w:marTop w:val="0"/>
      <w:marBottom w:val="0"/>
      <w:divBdr>
        <w:top w:val="none" w:sz="0" w:space="0" w:color="auto"/>
        <w:left w:val="none" w:sz="0" w:space="0" w:color="auto"/>
        <w:bottom w:val="none" w:sz="0" w:space="0" w:color="auto"/>
        <w:right w:val="none" w:sz="0" w:space="0" w:color="auto"/>
      </w:divBdr>
    </w:div>
    <w:div w:id="1293555290">
      <w:bodyDiv w:val="1"/>
      <w:marLeft w:val="0"/>
      <w:marRight w:val="0"/>
      <w:marTop w:val="0"/>
      <w:marBottom w:val="0"/>
      <w:divBdr>
        <w:top w:val="none" w:sz="0" w:space="0" w:color="auto"/>
        <w:left w:val="none" w:sz="0" w:space="0" w:color="auto"/>
        <w:bottom w:val="none" w:sz="0" w:space="0" w:color="auto"/>
        <w:right w:val="none" w:sz="0" w:space="0" w:color="auto"/>
      </w:divBdr>
    </w:div>
    <w:div w:id="1464805541">
      <w:bodyDiv w:val="1"/>
      <w:marLeft w:val="0"/>
      <w:marRight w:val="0"/>
      <w:marTop w:val="0"/>
      <w:marBottom w:val="0"/>
      <w:divBdr>
        <w:top w:val="none" w:sz="0" w:space="0" w:color="auto"/>
        <w:left w:val="none" w:sz="0" w:space="0" w:color="auto"/>
        <w:bottom w:val="none" w:sz="0" w:space="0" w:color="auto"/>
        <w:right w:val="none" w:sz="0" w:space="0" w:color="auto"/>
      </w:divBdr>
    </w:div>
    <w:div w:id="1597859001">
      <w:bodyDiv w:val="1"/>
      <w:marLeft w:val="0"/>
      <w:marRight w:val="0"/>
      <w:marTop w:val="0"/>
      <w:marBottom w:val="0"/>
      <w:divBdr>
        <w:top w:val="none" w:sz="0" w:space="0" w:color="auto"/>
        <w:left w:val="none" w:sz="0" w:space="0" w:color="auto"/>
        <w:bottom w:val="none" w:sz="0" w:space="0" w:color="auto"/>
        <w:right w:val="none" w:sz="0" w:space="0" w:color="auto"/>
      </w:divBdr>
    </w:div>
    <w:div w:id="1613051634">
      <w:bodyDiv w:val="1"/>
      <w:marLeft w:val="0"/>
      <w:marRight w:val="0"/>
      <w:marTop w:val="0"/>
      <w:marBottom w:val="0"/>
      <w:divBdr>
        <w:top w:val="none" w:sz="0" w:space="0" w:color="auto"/>
        <w:left w:val="none" w:sz="0" w:space="0" w:color="auto"/>
        <w:bottom w:val="none" w:sz="0" w:space="0" w:color="auto"/>
        <w:right w:val="none" w:sz="0" w:space="0" w:color="auto"/>
      </w:divBdr>
    </w:div>
    <w:div w:id="1690251967">
      <w:bodyDiv w:val="1"/>
      <w:marLeft w:val="0"/>
      <w:marRight w:val="0"/>
      <w:marTop w:val="0"/>
      <w:marBottom w:val="0"/>
      <w:divBdr>
        <w:top w:val="none" w:sz="0" w:space="0" w:color="auto"/>
        <w:left w:val="none" w:sz="0" w:space="0" w:color="auto"/>
        <w:bottom w:val="none" w:sz="0" w:space="0" w:color="auto"/>
        <w:right w:val="none" w:sz="0" w:space="0" w:color="auto"/>
      </w:divBdr>
    </w:div>
    <w:div w:id="1730422217">
      <w:bodyDiv w:val="1"/>
      <w:marLeft w:val="0"/>
      <w:marRight w:val="0"/>
      <w:marTop w:val="0"/>
      <w:marBottom w:val="0"/>
      <w:divBdr>
        <w:top w:val="none" w:sz="0" w:space="0" w:color="auto"/>
        <w:left w:val="none" w:sz="0" w:space="0" w:color="auto"/>
        <w:bottom w:val="none" w:sz="0" w:space="0" w:color="auto"/>
        <w:right w:val="none" w:sz="0" w:space="0" w:color="auto"/>
      </w:divBdr>
      <w:divsChild>
        <w:div w:id="430122343">
          <w:marLeft w:val="0"/>
          <w:marRight w:val="0"/>
          <w:marTop w:val="0"/>
          <w:marBottom w:val="0"/>
          <w:divBdr>
            <w:top w:val="none" w:sz="0" w:space="0" w:color="auto"/>
            <w:left w:val="none" w:sz="0" w:space="0" w:color="auto"/>
            <w:bottom w:val="none" w:sz="0" w:space="0" w:color="auto"/>
            <w:right w:val="none" w:sz="0" w:space="0" w:color="auto"/>
          </w:divBdr>
        </w:div>
      </w:divsChild>
    </w:div>
    <w:div w:id="1752193939">
      <w:bodyDiv w:val="1"/>
      <w:marLeft w:val="0"/>
      <w:marRight w:val="0"/>
      <w:marTop w:val="0"/>
      <w:marBottom w:val="0"/>
      <w:divBdr>
        <w:top w:val="none" w:sz="0" w:space="0" w:color="auto"/>
        <w:left w:val="none" w:sz="0" w:space="0" w:color="auto"/>
        <w:bottom w:val="none" w:sz="0" w:space="0" w:color="auto"/>
        <w:right w:val="none" w:sz="0" w:space="0" w:color="auto"/>
      </w:divBdr>
    </w:div>
    <w:div w:id="1797916501">
      <w:bodyDiv w:val="1"/>
      <w:marLeft w:val="0"/>
      <w:marRight w:val="0"/>
      <w:marTop w:val="0"/>
      <w:marBottom w:val="0"/>
      <w:divBdr>
        <w:top w:val="none" w:sz="0" w:space="0" w:color="auto"/>
        <w:left w:val="none" w:sz="0" w:space="0" w:color="auto"/>
        <w:bottom w:val="none" w:sz="0" w:space="0" w:color="auto"/>
        <w:right w:val="none" w:sz="0" w:space="0" w:color="auto"/>
      </w:divBdr>
    </w:div>
    <w:div w:id="1800948802">
      <w:bodyDiv w:val="1"/>
      <w:marLeft w:val="0"/>
      <w:marRight w:val="0"/>
      <w:marTop w:val="0"/>
      <w:marBottom w:val="0"/>
      <w:divBdr>
        <w:top w:val="none" w:sz="0" w:space="0" w:color="auto"/>
        <w:left w:val="none" w:sz="0" w:space="0" w:color="auto"/>
        <w:bottom w:val="none" w:sz="0" w:space="0" w:color="auto"/>
        <w:right w:val="none" w:sz="0" w:space="0" w:color="auto"/>
      </w:divBdr>
    </w:div>
    <w:div w:id="1829899773">
      <w:bodyDiv w:val="1"/>
      <w:marLeft w:val="0"/>
      <w:marRight w:val="0"/>
      <w:marTop w:val="0"/>
      <w:marBottom w:val="0"/>
      <w:divBdr>
        <w:top w:val="none" w:sz="0" w:space="0" w:color="auto"/>
        <w:left w:val="none" w:sz="0" w:space="0" w:color="auto"/>
        <w:bottom w:val="none" w:sz="0" w:space="0" w:color="auto"/>
        <w:right w:val="none" w:sz="0" w:space="0" w:color="auto"/>
      </w:divBdr>
    </w:div>
    <w:div w:id="1874538040">
      <w:bodyDiv w:val="1"/>
      <w:marLeft w:val="0"/>
      <w:marRight w:val="0"/>
      <w:marTop w:val="0"/>
      <w:marBottom w:val="0"/>
      <w:divBdr>
        <w:top w:val="none" w:sz="0" w:space="0" w:color="auto"/>
        <w:left w:val="none" w:sz="0" w:space="0" w:color="auto"/>
        <w:bottom w:val="none" w:sz="0" w:space="0" w:color="auto"/>
        <w:right w:val="none" w:sz="0" w:space="0" w:color="auto"/>
      </w:divBdr>
    </w:div>
    <w:div w:id="1892187826">
      <w:bodyDiv w:val="1"/>
      <w:marLeft w:val="0"/>
      <w:marRight w:val="0"/>
      <w:marTop w:val="0"/>
      <w:marBottom w:val="0"/>
      <w:divBdr>
        <w:top w:val="none" w:sz="0" w:space="0" w:color="auto"/>
        <w:left w:val="none" w:sz="0" w:space="0" w:color="auto"/>
        <w:bottom w:val="none" w:sz="0" w:space="0" w:color="auto"/>
        <w:right w:val="none" w:sz="0" w:space="0" w:color="auto"/>
      </w:divBdr>
    </w:div>
    <w:div w:id="2033800148">
      <w:bodyDiv w:val="1"/>
      <w:marLeft w:val="0"/>
      <w:marRight w:val="0"/>
      <w:marTop w:val="0"/>
      <w:marBottom w:val="0"/>
      <w:divBdr>
        <w:top w:val="none" w:sz="0" w:space="0" w:color="auto"/>
        <w:left w:val="none" w:sz="0" w:space="0" w:color="auto"/>
        <w:bottom w:val="none" w:sz="0" w:space="0" w:color="auto"/>
        <w:right w:val="none" w:sz="0" w:space="0" w:color="auto"/>
      </w:divBdr>
    </w:div>
    <w:div w:id="2047213851">
      <w:bodyDiv w:val="1"/>
      <w:marLeft w:val="0"/>
      <w:marRight w:val="0"/>
      <w:marTop w:val="0"/>
      <w:marBottom w:val="0"/>
      <w:divBdr>
        <w:top w:val="none" w:sz="0" w:space="0" w:color="auto"/>
        <w:left w:val="none" w:sz="0" w:space="0" w:color="auto"/>
        <w:bottom w:val="none" w:sz="0" w:space="0" w:color="auto"/>
        <w:right w:val="none" w:sz="0" w:space="0" w:color="auto"/>
      </w:divBdr>
      <w:divsChild>
        <w:div w:id="194124325">
          <w:marLeft w:val="0"/>
          <w:marRight w:val="0"/>
          <w:marTop w:val="0"/>
          <w:marBottom w:val="0"/>
          <w:divBdr>
            <w:top w:val="none" w:sz="0" w:space="0" w:color="auto"/>
            <w:left w:val="none" w:sz="0" w:space="0" w:color="auto"/>
            <w:bottom w:val="none" w:sz="0" w:space="0" w:color="auto"/>
            <w:right w:val="none" w:sz="0" w:space="0" w:color="auto"/>
          </w:divBdr>
        </w:div>
      </w:divsChild>
    </w:div>
    <w:div w:id="2053260229">
      <w:bodyDiv w:val="1"/>
      <w:marLeft w:val="0"/>
      <w:marRight w:val="0"/>
      <w:marTop w:val="0"/>
      <w:marBottom w:val="0"/>
      <w:divBdr>
        <w:top w:val="none" w:sz="0" w:space="0" w:color="auto"/>
        <w:left w:val="none" w:sz="0" w:space="0" w:color="auto"/>
        <w:bottom w:val="none" w:sz="0" w:space="0" w:color="auto"/>
        <w:right w:val="none" w:sz="0" w:space="0" w:color="auto"/>
      </w:divBdr>
    </w:div>
    <w:div w:id="2073038813">
      <w:bodyDiv w:val="1"/>
      <w:marLeft w:val="0"/>
      <w:marRight w:val="0"/>
      <w:marTop w:val="0"/>
      <w:marBottom w:val="0"/>
      <w:divBdr>
        <w:top w:val="none" w:sz="0" w:space="0" w:color="auto"/>
        <w:left w:val="none" w:sz="0" w:space="0" w:color="auto"/>
        <w:bottom w:val="none" w:sz="0" w:space="0" w:color="auto"/>
        <w:right w:val="none" w:sz="0" w:space="0" w:color="auto"/>
      </w:divBdr>
    </w:div>
    <w:div w:id="2145149850">
      <w:bodyDiv w:val="1"/>
      <w:marLeft w:val="0"/>
      <w:marRight w:val="0"/>
      <w:marTop w:val="0"/>
      <w:marBottom w:val="0"/>
      <w:divBdr>
        <w:top w:val="none" w:sz="0" w:space="0" w:color="auto"/>
        <w:left w:val="none" w:sz="0" w:space="0" w:color="auto"/>
        <w:bottom w:val="none" w:sz="0" w:space="0" w:color="auto"/>
        <w:right w:val="none" w:sz="0" w:space="0" w:color="auto"/>
      </w:divBdr>
    </w:div>
    <w:div w:id="2146192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333794X19891305"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i.org/10.21649/akemu.v17i2.109"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oby.2010.100"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catalog.data.gov/dataset/nutrition-physical-activity-and-obesity-youth-risk-behavior-surveillance-syste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i.org/10.1007/s10900-007-9071-7"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2418</Words>
  <Characters>13789</Characters>
  <Application>Microsoft Office Word</Application>
  <DocSecurity>0</DocSecurity>
  <Lines>114</Lines>
  <Paragraphs>32</Paragraphs>
  <ScaleCrop>false</ScaleCrop>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subject/>
  <dc:creator>Data Analytics Lab @ UTEP</dc:creator>
  <cp:keywords/>
  <cp:lastModifiedBy>Siebert, Klarissa</cp:lastModifiedBy>
  <cp:revision>2</cp:revision>
  <dcterms:created xsi:type="dcterms:W3CDTF">2025-05-15T21:33:00Z</dcterms:created>
  <dcterms:modified xsi:type="dcterms:W3CDTF">2025-05-15T21:33:00Z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sys.date()</vt:lpwstr>
  </property>
  <property fmtid="{D5CDD505-2E9C-101B-9397-08002B2CF9AE}" pid="3" name="output">
    <vt:lpwstr>word_document</vt:lpwstr>
  </property>
  <property fmtid="{D5CDD505-2E9C-101B-9397-08002B2CF9AE}" pid="4" name="MSIP_Label_b73649dc-6fee-4eb8-a128-734c3c842ea8_Enabled">
    <vt:lpwstr>true</vt:lpwstr>
  </property>
  <property fmtid="{D5CDD505-2E9C-101B-9397-08002B2CF9AE}" pid="5" name="MSIP_Label_b73649dc-6fee-4eb8-a128-734c3c842ea8_SetDate">
    <vt:lpwstr>2025-05-08T05:46:57Z</vt:lpwstr>
  </property>
  <property fmtid="{D5CDD505-2E9C-101B-9397-08002B2CF9AE}" pid="6" name="MSIP_Label_b73649dc-6fee-4eb8-a128-734c3c842ea8_Method">
    <vt:lpwstr>Privileged</vt:lpwstr>
  </property>
  <property fmtid="{D5CDD505-2E9C-101B-9397-08002B2CF9AE}" pid="7" name="MSIP_Label_b73649dc-6fee-4eb8-a128-734c3c842ea8_Name">
    <vt:lpwstr>defa4170-0d19-0005-0004-bc88714345d2</vt:lpwstr>
  </property>
  <property fmtid="{D5CDD505-2E9C-101B-9397-08002B2CF9AE}" pid="8" name="MSIP_Label_b73649dc-6fee-4eb8-a128-734c3c842ea8_SiteId">
    <vt:lpwstr>857c21d2-1a16-43a4-90cf-d57f3fab9d2f</vt:lpwstr>
  </property>
  <property fmtid="{D5CDD505-2E9C-101B-9397-08002B2CF9AE}" pid="9" name="MSIP_Label_b73649dc-6fee-4eb8-a128-734c3c842ea8_ActionId">
    <vt:lpwstr>560ba864-15da-4138-ab21-4e51f2798f6e</vt:lpwstr>
  </property>
  <property fmtid="{D5CDD505-2E9C-101B-9397-08002B2CF9AE}" pid="10" name="MSIP_Label_b73649dc-6fee-4eb8-a128-734c3c842ea8_ContentBits">
    <vt:lpwstr>0</vt:lpwstr>
  </property>
  <property fmtid="{D5CDD505-2E9C-101B-9397-08002B2CF9AE}" pid="11" name="MSIP_Label_b73649dc-6fee-4eb8-a128-734c3c842ea8_Tag">
    <vt:lpwstr>50, 0, 1, 1</vt:lpwstr>
  </property>
</Properties>
</file>