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4852C" w14:textId="77777777" w:rsidR="009B3D74" w:rsidRPr="009B3D74" w:rsidRDefault="009B3D74" w:rsidP="009B3D74">
      <w:pPr>
        <w:rPr>
          <w:b/>
          <w:bCs/>
        </w:rPr>
      </w:pPr>
      <w:r w:rsidRPr="009B3D74">
        <w:rPr>
          <w:b/>
          <w:bCs/>
        </w:rPr>
        <w:t>Milestone 2: Multi-Scale Pattern Recognition and Advanced Visualization Framework</w:t>
      </w:r>
    </w:p>
    <w:p w14:paraId="6D05CB23" w14:textId="77777777" w:rsidR="009B3D74" w:rsidRPr="009B3D74" w:rsidRDefault="009B3D74" w:rsidP="009B3D74">
      <w:r w:rsidRPr="009B3D74">
        <w:t>Building upon the foundational DTW clustering system established in Milestone 1, I have successfully implemented comprehensive multi-scale pattern recognition and advanced visualization capabilities that address the full spectrum of crash game dynamics. These enhancements have revealed fundamental insights about the game's exponential mechanics that transform our understanding from retrospective pattern analysis into a framework ready for predictive modeling and real-time strategy deployment.</w:t>
      </w:r>
    </w:p>
    <w:p w14:paraId="124EFBF9" w14:textId="77777777" w:rsidR="009B3D74" w:rsidRPr="009B3D74" w:rsidRDefault="009B3D74" w:rsidP="009B3D74">
      <w:pPr>
        <w:rPr>
          <w:b/>
          <w:bCs/>
        </w:rPr>
      </w:pPr>
      <w:r w:rsidRPr="009B3D74">
        <w:rPr>
          <w:b/>
          <w:bCs/>
        </w:rPr>
        <w:t>Multi-Scale Pattern Recognition Implementation (Task 3)</w:t>
      </w:r>
    </w:p>
    <w:p w14:paraId="7B25357A" w14:textId="2DC94655" w:rsidR="009B3D74" w:rsidRPr="009B3D74" w:rsidRDefault="009B3D74" w:rsidP="009B3D74">
      <w:r w:rsidRPr="009B3D74">
        <w:t>The crash game presents a unique challenge with round lengths varying from 10 to over 2000 ticks. My implementation of a sophisticated multi-scale approach has uncovered a critical insight: the game's exponential growth mechanics create fundamentally different behavioral regimes based on survival duration. This discovery transforms our strategic approach from pattern matching to survival-based prediction</w:t>
      </w:r>
      <w:r>
        <w:t xml:space="preserve"> as well</w:t>
      </w:r>
      <w:r w:rsidRPr="009B3D74">
        <w:t>.</w:t>
      </w:r>
    </w:p>
    <w:p w14:paraId="5D818819" w14:textId="77777777" w:rsidR="009B3D74" w:rsidRPr="009B3D74" w:rsidRDefault="009B3D74" w:rsidP="009B3D74">
      <w:pPr>
        <w:rPr>
          <w:b/>
          <w:bCs/>
        </w:rPr>
      </w:pPr>
      <w:r w:rsidRPr="009B3D74">
        <w:rPr>
          <w:b/>
          <w:bCs/>
        </w:rPr>
        <w:t>Length-Based Stratification System</w:t>
      </w:r>
    </w:p>
    <w:p w14:paraId="4D4F0DCF" w14:textId="77777777" w:rsidR="009B3D74" w:rsidRPr="009B3D74" w:rsidRDefault="009B3D74" w:rsidP="009B3D74">
      <w:r w:rsidRPr="009B3D74">
        <w:t>The stratification system divides patterns into four temporal categories that reveal the game's underlying exponential nature. Short patterns (under 50 ticks) exhibit binary behavior, rarely exceeding 2.5x multipliers as the exponential growth lacks time to manifest. Medium patterns (50-200 ticks) unlock the game's profit potential, showing diverse trajectories reaching up to 7x as the compound growth begins to accelerate. Long patterns (200-500 ticks) demonstrate the full power of exponential mechanics, achieving multipliers up to 40x. Extra-long patterns (over 500 ticks) represent the rare survivors that avoid the 0.5% per-tick crash probability long enough to reach astronomical returns exceeding 250x.</w:t>
      </w:r>
    </w:p>
    <w:p w14:paraId="6CD19929" w14:textId="77777777" w:rsidR="009B3D74" w:rsidRPr="009B3D74" w:rsidRDefault="009B3D74" w:rsidP="009B3D74">
      <w:r w:rsidRPr="009B3D74">
        <w:t>This stratification reveals a fundamental truth: in this crash game, time equals money in the most literal sense. Each additional tick survived increases profit potential exponentially, creating distinct risk-reward regimes that demand different strategic approaches. The visualization clearly shows how patterns that survive initial crash risks enter progressively more profitable territories, with clear transitions around the 50 and 200 tick thresholds.</w:t>
      </w:r>
    </w:p>
    <w:p w14:paraId="3FEDA75D" w14:textId="77777777" w:rsidR="009B3D74" w:rsidRPr="009B3D74" w:rsidRDefault="009B3D74" w:rsidP="009B3D74">
      <w:pPr>
        <w:rPr>
          <w:b/>
          <w:bCs/>
        </w:rPr>
      </w:pPr>
      <w:r w:rsidRPr="009B3D74">
        <w:rPr>
          <w:b/>
          <w:bCs/>
        </w:rPr>
        <w:t>Cross-Scale Pattern Consistency</w:t>
      </w:r>
    </w:p>
    <w:p w14:paraId="1B3A832A" w14:textId="77777777" w:rsidR="009B3D74" w:rsidRPr="009B3D74" w:rsidRDefault="009B3D74" w:rsidP="009B3D74">
      <w:r w:rsidRPr="009B3D74">
        <w:t xml:space="preserve">The multi-resolution analysis at 50, 100, and 200 tick normalizations demonstrates how certain behavioral characteristics persist across scales while others emerge only at specific temporal resolutions. Patterns showing high cross-scale consistency, particularly in early-tick momentum indicators, prove most valuable for prediction. This analysis </w:t>
      </w:r>
      <w:r w:rsidRPr="009B3D74">
        <w:lastRenderedPageBreak/>
        <w:t>revealed that crash signatures often manifest differently across scales - what appears as noise at 50-tick resolution may reveal clear failure patterns at 200-tick normalization.</w:t>
      </w:r>
    </w:p>
    <w:p w14:paraId="2EC696B6" w14:textId="77777777" w:rsidR="009B3D74" w:rsidRPr="009B3D74" w:rsidRDefault="009B3D74" w:rsidP="009B3D74">
      <w:pPr>
        <w:rPr>
          <w:b/>
          <w:bCs/>
        </w:rPr>
      </w:pPr>
      <w:r w:rsidRPr="009B3D74">
        <w:rPr>
          <w:b/>
          <w:bCs/>
        </w:rPr>
        <w:t>Enhanced Visualization Framework (Task 4)</w:t>
      </w:r>
    </w:p>
    <w:p w14:paraId="13907D4A" w14:textId="77777777" w:rsidR="009B3D74" w:rsidRPr="009B3D74" w:rsidRDefault="009B3D74" w:rsidP="009B3D74">
      <w:r w:rsidRPr="009B3D74">
        <w:t>The visualization system has evolved beyond simple pattern display to become a comprehensive analytical framework that directly informs betting decisions. Each enhancement serves a specific strategic purpose, with the stratified visualization proving particularly revelatory.</w:t>
      </w:r>
    </w:p>
    <w:p w14:paraId="29234A10" w14:textId="77777777" w:rsidR="009B3D74" w:rsidRPr="009B3D74" w:rsidRDefault="009B3D74" w:rsidP="009B3D74">
      <w:pPr>
        <w:rPr>
          <w:b/>
          <w:bCs/>
        </w:rPr>
      </w:pPr>
      <w:r w:rsidRPr="009B3D74">
        <w:rPr>
          <w:b/>
          <w:bCs/>
        </w:rPr>
        <w:t>Stratified Pattern Visualization</w:t>
      </w:r>
    </w:p>
    <w:p w14:paraId="49DD1AE8" w14:textId="3DF3E6D0" w:rsidR="009B3D74" w:rsidRPr="009B3D74" w:rsidRDefault="009B3D74" w:rsidP="009B3D74">
      <w:r w:rsidRPr="009B3D74">
        <w:t xml:space="preserve">The 2x2 grid visualization grouping patterns by length strata has provided the most significant strategic insight of this milestone. By separating patterns into length-based categories, we can observe how the game's exponential mechanics create distinct behavioral modes. Short rounds show limited variation - they either crash immediately or achieve modest gains before failing. Medium rounds exhibit rich pattern diversity, including the valuable "steady climber" patterns ideal for </w:t>
      </w:r>
      <w:r w:rsidR="00142635">
        <w:t>your</w:t>
      </w:r>
      <w:r w:rsidRPr="009B3D74">
        <w:t xml:space="preserve"> flipping strategy. Long rounds demonstrate sustained exponential growth with occasional volatility spikes. Extra-long rounds reveal the game's maximum potential, with explosive growth curves that justify high-risk strategies.</w:t>
      </w:r>
    </w:p>
    <w:p w14:paraId="425E20FB" w14:textId="3B4E9A61" w:rsidR="009B3D74" w:rsidRPr="009B3D74" w:rsidRDefault="009B3D74" w:rsidP="009B3D74">
      <w:r w:rsidRPr="009B3D74">
        <w:t>Short rounds demand quick reflexes and conservative positions, while medium rounds offer the best risk-adjusted returns for flipping strategies. Long rounds reward patience and graduated exit strategies to capture exponential gains.</w:t>
      </w:r>
    </w:p>
    <w:p w14:paraId="302409D6" w14:textId="77777777" w:rsidR="009B3D74" w:rsidRPr="009B3D74" w:rsidRDefault="009B3D74" w:rsidP="009B3D74">
      <w:pPr>
        <w:rPr>
          <w:b/>
          <w:bCs/>
        </w:rPr>
      </w:pPr>
      <w:r w:rsidRPr="009B3D74">
        <w:rPr>
          <w:b/>
          <w:bCs/>
        </w:rPr>
        <w:t>Volatility Band Analysis</w:t>
      </w:r>
    </w:p>
    <w:p w14:paraId="719A299C" w14:textId="77777777" w:rsidR="009B3D74" w:rsidRPr="009B3D74" w:rsidRDefault="009B3D74" w:rsidP="009B3D74">
      <w:r w:rsidRPr="009B3D74">
        <w:t>The addition of volatility bands around cluster medoids provides immediate visual assessment of pattern reliability within each cluster. The implementation reveals fascinating dynamics: Cluster 1 shows tight early-tick bands that expand dramatically after tick 50, indicating reliable initial behavior but divergent outcomes. Cluster 2 maintains moderate band width throughout, suggesting consistent, predictable growth ideal for systematic trading. Clusters 0 and 4 exhibit wide bands from the start, signaling high-risk patterns requiring careful position management.</w:t>
      </w:r>
    </w:p>
    <w:p w14:paraId="423B41D4" w14:textId="77777777" w:rsidR="009B3D74" w:rsidRPr="009B3D74" w:rsidRDefault="009B3D74" w:rsidP="009B3D74">
      <w:pPr>
        <w:rPr>
          <w:b/>
          <w:bCs/>
        </w:rPr>
      </w:pPr>
      <w:r w:rsidRPr="009B3D74">
        <w:rPr>
          <w:b/>
          <w:bCs/>
        </w:rPr>
        <w:t>Dynamic Exit Zone Mapping</w:t>
      </w:r>
    </w:p>
    <w:p w14:paraId="76593B1A" w14:textId="77777777" w:rsidR="009B3D74" w:rsidRPr="009B3D74" w:rsidRDefault="009B3D74" w:rsidP="009B3D74">
      <w:r w:rsidRPr="009B3D74">
        <w:t xml:space="preserve">Exit zones now appear as strategic overlays calibrated to each cluster's risk profile. The statistical analysis of crash points within clusters provides 25th, 50th, and 75th percentile exit targets, enabling risk-adjusted position management. Notably, the exit zones reveal that profitable clusters (1 and 2) have well-separated percentiles, allowing for graduated </w:t>
      </w:r>
      <w:r w:rsidRPr="009B3D74">
        <w:lastRenderedPageBreak/>
        <w:t>exit strategies, while crash clusters (0 and 4) show compressed exit zones all below 1.2x, confirming their toxicity.</w:t>
      </w:r>
    </w:p>
    <w:p w14:paraId="583D5386" w14:textId="77777777" w:rsidR="009B3D74" w:rsidRPr="009B3D74" w:rsidRDefault="009B3D74" w:rsidP="009B3D74">
      <w:pPr>
        <w:rPr>
          <w:b/>
          <w:bCs/>
        </w:rPr>
      </w:pPr>
      <w:r w:rsidRPr="009B3D74">
        <w:rPr>
          <w:b/>
          <w:bCs/>
        </w:rPr>
        <w:t>Optimized Clustering Results</w:t>
      </w:r>
    </w:p>
    <w:p w14:paraId="43BA17EB" w14:textId="77777777" w:rsidR="009B3D74" w:rsidRPr="009B3D74" w:rsidRDefault="009B3D74" w:rsidP="009B3D74">
      <w:r w:rsidRPr="009B3D74">
        <w:t>The refined analysis has converged on a 5-cluster solution that provides superior pattern separation and actionable insights:</w:t>
      </w:r>
    </w:p>
    <w:p w14:paraId="55345CD9" w14:textId="77777777" w:rsidR="009B3D74" w:rsidRPr="009B3D74" w:rsidRDefault="009B3D74" w:rsidP="009B3D74">
      <w:r w:rsidRPr="009B3D74">
        <w:rPr>
          <w:b/>
          <w:bCs/>
        </w:rPr>
        <w:t>Cluster 0 - Instant Crashes (1.02x average, 100% crash before 2x)</w:t>
      </w:r>
      <w:r w:rsidRPr="009B3D74">
        <w:t>: Characterized by immediate decline, these patterns show distinctive early momentum indicators that enable quick avoidance. The tight clustering confirms consistent failure behavior.</w:t>
      </w:r>
    </w:p>
    <w:p w14:paraId="54DADFCD" w14:textId="77777777" w:rsidR="009B3D74" w:rsidRPr="009B3D74" w:rsidRDefault="009B3D74" w:rsidP="009B3D74">
      <w:r w:rsidRPr="009B3D74">
        <w:rPr>
          <w:b/>
          <w:bCs/>
        </w:rPr>
        <w:t>Cluster 1 - Premium Winners (17.07x average, 36% crash before 2x)</w:t>
      </w:r>
      <w:r w:rsidRPr="009B3D74">
        <w:t>: This cluster represents the optimal risk-reward profile with explosive growth potential. The 64% success rate reaching 2x combined with massive upside makes this the primary target for position concentration.</w:t>
      </w:r>
    </w:p>
    <w:p w14:paraId="6BC895AF" w14:textId="094E2BD5" w:rsidR="009B3D74" w:rsidRPr="009B3D74" w:rsidRDefault="009B3D74" w:rsidP="009B3D74">
      <w:r w:rsidRPr="009B3D74">
        <w:rPr>
          <w:b/>
          <w:bCs/>
        </w:rPr>
        <w:t>Cluster 2 - Reliable Flippers (7.20x average, 27% crash before 2x)</w:t>
      </w:r>
      <w:r w:rsidRPr="009B3D74">
        <w:t xml:space="preserve">: The lowest crash rate among all clusters makes this ideal for </w:t>
      </w:r>
      <w:r w:rsidR="00BC51A7">
        <w:t>your</w:t>
      </w:r>
      <w:r w:rsidRPr="009B3D74">
        <w:t xml:space="preserve"> flipping strategy. Consistent growth patterns with moderate volatility provide predictable profit opportunities.</w:t>
      </w:r>
    </w:p>
    <w:p w14:paraId="09234F17" w14:textId="77777777" w:rsidR="009B3D74" w:rsidRPr="009B3D74" w:rsidRDefault="009B3D74" w:rsidP="009B3D74">
      <w:r w:rsidRPr="009B3D74">
        <w:rPr>
          <w:b/>
          <w:bCs/>
        </w:rPr>
        <w:t>Cluster 3 - Moderate Risk (3.75x average, 64% crash before 2x)</w:t>
      </w:r>
      <w:r w:rsidRPr="009B3D74">
        <w:t>: Acceptable for quick positions but requires careful management given the higher crash probability.</w:t>
      </w:r>
    </w:p>
    <w:p w14:paraId="2A9DEA37" w14:textId="77777777" w:rsidR="009B3D74" w:rsidRPr="009B3D74" w:rsidRDefault="009B3D74" w:rsidP="009B3D74">
      <w:r w:rsidRPr="009B3D74">
        <w:rPr>
          <w:b/>
          <w:bCs/>
        </w:rPr>
        <w:t>Cluster 4 - Delayed Crashes (1.65x average, 85% crash before 2x)</w:t>
      </w:r>
      <w:r w:rsidRPr="009B3D74">
        <w:t>: These patterns show initial promise but consistently fail, making them particularly dangerous without early detection capabilities.</w:t>
      </w:r>
    </w:p>
    <w:p w14:paraId="072F170D" w14:textId="77777777" w:rsidR="009B3D74" w:rsidRPr="009B3D74" w:rsidRDefault="009B3D74" w:rsidP="009B3D74">
      <w:pPr>
        <w:rPr>
          <w:b/>
          <w:bCs/>
        </w:rPr>
      </w:pPr>
      <w:r w:rsidRPr="009B3D74">
        <w:rPr>
          <w:b/>
          <w:bCs/>
        </w:rPr>
        <w:t>Computational Optimizations</w:t>
      </w:r>
    </w:p>
    <w:p w14:paraId="349403BF" w14:textId="77777777" w:rsidR="009B3D74" w:rsidRPr="009B3D74" w:rsidRDefault="009B3D74" w:rsidP="009B3D74">
      <w:r w:rsidRPr="009B3D74">
        <w:t>The increased analytical complexity demanded significant performance enhancements. The CLARA algorithm now processes the full dataset efficiently by intelligently sampling representative subsets. Parallel distance computation leverages multi-core architectures, reducing clustering time by approximately 60%. Strategic caching eliminates redundant DTW calculations, particularly valuable during the iterative optimization process. These optimizations enable real-time analysis capabilities essential for competition scenarios.</w:t>
      </w:r>
    </w:p>
    <w:p w14:paraId="2D608ECE" w14:textId="77777777" w:rsidR="009B3D74" w:rsidRPr="009B3D74" w:rsidRDefault="009B3D74" w:rsidP="009B3D74">
      <w:pPr>
        <w:rPr>
          <w:b/>
          <w:bCs/>
        </w:rPr>
      </w:pPr>
      <w:r w:rsidRPr="009B3D74">
        <w:rPr>
          <w:b/>
          <w:bCs/>
        </w:rPr>
        <w:t>Strategic Implications and Future Direction</w:t>
      </w:r>
    </w:p>
    <w:p w14:paraId="6C533532" w14:textId="77777777" w:rsidR="009B3D74" w:rsidRPr="009B3D74" w:rsidRDefault="009B3D74" w:rsidP="009B3D74">
      <w:r w:rsidRPr="009B3D74">
        <w:t>The multi-scale analysis has revealed profound insights about the game's mechanics that directly inform strategy development. The exponential growth model means that survival time is the primary determinant of profit potential. This creates clear strategic tiers: rounds surviving past 50 ticks enter a profitable regime, those passing 200 ticks offer massive returns, and the rare 500+ tick survivors represent jackpot opportunities.</w:t>
      </w:r>
    </w:p>
    <w:p w14:paraId="4F2CC07D" w14:textId="724545F6" w:rsidR="009B3D74" w:rsidRPr="009B3D74" w:rsidRDefault="009B3D74" w:rsidP="009B3D74">
      <w:r w:rsidRPr="009B3D74">
        <w:lastRenderedPageBreak/>
        <w:t xml:space="preserve">For </w:t>
      </w:r>
      <w:r w:rsidR="00BC51A7">
        <w:t>your</w:t>
      </w:r>
      <w:r w:rsidRPr="009B3D74">
        <w:t xml:space="preserve"> proposed strategies, the analysis provides clear guidance. The flipping strategy (exit at 1.5-2x) maps perfectly to Cluster 2's characteristics, with its low crash rate and consistent achievement of target multipliers. The scalping strategy can exploit the clear momentum signatures in early ticks, particularly the distinction between Cluster 1's explosive growth and Cluster 0's immediate decline. While extreme dip-buying opportunities remain rare in the current dataset, the framework can now detect them through negative momentum followed by recovery patterns.</w:t>
      </w:r>
    </w:p>
    <w:p w14:paraId="02E16909" w14:textId="77777777" w:rsidR="009B3D74" w:rsidRPr="009B3D74" w:rsidRDefault="009B3D74" w:rsidP="009B3D74">
      <w:pPr>
        <w:rPr>
          <w:b/>
          <w:bCs/>
        </w:rPr>
      </w:pPr>
      <w:r w:rsidRPr="009B3D74">
        <w:rPr>
          <w:b/>
          <w:bCs/>
        </w:rPr>
        <w:t>Machine Learning Integration Roadmap</w:t>
      </w:r>
    </w:p>
    <w:p w14:paraId="1C8727C8" w14:textId="77777777" w:rsidR="009B3D74" w:rsidRPr="009B3D74" w:rsidRDefault="009B3D74" w:rsidP="009B3D74">
      <w:r w:rsidRPr="009B3D74">
        <w:t>The clustering results provide ideal training data for sophisticated machine learning models. Moving forward through Milestones 3-5, I will implement gradient boosting frameworks (LightGBM and XGBoost) that excel at capturing the non-linear relationships revealed by our analysis. The models will ingest multi-scale features: raw tick sequences at multiple resolutions, momentum indicators calculated over different windows, volatility metrics that capture pattern stability, and critically, survival milestone indicators (passing 10, 20, 50 tick thresholds).</w:t>
      </w:r>
    </w:p>
    <w:p w14:paraId="080DEF44" w14:textId="77777777" w:rsidR="009B3D74" w:rsidRPr="009B3D74" w:rsidRDefault="009B3D74" w:rsidP="009B3D74">
      <w:r w:rsidRPr="009B3D74">
        <w:t>The training process will use our cluster labels as ground truth, with special emphasis on early detection of high-value patterns (Clusters 1 and 2). The key innovation lies in creating time-aware models that update predictions as more ticks are observed, enabling dynamic strategy adjustment. Cross-validation will ensure robust performance across different game conditions and time periods.</w:t>
      </w:r>
    </w:p>
    <w:p w14:paraId="19A0B263" w14:textId="77777777" w:rsidR="009B3D74" w:rsidRPr="009B3D74" w:rsidRDefault="009B3D74" w:rsidP="009B3D74">
      <w:pPr>
        <w:rPr>
          <w:b/>
          <w:bCs/>
        </w:rPr>
      </w:pPr>
      <w:r w:rsidRPr="009B3D74">
        <w:rPr>
          <w:b/>
          <w:bCs/>
        </w:rPr>
        <w:t>Comprehensive Backtesting Framework</w:t>
      </w:r>
    </w:p>
    <w:p w14:paraId="44E839A9" w14:textId="03A0261F" w:rsidR="009B3D74" w:rsidRPr="009B3D74" w:rsidRDefault="009B3D74" w:rsidP="009B3D74">
      <w:r w:rsidRPr="009B3D74">
        <w:t xml:space="preserve">The backtesting system will simulate real competition conditions with particular attention to the multi-account strategy suggested by </w:t>
      </w:r>
      <w:r w:rsidR="00BC51A7">
        <w:t>yourself</w:t>
      </w:r>
      <w:r w:rsidRPr="009B3D74">
        <w:t>. Each simulated round will trigger cluster-specific strategies: aggressive positions for predicted Cluster 1 patterns, systematic flipping for Cluster 2 predictions, and immediate avoidance for Clusters 0 and 4. Position sizing will follow modified Kelly criterion adjusted for the game's all-or-nothing dynamics and the reliability of cluster predictions.</w:t>
      </w:r>
    </w:p>
    <w:p w14:paraId="1BF8DCFE" w14:textId="77777777" w:rsidR="009B3D74" w:rsidRPr="009B3D74" w:rsidRDefault="009B3D74" w:rsidP="009B3D74">
      <w:r w:rsidRPr="009B3D74">
        <w:t>The simulation will run 100+ parallel bot instances with slight parameter variations to maximize competition ranking probability. Key metrics will include not just profitability but consistency across different game conditions, maximum drawdown during losing streaks, and critically, the probability of achieving top-3 competition rankings given the discovered pattern distributions.</w:t>
      </w:r>
    </w:p>
    <w:p w14:paraId="3542B286" w14:textId="77777777" w:rsidR="009B3D74" w:rsidRPr="009B3D74" w:rsidRDefault="009B3D74" w:rsidP="009B3D74">
      <w:pPr>
        <w:rPr>
          <w:b/>
          <w:bCs/>
        </w:rPr>
      </w:pPr>
      <w:r w:rsidRPr="009B3D74">
        <w:rPr>
          <w:b/>
          <w:bCs/>
        </w:rPr>
        <w:t>Conclusion</w:t>
      </w:r>
    </w:p>
    <w:p w14:paraId="5AC785A3" w14:textId="77777777" w:rsidR="009B3D74" w:rsidRPr="009B3D74" w:rsidRDefault="009B3D74" w:rsidP="009B3D74">
      <w:r w:rsidRPr="009B3D74">
        <w:lastRenderedPageBreak/>
        <w:t>Milestone 2 has fundamentally transformed our understanding of the crash game mechanics. The revelation that pattern length creates distinct behavioral regimes, combined with the exponential growth dynamics, provides a clear framework for strategic development. The enhanced visualization system makes these insights immediately actionable, with volatility bands indicating pattern reliability and exit zones providing clear targets.</w:t>
      </w:r>
    </w:p>
    <w:p w14:paraId="335E9894" w14:textId="77777777" w:rsidR="009B3D74" w:rsidRPr="009B3D74" w:rsidRDefault="009B3D74" w:rsidP="009B3D74">
      <w:r w:rsidRPr="009B3D74">
        <w:t>The optimized 5-cluster solution offers superior pattern separation with each cluster mapping to specific strategic approaches. Most significantly, the discovery of Cluster 2's exceptional characteristics - lowest crash rate with substantial returns - provides a reliable foundation for consistent profitability.</w:t>
      </w:r>
    </w:p>
    <w:p w14:paraId="4F1041DA" w14:textId="77777777" w:rsidR="009B3D74" w:rsidRPr="009B3D74" w:rsidRDefault="009B3D74" w:rsidP="009B3D74">
      <w:r w:rsidRPr="009B3D74">
        <w:t>With sophisticated multi-scale pattern recognition complete and comprehensive visualization tools in place, the stage is set for the crucial next phase: validating early detection capabilities through machine learning. If we can reliably identify cluster membership within the first 20-30 ticks, particularly distinguishing the profitable Clusters 1 and 2 from toxic Clusters 0 and 4, we will have built not just a pattern recognition system but a complete strategic framework for competition dominance. The exponential nature of the game means that every additional tick of early detection translates directly to profit potential - a race we are now equipped to win.</w:t>
      </w:r>
    </w:p>
    <w:p w14:paraId="48EBC226" w14:textId="77777777" w:rsidR="00C26907" w:rsidRDefault="00C26907"/>
    <w:sectPr w:rsidR="00C26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D74"/>
    <w:rsid w:val="00142635"/>
    <w:rsid w:val="004E54B6"/>
    <w:rsid w:val="005413C8"/>
    <w:rsid w:val="00843D4B"/>
    <w:rsid w:val="009B3D74"/>
    <w:rsid w:val="00B83971"/>
    <w:rsid w:val="00BC51A7"/>
    <w:rsid w:val="00C26907"/>
    <w:rsid w:val="00EF2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44F37"/>
  <w15:chartTrackingRefBased/>
  <w15:docId w15:val="{5F2CE379-081E-46F8-A36C-AAB2F51F1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3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3D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3D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3D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3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D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3D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3D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3D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3D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3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D74"/>
    <w:rPr>
      <w:rFonts w:eastAsiaTheme="majorEastAsia" w:cstheme="majorBidi"/>
      <w:color w:val="272727" w:themeColor="text1" w:themeTint="D8"/>
    </w:rPr>
  </w:style>
  <w:style w:type="paragraph" w:styleId="Title">
    <w:name w:val="Title"/>
    <w:basedOn w:val="Normal"/>
    <w:next w:val="Normal"/>
    <w:link w:val="TitleChar"/>
    <w:uiPriority w:val="10"/>
    <w:qFormat/>
    <w:rsid w:val="009B3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D74"/>
    <w:pPr>
      <w:spacing w:before="160"/>
      <w:jc w:val="center"/>
    </w:pPr>
    <w:rPr>
      <w:i/>
      <w:iCs/>
      <w:color w:val="404040" w:themeColor="text1" w:themeTint="BF"/>
    </w:rPr>
  </w:style>
  <w:style w:type="character" w:customStyle="1" w:styleId="QuoteChar">
    <w:name w:val="Quote Char"/>
    <w:basedOn w:val="DefaultParagraphFont"/>
    <w:link w:val="Quote"/>
    <w:uiPriority w:val="29"/>
    <w:rsid w:val="009B3D74"/>
    <w:rPr>
      <w:i/>
      <w:iCs/>
      <w:color w:val="404040" w:themeColor="text1" w:themeTint="BF"/>
    </w:rPr>
  </w:style>
  <w:style w:type="paragraph" w:styleId="ListParagraph">
    <w:name w:val="List Paragraph"/>
    <w:basedOn w:val="Normal"/>
    <w:uiPriority w:val="34"/>
    <w:qFormat/>
    <w:rsid w:val="009B3D74"/>
    <w:pPr>
      <w:ind w:left="720"/>
      <w:contextualSpacing/>
    </w:pPr>
  </w:style>
  <w:style w:type="character" w:styleId="IntenseEmphasis">
    <w:name w:val="Intense Emphasis"/>
    <w:basedOn w:val="DefaultParagraphFont"/>
    <w:uiPriority w:val="21"/>
    <w:qFormat/>
    <w:rsid w:val="009B3D74"/>
    <w:rPr>
      <w:i/>
      <w:iCs/>
      <w:color w:val="0F4761" w:themeColor="accent1" w:themeShade="BF"/>
    </w:rPr>
  </w:style>
  <w:style w:type="paragraph" w:styleId="IntenseQuote">
    <w:name w:val="Intense Quote"/>
    <w:basedOn w:val="Normal"/>
    <w:next w:val="Normal"/>
    <w:link w:val="IntenseQuoteChar"/>
    <w:uiPriority w:val="30"/>
    <w:qFormat/>
    <w:rsid w:val="009B3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3D74"/>
    <w:rPr>
      <w:i/>
      <w:iCs/>
      <w:color w:val="0F4761" w:themeColor="accent1" w:themeShade="BF"/>
    </w:rPr>
  </w:style>
  <w:style w:type="character" w:styleId="IntenseReference">
    <w:name w:val="Intense Reference"/>
    <w:basedOn w:val="DefaultParagraphFont"/>
    <w:uiPriority w:val="32"/>
    <w:qFormat/>
    <w:rsid w:val="009B3D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194372">
      <w:bodyDiv w:val="1"/>
      <w:marLeft w:val="0"/>
      <w:marRight w:val="0"/>
      <w:marTop w:val="0"/>
      <w:marBottom w:val="0"/>
      <w:divBdr>
        <w:top w:val="none" w:sz="0" w:space="0" w:color="auto"/>
        <w:left w:val="none" w:sz="0" w:space="0" w:color="auto"/>
        <w:bottom w:val="none" w:sz="0" w:space="0" w:color="auto"/>
        <w:right w:val="none" w:sz="0" w:space="0" w:color="auto"/>
      </w:divBdr>
    </w:div>
    <w:div w:id="82385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1710</Words>
  <Characters>9747</Characters>
  <Application>Microsoft Office Word</Application>
  <DocSecurity>0</DocSecurity>
  <Lines>81</Lines>
  <Paragraphs>22</Paragraphs>
  <ScaleCrop>false</ScaleCrop>
  <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Singla</dc:creator>
  <cp:keywords/>
  <dc:description/>
  <cp:lastModifiedBy>Kshitij Singla</cp:lastModifiedBy>
  <cp:revision>3</cp:revision>
  <dcterms:created xsi:type="dcterms:W3CDTF">2025-07-04T16:51:00Z</dcterms:created>
  <dcterms:modified xsi:type="dcterms:W3CDTF">2025-07-04T17:38:00Z</dcterms:modified>
</cp:coreProperties>
</file>