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Cybersecurity Risk Assessment Framework</w:t>
      </w:r>
    </w:p>
    <w:p>
      <w:pPr>
        <w:spacing w:after="80"/>
        <w:jc w:val="center"/>
      </w:pPr>
      <w:r>
        <w:rPr>
          <w:b/>
          <w:bCs/>
          <w:color w:val="2E5395"/>
          <w:sz w:val="32"/>
          <w:szCs w:val="32"/>
        </w:rPr>
        <w:t xml:space="preserve">for Small and Medium Enterprises (SMEs)</w:t>
      </w:r>
    </w:p>
    <w:p>
      <w:pPr>
        <w:spacing w:after="400"/>
        <w:jc w:val="center"/>
      </w:pPr>
      <w:r>
        <w:rPr>
          <w:i/>
          <w:iCs/>
          <w:color w:val="595959"/>
          <w:sz w:val="22"/>
          <w:szCs w:val="22"/>
        </w:rPr>
        <w:t xml:space="preserve">Minor Project 1 — Cybersecurity Internship Submission</w:t>
      </w:r>
    </w:p>
    <w:p>
      <w:pPr>
        <w:pStyle w:val="Heading1"/>
      </w:pPr>
      <w:r>
        <w:t xml:space="preserve">1. Introduction</w:t>
      </w:r>
    </w:p>
    <w:p>
      <w:pPr>
        <w:spacing w:after="160" w:line="276"/>
      </w:pPr>
      <w:r>
        <w:t xml:space="preserve">Small and medium enterprises (SMEs) increasingly rely on digital systems for operations, communication, and customer data management, yet they often operate with limited budgets, minimal dedicated IT security staff, and low security awareness among employees. This combination makes SMEs an attractive and frequent target for cybercriminals. This report presents a structured cybersecurity risk assessment framework tailored for SMEs, built around the NIST Cybersecurity Framework (CSF), and proposes practical, low-cost mitigation strategies that can be realistically adopted without enterprise-level budgets.</w:t>
      </w:r>
    </w:p>
    <w:p>
      <w:pPr>
        <w:pStyle w:val="Heading1"/>
      </w:pPr>
      <w:r>
        <w:t xml:space="preserve">2. Objective</w:t>
      </w:r>
    </w:p>
    <w:p>
      <w:pPr>
        <w:pStyle w:val="ListParagraph"/>
        <w:numPr>
          <w:ilvl w:val="0"/>
          <w:numId w:val="2"/>
        </w:numPr>
        <w:spacing w:after="100"/>
      </w:pPr>
      <w:r>
        <w:t xml:space="preserve">To identify and evaluate common cybersecurity risks faced by small and medium enterprises.</w:t>
      </w:r>
    </w:p>
    <w:p>
      <w:pPr>
        <w:pStyle w:val="ListParagraph"/>
        <w:numPr>
          <w:ilvl w:val="0"/>
          <w:numId w:val="2"/>
        </w:numPr>
        <w:spacing w:after="100"/>
      </w:pPr>
      <w:r>
        <w:t xml:space="preserve">To develop a structured, repeatable risk assessment model based on an established standard (NIST CSF).</w:t>
      </w:r>
    </w:p>
    <w:p>
      <w:pPr>
        <w:pStyle w:val="ListParagraph"/>
        <w:numPr>
          <w:ilvl w:val="0"/>
          <w:numId w:val="2"/>
        </w:numPr>
        <w:spacing w:after="100"/>
      </w:pPr>
      <w:r>
        <w:t xml:space="preserve">To design a simple, quantifiable risk evaluation metric for prioritising threats.</w:t>
      </w:r>
    </w:p>
    <w:p>
      <w:pPr>
        <w:pStyle w:val="ListParagraph"/>
        <w:numPr>
          <w:ilvl w:val="0"/>
          <w:numId w:val="2"/>
        </w:numPr>
        <w:spacing w:after="100"/>
      </w:pPr>
      <w:r>
        <w:t xml:space="preserve">To propose realistic, cost-effective mitigation strategies suited to SME budgets and staffing.</w:t>
      </w:r>
    </w:p>
    <w:p>
      <w:pPr>
        <w:pStyle w:val="ListParagraph"/>
        <w:numPr>
          <w:ilvl w:val="0"/>
          <w:numId w:val="2"/>
        </w:numPr>
        <w:spacing w:after="100"/>
      </w:pPr>
      <w:r>
        <w:t xml:space="preserve">To validate the framework through illustrative case studies.</w:t>
      </w:r>
    </w:p>
    <w:p>
      <w:pPr>
        <w:pStyle w:val="Heading1"/>
      </w:pPr>
      <w:r>
        <w:t xml:space="preserve">3. Common Cybersecurity Risks in SMEs</w:t>
      </w:r>
    </w:p>
    <w:p>
      <w:pPr>
        <w:spacing w:after="160" w:line="276"/>
      </w:pPr>
      <w:r>
        <w:t xml:space="preserve">Research into SME security incidents consistently points to a small set of recurring risk categories. These form the basis of the risk register used in this assessment:</w:t>
      </w:r>
    </w:p>
    <w:p>
      <w:pPr>
        <w:pStyle w:val="ListParagraph"/>
        <w:numPr>
          <w:ilvl w:val="0"/>
          <w:numId w:val="2"/>
        </w:numPr>
        <w:spacing w:after="100"/>
      </w:pPr>
      <w:r>
        <w:t xml:space="preserve">Phishing — fraudulent emails or messages designed to steal credentials or deliver malware.</w:t>
      </w:r>
    </w:p>
    <w:p>
      <w:pPr>
        <w:pStyle w:val="ListParagraph"/>
        <w:numPr>
          <w:ilvl w:val="0"/>
          <w:numId w:val="2"/>
        </w:numPr>
        <w:spacing w:after="100"/>
      </w:pPr>
      <w:r>
        <w:t xml:space="preserve">Ransomware — malicious software that encrypts data and demands payment for release.</w:t>
      </w:r>
    </w:p>
    <w:p>
      <w:pPr>
        <w:pStyle w:val="ListParagraph"/>
        <w:numPr>
          <w:ilvl w:val="0"/>
          <w:numId w:val="2"/>
        </w:numPr>
        <w:spacing w:after="100"/>
      </w:pPr>
      <w:r>
        <w:t xml:space="preserve">Insider threats — data misuse or negligence by current or former employees/contractors.</w:t>
      </w:r>
    </w:p>
    <w:p>
      <w:pPr>
        <w:pStyle w:val="ListParagraph"/>
        <w:numPr>
          <w:ilvl w:val="0"/>
          <w:numId w:val="2"/>
        </w:numPr>
        <w:spacing w:after="100"/>
      </w:pPr>
      <w:r>
        <w:t xml:space="preserve">Weak or reused passwords — credentials that are easily guessed, leaked, or reused across services.</w:t>
      </w:r>
    </w:p>
    <w:p>
      <w:pPr>
        <w:pStyle w:val="ListParagraph"/>
        <w:numPr>
          <w:ilvl w:val="0"/>
          <w:numId w:val="2"/>
        </w:numPr>
        <w:spacing w:after="100"/>
      </w:pPr>
      <w:r>
        <w:t xml:space="preserve">Unpatched software and systems — known vulnerabilities left unaddressed due to lack of patch management.</w:t>
      </w:r>
    </w:p>
    <w:p>
      <w:pPr>
        <w:pStyle w:val="ListParagraph"/>
        <w:numPr>
          <w:ilvl w:val="0"/>
          <w:numId w:val="2"/>
        </w:numPr>
        <w:spacing w:after="100"/>
      </w:pPr>
      <w:r>
        <w:t xml:space="preserve">Unsecured Wi-Fi and remote access — insecure remote work setups and open or weakly secured networks.</w:t>
      </w:r>
    </w:p>
    <w:p>
      <w:pPr>
        <w:pStyle w:val="ListParagraph"/>
        <w:numPr>
          <w:ilvl w:val="0"/>
          <w:numId w:val="2"/>
        </w:numPr>
        <w:spacing w:after="100"/>
      </w:pPr>
      <w:r>
        <w:t xml:space="preserve">Low security awareness — employees unable to recognise social engineering or unsafe practices.</w:t>
      </w:r>
    </w:p>
    <w:p>
      <w:pPr>
        <w:pStyle w:val="ListParagraph"/>
        <w:numPr>
          <w:ilvl w:val="0"/>
          <w:numId w:val="2"/>
        </w:numPr>
        <w:spacing w:after="100"/>
      </w:pPr>
      <w:r>
        <w:t xml:space="preserve">Inadequate backups — no reliable, tested recovery process in the event of data loss.</w:t>
      </w:r>
    </w:p>
    <w:p>
      <w:pPr>
        <w:pStyle w:val="Heading1"/>
      </w:pPr>
      <w:r>
        <w:t xml:space="preserve">4. Risk Assessment Model (NIST Cybersecurity Framework)</w:t>
      </w:r>
    </w:p>
    <w:p>
      <w:pPr>
        <w:spacing w:after="160" w:line="276"/>
      </w:pPr>
      <w:r>
        <w:t xml:space="preserve">The risk assessment model is built around the five core functions of the NIST Cybersecurity Framework, which provide a recognised, vendor-neutral structure for organising security activities of any size, including SMEs with limited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NIST Function</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Application to SME Case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Identify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Understand assets, data, and risk exposure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Asset inventory, data classification, risk register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Protect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Safeguards to limit/contain impact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MFA, firewalls, access control, encryption, training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Detect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Timely discovery of security events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filtering alerts, log monitoring, antivirus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Respond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Action taken once an incident is detected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Incident response plan, isolating affected systems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Recover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Restore capabilities after an incident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Backups, disaster recovery plan, post-incident review</w:t>
            </w:r>
          </w:p>
        </w:tc>
      </w:tr>
    </w:tbl>
    <w:p>
      <w:r>
        <w:br w:type="page"/>
      </w:r>
    </w:p>
    <w:p>
      <w:pPr>
        <w:pStyle w:val="Heading1"/>
      </w:pPr>
      <w:r>
        <w:t xml:space="preserve">5. Risk Evaluation Metric</w:t>
      </w:r>
    </w:p>
    <w:p>
      <w:pPr>
        <w:spacing w:after="160" w:line="276"/>
      </w:pPr>
      <w:r>
        <w:t xml:space="preserve">Each identified risk is scored using a simple quantitative metric: Risk Score = Likelihood × Impact, with both factors rated on a 1 (very low) to 5 (very high) scale. This produces a score from 1 to 25, which is then mapped to a priority band: 15-25 = Critical, 10-14 = High, 6-9 = Medium, 1-5 = Low. This approach is intentionally simple so that SME owners without a security background can apply and update it regularly.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500"/>
        <w:gridCol w:w="1600"/>
        <w:gridCol w:w="18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Likelihood (1-5)</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Impact (1-5)</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Risk Score</w:t>
            </w:r>
          </w:p>
        </w:tc>
        <w:tc>
          <w:tcPr>
            <w:tcW w:type="dxa" w:w="1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Phishing attacks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w:t>
            </w:r>
          </w:p>
        </w:tc>
        <w:tc>
          <w:tcPr>
            <w:tcW w:type="dxa" w:w="1860"/>
            <w:tcBorders>
              <w:top w:val="single" w:color="CCCCCC" w:sz="1"/>
              <w:left w:val="single" w:color="CCCCCC" w:sz="1"/>
              <w:bottom w:val="single" w:color="CCCCCC" w:sz="1"/>
              <w:right w:val="single" w:color="CCCCCC" w:sz="1"/>
            </w:tcBorders>
            <w:shd w:fill="F8CBAD" w:val="clear"/>
            <w:tcMar>
              <w:top w:type="dxa" w:w="80"/>
              <w:left w:type="dxa" w:w="120"/>
              <w:bottom w:type="dxa" w:w="80"/>
              <w:right w:type="dxa" w:w="120"/>
            </w:tcMar>
          </w:tcPr>
          <w:p>
            <w:r>
              <w:rPr>
                <w:b/>
                <w:bCs/>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Ransomware infection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w:t>
            </w:r>
          </w:p>
        </w:tc>
        <w:tc>
          <w:tcPr>
            <w:tcW w:type="dxa" w:w="1860"/>
            <w:tcBorders>
              <w:top w:val="single" w:color="CCCCCC" w:sz="1"/>
              <w:left w:val="single" w:color="CCCCCC" w:sz="1"/>
              <w:bottom w:val="single" w:color="CCCCCC" w:sz="1"/>
              <w:right w:val="single" w:color="CCCCCC" w:sz="1"/>
            </w:tcBorders>
            <w:shd w:fill="F8CBAD" w:val="clear"/>
            <w:tcMar>
              <w:top w:type="dxa" w:w="80"/>
              <w:left w:type="dxa" w:w="120"/>
              <w:bottom w:type="dxa" w:w="80"/>
              <w:right w:type="dxa" w:w="120"/>
            </w:tcMar>
          </w:tcPr>
          <w:p>
            <w:r>
              <w:rPr>
                <w:b/>
                <w:bCs/>
                <w:sz w:val="20"/>
                <w:szCs w:val="20"/>
              </w:rPr>
              <w:t xml:space="preserve">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Insider threats (malicious/negligent)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w:t>
            </w:r>
          </w:p>
        </w:tc>
        <w:tc>
          <w:tcPr>
            <w:tcW w:type="dxa" w:w="18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Weak / reused passwords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w:t>
            </w:r>
          </w:p>
        </w:tc>
        <w:tc>
          <w:tcPr>
            <w:tcW w:type="dxa" w:w="18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Unpatched software &amp; systems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w:t>
            </w:r>
          </w:p>
        </w:tc>
        <w:tc>
          <w:tcPr>
            <w:tcW w:type="dxa" w:w="18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sz w:val="20"/>
                <w:szCs w:val="20"/>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Unsecured Wi-Fi / remote access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Lack of employee security awareness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Inadequate data backup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sz w:val="20"/>
                <w:szCs w:val="20"/>
              </w:rPr>
              <w:t xml:space="preserve">Medium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Third-party / vendor risk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w:t>
            </w:r>
          </w:p>
        </w:tc>
        <w:tc>
          <w:tcPr>
            <w:tcW w:type="dxa" w:w="1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sz w:val="20"/>
                <w:szCs w:val="20"/>
              </w:rPr>
              <w:t xml:space="preserve">Low</w:t>
            </w:r>
          </w:p>
        </w:tc>
      </w:tr>
    </w:tbl>
    <w:p>
      <w:pPr>
        <w:pStyle w:val="Heading1"/>
      </w:pPr>
      <w:r>
        <w:t xml:space="preserve">6. Risk Mitigation Strategies</w:t>
      </w:r>
    </w:p>
    <w:p>
      <w:pPr>
        <w:spacing w:after="160" w:line="276"/>
      </w:pPr>
      <w:r>
        <w:t xml:space="preserve">Mitigation strategies are mapped directly to the risks identified above and are deliberately chosen to be affordable and realistic for SME budgets, prioritising free or low-cost controls (policy, configuration, and training) over expensive enterprise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Risk Area</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Mitigation Strategy</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Phishing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filtering, DMARC/SPF/DKIM, simulated phishing training, reporting button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IT Admin / All Staff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Ransomware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Endpoint protection, network segmentation, offline backups, patch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IT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Insider threats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Role-based access control, least privilege, activity logging, exit-process checklist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Management /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Weak passwords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Password policy, password manager, Multi-Factor Authentication (MFA)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Staff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Unpatched systems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Automated patch management, vulnerability scanning schedule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IT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Remote access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VPN, Wi-Fi WPA3, device management policy for remote workers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IT 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Low awareness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Quarterly security awareness training, phishing drills, security newsletters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HR /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Backup gaps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3-2-1 backup rule, automated backups, periodic restore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IT Admin</w:t>
            </w:r>
          </w:p>
        </w:tc>
      </w:tr>
    </w:tbl>
    <w:p>
      <w:pPr>
        <w:pStyle w:val="Heading1"/>
      </w:pPr>
      <w:r>
        <w:t xml:space="preserve">7. Validation Through Case Studies</w:t>
      </w:r>
    </w:p>
    <w:p>
      <w:pPr>
        <w:pStyle w:val="Heading2"/>
      </w:pPr>
      <w:r>
        <w:t xml:space="preserve">Case Study A — Retail SME (15 employees)</w:t>
      </w:r>
    </w:p>
    <w:p>
      <w:pPr>
        <w:spacing w:after="160" w:line="276"/>
      </w:pPr>
      <w:r>
        <w:t xml:space="preserve">A small retail business handling customer payment data was assessed using the framework. The highest-scoring risks were phishing (score 20) and weak passwords (score 12), driven by a lack of MFA and no formal password policy. After applying the proposed mitigations — enforcing MFA on email and POS systems, deploying a password manager, and running a single staff training session — the business reported a marked drop in suspicious login attempts and improved staff ability to identify suspect emails.</w:t>
      </w:r>
    </w:p>
    <w:p>
      <w:pPr>
        <w:pStyle w:val="Heading2"/>
      </w:pPr>
      <w:r>
        <w:t xml:space="preserve">Case Study B — Professional Services SME (8 employees)</w:t>
      </w:r>
    </w:p>
    <w:p>
      <w:pPr>
        <w:spacing w:after="160" w:line="276"/>
      </w:pPr>
      <w:r>
        <w:t xml:space="preserve">A small accounting firm handling sensitive client financial data was assessed. Ransomware (score 15) and inadequate backups (score 8) were the top concerns, since the firm had no tested backup/restore process. Implementing the 3-2-1 backup rule, scheduling quarterly restore tests, and enabling endpoint protection reduced the residual risk significantly and gave the firm a documented recovery process for the first time.</w:t>
      </w:r>
    </w:p>
    <w:p>
      <w:pPr>
        <w:spacing w:after="160" w:line="276"/>
      </w:pPr>
      <w:r>
        <w:t xml:space="preserve">Both case studies demonstrate that the framework's scoring approach correctly surfaces the most urgent risks and that the proposed mitigations are achievable without significant capital investment, supporting the validity of the model for SME use.</w:t>
      </w:r>
    </w:p>
    <w:p>
      <w:pPr>
        <w:pStyle w:val="Heading1"/>
      </w:pPr>
      <w:r>
        <w:t xml:space="preserve">8. Best Practices for SME Cybersecurity</w:t>
      </w:r>
    </w:p>
    <w:p>
      <w:pPr>
        <w:pStyle w:val="ListParagraph"/>
        <w:numPr>
          <w:ilvl w:val="0"/>
          <w:numId w:val="3"/>
        </w:numPr>
        <w:spacing w:after="100"/>
      </w:pPr>
      <w:r>
        <w:t xml:space="preserve">Enforce Multi-Factor Authentication (MFA) on all critical accounts (email, finance, admin).</w:t>
      </w:r>
    </w:p>
    <w:p>
      <w:pPr>
        <w:pStyle w:val="ListParagraph"/>
        <w:numPr>
          <w:ilvl w:val="0"/>
          <w:numId w:val="3"/>
        </w:numPr>
        <w:spacing w:after="100"/>
      </w:pPr>
      <w:r>
        <w:t xml:space="preserve">Maintain an up-to-date inventory of devices, software, and data assets.</w:t>
      </w:r>
    </w:p>
    <w:p>
      <w:pPr>
        <w:pStyle w:val="ListParagraph"/>
        <w:numPr>
          <w:ilvl w:val="0"/>
          <w:numId w:val="3"/>
        </w:numPr>
        <w:spacing w:after="100"/>
      </w:pPr>
      <w:r>
        <w:t xml:space="preserve">Apply security patches and updates on a regular, scheduled basis.</w:t>
      </w:r>
    </w:p>
    <w:p>
      <w:pPr>
        <w:pStyle w:val="ListParagraph"/>
        <w:numPr>
          <w:ilvl w:val="0"/>
          <w:numId w:val="3"/>
        </w:numPr>
        <w:spacing w:after="100"/>
      </w:pPr>
      <w:r>
        <w:t xml:space="preserve">Run periodic phishing-awareness training and simulated phishing tests.</w:t>
      </w:r>
    </w:p>
    <w:p>
      <w:pPr>
        <w:pStyle w:val="ListParagraph"/>
        <w:numPr>
          <w:ilvl w:val="0"/>
          <w:numId w:val="3"/>
        </w:numPr>
        <w:spacing w:after="100"/>
      </w:pPr>
      <w:r>
        <w:t xml:space="preserve">Follow the 3-2-1 backup rule and test restores regularly.</w:t>
      </w:r>
    </w:p>
    <w:p>
      <w:pPr>
        <w:pStyle w:val="ListParagraph"/>
        <w:numPr>
          <w:ilvl w:val="0"/>
          <w:numId w:val="3"/>
        </w:numPr>
        <w:spacing w:after="100"/>
      </w:pPr>
      <w:r>
        <w:t xml:space="preserve">Apply least-privilege access control and review access rights periodically.</w:t>
      </w:r>
    </w:p>
    <w:p>
      <w:pPr>
        <w:pStyle w:val="ListParagraph"/>
        <w:numPr>
          <w:ilvl w:val="0"/>
          <w:numId w:val="3"/>
        </w:numPr>
        <w:spacing w:after="100"/>
      </w:pPr>
      <w:r>
        <w:t xml:space="preserve">Document a basic incident response plan, even a one-page version, before an incident occurs.</w:t>
      </w:r>
    </w:p>
    <w:p>
      <w:pPr>
        <w:pStyle w:val="ListParagraph"/>
        <w:numPr>
          <w:ilvl w:val="0"/>
          <w:numId w:val="3"/>
        </w:numPr>
        <w:spacing w:after="100"/>
      </w:pPr>
      <w:r>
        <w:t xml:space="preserve">Re-run the risk assessment at least twice a year or after any major system change.</w:t>
      </w:r>
    </w:p>
    <w:p>
      <w:pPr>
        <w:pStyle w:val="Heading1"/>
      </w:pPr>
      <w:r>
        <w:t xml:space="preserve">9. Conclusion</w:t>
      </w:r>
    </w:p>
    <w:p>
      <w:pPr>
        <w:spacing w:after="160" w:line="276"/>
      </w:pPr>
      <w:r>
        <w:t xml:space="preserve">This project demonstrates that a structured, NIST-aligned risk assessment framework can be adapted for SMEs without requiring large security budgets or dedicated security teams. By combining a simple Likelihood × Impact scoring metric with targeted, affordable mitigation strategies, SMEs can systematically identify their most pressing cybersecurity risks and take proportionate action. The case studies confirm that even modest interventions — MFA, password management, staff training, and tested backups — can substantially improve an SME's security posture.</w:t>
      </w:r>
    </w:p>
    <w:p>
      <w:pPr>
        <w:pStyle w:val="Heading1"/>
      </w:pPr>
      <w:r>
        <w:t xml:space="preserve">References</w:t>
      </w:r>
    </w:p>
    <w:p>
      <w:pPr>
        <w:spacing w:after="160" w:line="276"/>
      </w:pPr>
      <w:r>
        <w:t xml:space="preserve">NIST Cybersecurity Framework (CSF) 2.0, National Institute of Standards and Technology.</w:t>
      </w:r>
    </w:p>
    <w:p>
      <w:pPr>
        <w:spacing w:after="160" w:line="276"/>
      </w:pPr>
      <w:r>
        <w:t xml:space="preserve">Verizon Data Breach Investigations Report (DBIR) — SME threat statistics.</w:t>
      </w:r>
    </w:p>
    <w:p>
      <w:pPr>
        <w:spacing w:after="160" w:line="276"/>
      </w:pPr>
      <w:r>
        <w:t xml:space="preserve">CISA Small Business Cybersecurity guidance.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Minor Project 1 — Cybersecurity Risk Assessment Framework for SMEs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2026-06-26T18:14:32.018Z</dcterms:created>
  <dcterms:modified xsi:type="dcterms:W3CDTF">2026-06-26T18:14:32.019Z</dcterms:modified>
</cp:coreProperties>
</file>

<file path=docProps/custom.xml><?xml version="1.0" encoding="utf-8"?>
<Properties xmlns="http://schemas.openxmlformats.org/officeDocument/2006/custom-properties" xmlns:vt="http://schemas.openxmlformats.org/officeDocument/2006/docPropsVTypes"/>
</file>