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sz w:val="36"/>
          <w:szCs w:val="36"/>
        </w:rPr>
        <w:t xml:space="preserve">SCORE — Individual Attribution Infrastructure</w:t>
      </w:r>
    </w:p>
    <w:p>
      <w:pPr>
        <w:pBdr>
          <w:bottom w:val="single" w:color="5C7A3A" w:sz="6" w:space="8"/>
        </w:pBdr>
        <w:spacing w:after="120"/>
      </w:pPr>
      <w:r>
        <w:rPr>
          <w:color w:val="6B6157"/>
          <w:sz w:val="20"/>
          <w:szCs w:val="20"/>
        </w:rPr>
        <w:t xml:space="preserve">Background Note (Summary) · Kenya Coffee Value Chain · Nandi County Pilot</w:t>
      </w:r>
    </w:p>
    <w:p>
      <w:pPr>
        <w:pStyle w:val="Heading2"/>
      </w:pPr>
      <w:r>
        <w:t xml:space="preserve">What SCORE is</w:t>
      </w:r>
    </w:p>
    <w:p>
      <w:pPr>
        <w:spacing w:after="160"/>
      </w:pPr>
      <w:r>
        <w:t xml:space="preserve">SCORE is not a coffee farmer income programme, a certification scheme, or an NGO. It is an individual attribution layer: a verifiable, portable record of which specific farmer's delivery, quality, and knowledge generated which specific share of value. It sits beneath existing schemes (Fairtrade, UTZ, EUDR compliance infrastructure) rather than competing with them — the same relationship M-PESA has to banks: it didn't replace them, it made the system reach people the existing infrastructure couldn't.</w:t>
      </w:r>
    </w:p>
    <w:p>
      <w:pPr>
        <w:pStyle w:val="Heading2"/>
      </w:pPr>
      <w:r>
        <w:t xml:space="preserve">The problem</w:t>
      </w:r>
    </w:p>
    <w:p>
      <w:pPr>
        <w:spacing w:after="160"/>
      </w:pPr>
      <w:r>
        <w:t xml:space="preserve">Kenya's Coffee Act 2025 capped cooperative deductions at 10% and introduced a Direct Settlement System routing NCE auction proceeds straight to cooperative accounts. Cooperative-level receipt of auction price improved from roughly 20% to roughly 80%. That's real progress — but it stops at the cooperative. Three gaps remain at the individual level: no independently verifiable delivery record follows the farmer; no external party can audit how a cooperative turns an NCE lot price into an individual M-PESA payment; and a farmer whose technique improves grade has no way to record or claim credit for that contribution.</w:t>
      </w:r>
    </w:p>
    <w:p>
      <w:pPr>
        <w:pStyle w:val="Heading2"/>
      </w:pPr>
      <w:r>
        <w:t xml:space="preserve">What SCORE does</w:t>
      </w:r>
    </w:p>
    <w:p>
      <w:pPr>
        <w:spacing w:after="160"/>
      </w:pPr>
      <w:r>
        <w:t xml:space="preserve">Each delivery gets a SHA-256 fingerprinted, RFC 3161 timestamped record, linked to a revenue-sharing agreement with a pre-defined, independently verified trigger — the NCE auction price, published weekly, controlled by no party to the agreement. When price crosses the floor, the entitlement calculates and the farmer is notified. The record travels with the farmer's Contributor ID, not their cooperative membership. Three analogies: GitHub (portable contribution record), a Land Registry (records entitlement, doesn't buy or sell), a Credit Bureau (records income history, doesn't lend).</w:t>
      </w:r>
    </w:p>
    <w:p>
      <w:pPr>
        <w:pStyle w:val="Heading2"/>
      </w:pPr>
      <w:r>
        <w:t xml:space="preserve">Why Nandi County, why now</w:t>
      </w:r>
    </w:p>
    <w:p>
      <w:pPr>
        <w:spacing w:after="160"/>
      </w:pPr>
      <w:r>
        <w:t xml:space="preserve">The NCE trigger is publicly published, independently verified by competitive auction, and controlled by no party to the agreement — a rare and specific condition. Nandi County already has relevant infrastructure in motion: the Nandi Coffee Cooperative Union has grown from 18 to over 100 member societies; Ecom Kenya has run farm-level traceability since 2006; the County government is building wet-mill digital traceability. Phase 1 covers 500 farmers across five cooperatives, with a natural control group of roughly 90 more cooperatives in the wider union — evidence against a counterfactual, not just anecdotes.</w:t>
      </w:r>
    </w:p>
    <w:p>
      <w:pPr>
        <w:pStyle w:val="Heading2"/>
      </w:pPr>
      <w:r>
        <w:t xml:space="preserve">What proves the trigger fired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E8EEDF" w:val="clear"/>
            <w:tcMar>
              <w:top w:type="dxa" w:w="80"/>
              <w:left w:type="dxa" w:w="120"/>
              <w:bottom w:type="dxa" w:w="80"/>
              <w:right w:type="dxa" w:w="120"/>
            </w:tcMar>
          </w:tcPr>
          <w:p>
            <w:pPr>
              <w:spacing w:after="0"/>
            </w:pPr>
            <w:r>
              <w:rPr>
                <w:b/>
                <w:bCs/>
                <w:sz w:val="20"/>
                <w:szCs w:val="20"/>
              </w:rPr>
              <w:t xml:space="preserve">Trigger</w:t>
            </w:r>
          </w:p>
        </w:tc>
        <w:tc>
          <w:tcPr>
            <w:tcW w:type="dxa" w:w="1600"/>
            <w:tcBorders>
              <w:top w:val="single" w:color="CCCCCC" w:sz="1"/>
              <w:left w:val="single" w:color="CCCCCC" w:sz="1"/>
              <w:bottom w:val="single" w:color="CCCCCC" w:sz="1"/>
              <w:right w:val="single" w:color="CCCCCC" w:sz="1"/>
            </w:tcBorders>
            <w:shd w:fill="E8EEDF" w:val="clear"/>
            <w:tcMar>
              <w:top w:type="dxa" w:w="80"/>
              <w:left w:type="dxa" w:w="120"/>
              <w:bottom w:type="dxa" w:w="80"/>
              <w:right w:type="dxa" w:w="120"/>
            </w:tcMar>
          </w:tcPr>
          <w:p>
            <w:pPr>
              <w:spacing w:after="0"/>
            </w:pPr>
            <w:r>
              <w:rPr>
                <w:b/>
                <w:bCs/>
                <w:sz w:val="20"/>
                <w:szCs w:val="20"/>
              </w:rPr>
              <w:t xml:space="preserve">Confidence</w:t>
            </w:r>
          </w:p>
        </w:tc>
        <w:tc>
          <w:tcPr>
            <w:tcW w:type="dxa" w:w="4560"/>
            <w:tcBorders>
              <w:top w:val="single" w:color="CCCCCC" w:sz="1"/>
              <w:left w:val="single" w:color="CCCCCC" w:sz="1"/>
              <w:bottom w:val="single" w:color="CCCCCC" w:sz="1"/>
              <w:right w:val="single" w:color="CCCCCC" w:sz="1"/>
            </w:tcBorders>
            <w:shd w:fill="E8EEDF" w:val="clear"/>
            <w:tcMar>
              <w:top w:type="dxa" w:w="80"/>
              <w:left w:type="dxa" w:w="120"/>
              <w:bottom w:type="dxa" w:w="80"/>
              <w:right w:type="dxa" w:w="120"/>
            </w:tcMar>
          </w:tcPr>
          <w:p>
            <w:pPr>
              <w:spacing w:after="0"/>
            </w:pPr>
            <w:r>
              <w:rPr>
                <w:b/>
                <w:bCs/>
                <w:sz w:val="20"/>
                <w:szCs w:val="20"/>
              </w:rPr>
              <w:t xml:space="preserve">Basis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NCE auction price above floor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Very strong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Public, published weekly, independently verifiable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CRE grade certificate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Strong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Official third-party lot register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Delivery logged at wet mill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Strong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QR scan, SHA-256 + RFC 3161, tamper-evident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M-PESA settlement confirmed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Very strong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Independent payment network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Ripe cherry quality assessment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Moderate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Currently the weakest link; pilot adds a second (CRE) attestor before Season 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Informal technique adoption without a licence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Disclosed gap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20"/>
                <w:szCs w:val="20"/>
              </w:rPr>
              <w:t xml:space="preserve">Not automatable; requires institutional design, not just technology</w:t>
            </w:r>
          </w:p>
        </w:tc>
      </w:tr>
    </w:tbl>
    <w:p>
      <w:pPr>
        <w:spacing w:after="120"/>
      </w:pPr>
    </w:p>
    <w:p>
      <w:pPr>
        <w:pStyle w:val="Heading2"/>
      </w:pPr>
      <w:r>
        <w:t xml:space="preserve">Why this is relevant to IFC</w:t>
      </w:r>
    </w:p>
    <w:p>
      <w:pPr>
        <w:spacing w:after="160"/>
      </w:pPr>
      <w:r>
        <w:t xml:space="preserve">IFC's own 2019 Kenya Country Private Sector Diagnostic named individual-level knowledge appropriation as a systemic gap (only 3.3% of Kenyan firms hold any IP protection) without producing an instrument to address it. IFC's 2026 “Cracking the Credit Code” describes exactly the kind of verifiable individual borrower record SCORE generates. The EU Deforestation Regulation is already driving Ecom, Volcafe, and Nestlé to build farm-plot traceability — SCORE adds the individual ownership layer on top of infrastructure being built anyway, and produces ESRS-relevant individual-level supply chain data.</w:t>
      </w:r>
    </w:p>
    <w:p>
      <w:pPr>
        <w:pStyle w:val="Heading2"/>
      </w:pPr>
      <w:r>
        <w:t xml:space="preserve">The ask</w:t>
      </w:r>
    </w:p>
    <w:p>
      <w:pPr>
        <w:spacing w:after="160"/>
      </w:pPr>
      <w:r>
        <w:t xml:space="preserve">Not a funding request — two conversations and two introductions.</w:t>
      </w:r>
    </w:p>
    <w:p>
      <w:pPr>
        <w:spacing w:after="100"/>
        <w:ind w:left="360"/>
      </w:pPr>
      <w:r>
        <w:t xml:space="preserve">1. Evidence standards: which trigger evidence types would IFC consider audit-grade for lending purposes?</w:t>
      </w:r>
    </w:p>
    <w:p>
      <w:pPr>
        <w:spacing w:after="100"/>
        <w:ind w:left="360"/>
      </w:pPr>
      <w:r>
        <w:t xml:space="preserve">2. Enforcement mechanisms: what's worked in comparable East African cooperative finance deployments — bylaw amendment, financing conditions, or another route?</w:t>
      </w:r>
    </w:p>
    <w:p>
      <w:pPr>
        <w:spacing w:after="100"/>
        <w:ind w:left="360"/>
      </w:pPr>
      <w:r>
        <w:t xml:space="preserve">3. Introduction to Ecom Kenya's traceability team (IFC's partner since 2006).</w:t>
      </w:r>
    </w:p>
    <w:p>
      <w:pPr>
        <w:spacing w:after="100"/>
        <w:ind w:left="360"/>
      </w:pPr>
      <w:r>
        <w:t xml:space="preserve">4. Introduction to an agricultural lending team at KCB or Equity Bank, to pre-agree what a Contributor Passport record needs to look like before Season 1.</w:t>
      </w:r>
    </w:p>
    <w:p>
      <w:pPr>
        <w:pBdr>
          <w:top w:val="single" w:color="5C7A3A" w:sz="6" w:space="8"/>
        </w:pBdr>
        <w:spacing w:before="400"/>
        <w:jc w:val="center"/>
      </w:pPr>
      <w:r>
        <w:rPr>
          <w:color w:val="6B6157"/>
          <w:sz w:val="18"/>
          <w:szCs w:val="18"/>
        </w:rPr>
        <w:t xml:space="preserve">SCORE · Smart Contribution, Revenue and Governance Engine · hello@smarterfrontiers.com · usescore.xyz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6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280"/>
      <w:outlineLvl w:val="1"/>
    </w:pPr>
    <w:rPr>
      <w:rFonts w:ascii="Georgia" w:cs="Georgia" w:eastAsia="Georgia" w:hAnsi="Georgia"/>
      <w:b/>
      <w:bCs/>
      <w:color w:val="3F562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2026-08-07T01:53:43.603Z</dcterms:created>
  <dcterms:modified xsi:type="dcterms:W3CDTF">2026-08-07T01:53:43.604Z</dcterms:modified>
</cp:coreProperties>
</file>

<file path=docProps/custom.xml><?xml version="1.0" encoding="utf-8"?>
<Properties xmlns="http://schemas.openxmlformats.org/officeDocument/2006/custom-properties" xmlns:vt="http://schemas.openxmlformats.org/officeDocument/2006/docPropsVTypes"/>
</file>