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($140k-$220k, 0.5% to 2%) at Resonate AI</w:t>
      </w:r>
    </w:p>
    <w:p>
      <w:pPr>
        <w:spacing w:after="240"/>
      </w:pPr>
      <w:r>
        <w:t>* Base $140k-$220k, 0.5% to 2%</w:t>
      </w:r>
    </w:p>
    <w:p>
      <w:pPr>
        <w:spacing w:after="240"/>
      </w:pPr>
      <w:r>
        <w:t>* In person (Financial District, San Francisco, CA)</w:t>
      </w:r>
    </w:p>
    <w:p>
      <w:pPr>
        <w:spacing w:after="240"/>
      </w:pPr>
      <w:r>
        <w:t>We're building superhuman conversational AI for healthcare. Our first AI product captures missed calls and books appointments with a higher success rate than human receptionists.</w:t>
      </w:r>
    </w:p>
    <w:p>
      <w:pPr>
        <w:spacing w:after="240"/>
      </w:pPr>
      <w:r>
        <w:t>People lo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