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Founding Engineer at Weekday AI (YC W21)</w:t>
      </w:r>
    </w:p>
    <w:p>
      <w:pPr>
        <w:spacing w:after="240"/>
      </w:pPr>
      <w:r>
        <w:t>This role is for one of the Weekday's clients</w:t>
      </w:r>
    </w:p>
    <w:p>
      <w:pPr>
        <w:spacing w:after="240"/>
      </w:pPr>
      <w:r>
        <w:t>Salary range: $170K - $220K</w:t>
      </w:r>
    </w:p>
    <w:p>
      <w:pPr>
        <w:spacing w:after="240"/>
      </w:pPr>
      <w:r>
        <w:t>Min Experience: 3 years</w:t>
      </w:r>
    </w:p>
    <w:p>
      <w:pPr>
        <w:spacing w:after="240"/>
      </w:pPr>
      <w:r>
        <w:t>JobType: full-time</w:t>
      </w:r>
    </w:p>
    <w:p>
      <w:pPr>
        <w:spacing w:after="240"/>
      </w:pPr>
      <w:r>
        <w:t>In this role, you will collaborate directly with the founding team, contribute to strategic decisions, and have end-to-end ownership of technical execution. Yo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