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Fortune]</w:t>
        <w:br/>
        <w:t>Role Overview As a Mid-Level UI/UX Designer, you will work closely with the product, technology and editorial teams to design user-centered interfaces that enhance the way our audience interacts with our content. You’ll contribute to both the visual design and the overall user experience, creating intuitive designs that reflect our brand and are optimized for engagement and accessibility. Key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