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UI/UX designer at Seneca Resources</w:t>
      </w:r>
    </w:p>
    <w:p>
      <w:pPr>
        <w:spacing w:after="240"/>
      </w:pPr>
      <w:r>
        <w:t>Overview:</w:t>
      </w:r>
    </w:p>
    <w:p>
      <w:pPr>
        <w:spacing w:after="240"/>
      </w:pPr>
      <w:r>
        <w:t>A public sector client of ours in Austin, Texas is looking for a UX/UI Designer with expertise around Enterprise Systems for a 4-month contract that is likely to extend. This role will require up to 3 days onsite in their Austin office.</w:t>
      </w:r>
    </w:p>
    <w:p>
      <w:pPr>
        <w:spacing w:after="240"/>
      </w:pPr>
      <w:r>
        <w:t>The UI/UX Designer will play 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