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New Grad (2025) at Harvey</w:t>
      </w:r>
    </w:p>
    <w:p>
      <w:pPr>
        <w:spacing w:after="240"/>
      </w:pPr>
      <w:r>
        <w:t>Why Harvey</w:t>
      </w:r>
    </w:p>
    <w:p>
      <w:pPr>
        <w:spacing w:after="240"/>
      </w:pPr>
      <w:r>
        <w:t>At Harvey, we’re transforming how legal and professional services operate — not incrementally, but end-to-end. By combining frontier agentic AI, an enterprise-grade platform, and deep domain expertise, we’re reshaping how critical knowledge work gets done for decades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