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Sales Director at SBH Fashion</w:t>
      </w:r>
    </w:p>
    <w:p>
      <w:pPr>
        <w:spacing w:after="240"/>
      </w:pPr>
      <w:r>
        <w:t>Job Title: Sales Director</w:t>
      </w:r>
    </w:p>
    <w:p>
      <w:pPr>
        <w:spacing w:after="240"/>
      </w:pPr>
      <w:r>
        <w:t>Location: Miami, FL</w:t>
      </w:r>
    </w:p>
    <w:p>
      <w:pPr>
        <w:spacing w:after="240"/>
      </w:pPr>
      <w:r>
        <w:t>An advanced contemporary RTW company is seeking a dynamic, results-driven Sales Director to lead and grow the sales function of our fashion brand. This strategic role will oversee all B2B and B2C sales channels (wholesale, retail,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