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Span</w:t>
      </w:r>
    </w:p>
    <w:p>
      <w:pPr>
        <w:spacing w:after="240"/>
      </w:pPr>
      <w:r>
        <w:t>The magic of small teams can exist at any organization.</w:t>
      </w:r>
    </w:p>
    <w:p>
      <w:pPr>
        <w:spacing w:after="240"/>
      </w:pPr>
      <w:r>
        <w:t>We started Span to address a pattern we'd all lived: as teams expand, context is buried under layers of meetings, tools, people and process. Things begin to stall in the "outer loops" like prioritization, allocation, collab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