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LCG, Inc.]</w:t>
        <w:br/>
        <w:t>This job opportunity is part of an RFP process; candidates are invited to submit their resumes detailing relevant experience. Location: New York City (Hybrid, 2-3 days per week onsite) Required Clearance: Public Trust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