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DICEBET – DEMO</w:t>
      </w:r>
    </w:p>
    <w:p>
      <w:pPr>
        <w:spacing w:after="320"/>
      </w:pPr>
      <w:r>
        <w:rPr>
          <w:b/>
          <w:bCs/>
          <w:sz w:val="30"/>
          <w:szCs w:val="30"/>
        </w:rPr>
        <w:t xml:space="preserve">Documentação de Arquitetura e Requisitos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SUMÁRIO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Introdução, Proposta e Tecnologias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Arquitetura, Padrões de Projeto e Propósitos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Requisitos, Regras de Negócio, Casos de Uso e Telas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Modelagem de Dados</w:t>
      </w:r>
    </w:p>
    <w:p>
      <w:pPr>
        <w:pStyle w:val="Heading1"/>
        <w:spacing w:after="200" w:before="240"/>
      </w:pPr>
      <w:r>
        <w:t xml:space="preserve">Introdução, Proposta e Tecnologias</w:t>
      </w:r>
    </w:p>
    <w:p>
      <w:pPr>
        <w:spacing w:after="140"/>
      </w:pPr>
      <w:r>
        <w:rPr>
          <w:sz w:val="22"/>
          <w:szCs w:val="22"/>
        </w:rPr>
        <w:t xml:space="preserve">Este projeto é uma plataforma de apostas demonstrativa para Web, iOS e Android, criada com o propósito de simular os principais fluxos de um produto de jogos com dinheiro real — do cadastro de usuários e gestão de carteira até o jogo comprovadamente justo e o processamento de pagamentos — operando exclusivamente com moedas virtuais e Stripe em modo de teste. Nenhum dinheiro real é envolvido em momento algum.</w:t>
      </w:r>
    </w:p>
    <w:p>
      <w:pPr>
        <w:spacing w:after="140"/>
      </w:pPr>
      <w:r>
        <w:rPr>
          <w:sz w:val="22"/>
          <w:szCs w:val="22"/>
        </w:rPr>
        <w:t xml:space="preserve">Embora simplificada, a plataforma demonstra preocupações de nível de produção: um livro-razão financeiro append-only com movimentações atômicas de saldo, resultados de jogo verificáveis criptograficamente (commit–reveal), deploys em nuvem sem chaves e um pipeline de CI/CD totalmente automatizado cobrindo API, web e mobile, com testes em dispositivos e distribuição.</w:t>
      </w:r>
    </w:p>
    <w:p>
      <w:pPr>
        <w:spacing w:after="140"/>
      </w:pPr>
      <w:r>
        <w:rPr>
          <w:sz w:val="22"/>
          <w:szCs w:val="22"/>
        </w:rPr>
        <w:t xml:space="preserve">Desenvolvida como monorepo, a plataforma inclui as seguintes tecnologias e integrações: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Nuxt 3 (Vue 3 + TypeScript) – aplicação web single-page, compartilhada entre web e mobile;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Express (TypeScript) – servidor de jogo/API, fonte única da verdade para toda a lógica de negócio;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Supabase – banco PostgreSQL, autenticação (JWT ES256) e Row Level Security;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Stripe Checkout + Webhooks (modo de teste) – depósitos simulados com verificação de assinatura;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Capacitor 8 – shells nativos Android e iOS sobre o mesmo build web (iOS via CocoaPods);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Firebase Crashlytics – relatório de crashes nativos e encaminhamento de erros JS da webview;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Firebase Test Lab – testes robo automatizados em dispositivos virtuais reais no CI;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Firebase App Distribution – entrega automática de cada build aos testadores;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Google Cloud Run – API containerizada com scale-to-zero (Artifact Registry, Secret Manager);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Cloudflare Workers – hospedagem estática global da aplicação web;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GitHub Actions – CI/CD com deploys sem chaves via Workload Identity Federation.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spacing w:after="140"/>
      </w:pPr>
      <w:r>
        <w:rPr>
          <w:sz w:val="22"/>
          <w:szCs w:val="22"/>
        </w:rPr>
        <w:t xml:space="preserve">A API utiliza as bibliotecas zod (validação), jose (verificação JWT/JWKS) e stripe, com Vitest para testes automatizados. A aplicação web implementa internacionalização (inglês, português do Brasil e espanhol) e temas (azul, roxo e laranja) sem bibliotecas externas, e sintetiza todos os sons do jogo com a Web Audio API — o produto final não contém nenhum arquivo de áudio. O Git foi usado para controle de versão, hospedado no GitHub.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[GitHub Actions – pipeline de deploy da API]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[GitHub Actions – pipeline mobile: Test Lab + App Distribution]</w:t>
      </w:r>
    </w:p>
    <w:p>
      <w:pPr>
        <w:pStyle w:val="Heading1"/>
        <w:spacing w:after="200" w:before="240"/>
      </w:pPr>
      <w:r>
        <w:br w:type="page"/>
      </w:r>
      <w:r>
        <w:t xml:space="preserve">Arquitetura, Padrões de Projeto e Propósitos</w:t>
      </w:r>
    </w:p>
    <w:p>
      <w:pPr>
        <w:spacing w:after="140"/>
      </w:pPr>
      <w:r>
        <w:rPr>
          <w:sz w:val="22"/>
          <w:szCs w:val="22"/>
        </w:rPr>
        <w:t xml:space="preserve">Foi adotada uma arquitetura server-authoritative: uma única API atende os clientes web e mobile, e nenhuma lógica crítica do jogo é executada no cliente. Isso garante: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Integridade: </w:t>
      </w:r>
      <w:r>
        <w:rPr>
          <w:sz w:val="22"/>
          <w:szCs w:val="22"/>
        </w:rPr>
        <w:t xml:space="preserve">toda movimentação de saldo passa por uma única função PostgreSQL atômica (place_bet / apply_deposit) com bloqueio de linha. O saldo da carteira é estado derivado que sempre equivale à soma de um livro-razão append-only — uma falha ou retentativa jamais perde ou duplica dinheiro;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Verificabilidade: </w:t>
      </w:r>
      <w:r>
        <w:rPr>
          <w:sz w:val="22"/>
          <w:szCs w:val="22"/>
        </w:rPr>
        <w:t xml:space="preserve">os resultados usam um esquema commit–reveal (provably fair). O servidor se compromete com sha256(serverSeed) antes de qualquer aposta; cada rolagem é HMAC-SHA256(serverSeed, clientSeed:nonce); a rotação de seeds revela a anterior, permitindo reverificar cada rolagem no próprio navegador;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Segurança: </w:t>
      </w:r>
      <w:r>
        <w:rPr>
          <w:sz w:val="22"/>
          <w:szCs w:val="22"/>
        </w:rPr>
        <w:t xml:space="preserve">os tokens são verificados contra o JWKS público do Supabase (ES256); Row Level Security restringe clientes a leituras dos próprios dados com grants mínimos explícitos; todos os segredos ficam no GCP Secret Manager; os deploys do CI são sem chaves (Workload Identity Federation restrita ao repositório);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Testabilidade: </w:t>
      </w:r>
      <w:r>
        <w:rPr>
          <w:sz w:val="22"/>
          <w:szCs w:val="22"/>
        </w:rPr>
        <w:t xml:space="preserve">o motor do jogo (matemática de prêmios, derivação de rolagens) é puro e isolado, coberto por testes unitários determinísticos, incluindo verificação estatística de uniformidade e invariante de vantagem da casa;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Escalabilidade: </w:t>
      </w:r>
      <w:r>
        <w:rPr>
          <w:sz w:val="22"/>
          <w:szCs w:val="22"/>
        </w:rPr>
        <w:t xml:space="preserve">a API é stateless em contêiner (Cloud Run escala a partir de zero), o web app são arquivos estáticos em CDN global e o banco concentra todas as garantias de consistência.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spacing w:after="140"/>
      </w:pPr>
      <w:r>
        <w:rPr>
          <w:sz w:val="22"/>
          <w:szCs w:val="22"/>
        </w:rPr>
        <w:t xml:space="preserve">O código do cliente é compartilhado entre plataformas: o mesmo build estático do Nuxt é publicado na Cloudflare e embarcado pelo Capacitor para Android e iOS. Preocupações transversais seguem padrões leves de composables — um composable de i18n com dicionários por idioma, temas via variáveis CSS trocadas por atributo de dados e uma ponte de Crashlytics que encaminha erros da webview ao relatório nativo apenas dentro do shell mobile.</w:t>
      </w:r>
    </w:p>
    <w:p>
      <w:pPr>
        <w:pStyle w:val="Heading1"/>
        <w:spacing w:after="200" w:before="240"/>
      </w:pPr>
      <w:r>
        <w:br w:type="page"/>
      </w:r>
      <w:r>
        <w:t xml:space="preserve">Requisitos, Regras de Negócio, Casos de Uso e Telas</w:t>
      </w:r>
    </w:p>
    <w:p>
      <w:pPr>
        <w:pStyle w:val="Heading2"/>
        <w:spacing w:after="140" w:before="220"/>
      </w:pPr>
      <w:r>
        <w:t xml:space="preserve">Requisitos Não Funcionais (RNF) – Gerais</w:t>
      </w:r>
    </w:p>
    <w:p>
      <w:pPr>
        <w:pStyle w:val="Heading3"/>
        <w:spacing w:after="100" w:before="160"/>
      </w:pPr>
      <w:r>
        <w:t xml:space="preserve">RNF01 – Desempenho</w:t>
      </w:r>
    </w:p>
    <w:p>
      <w:pPr>
        <w:spacing w:after="140"/>
      </w:pPr>
      <w:r>
        <w:rPr>
          <w:sz w:val="22"/>
          <w:szCs w:val="22"/>
        </w:rPr>
        <w:t xml:space="preserve">Os endpoints da API devem responder em até 500 ms (p95, instância aquecida). A animação da rolagem deve manter 60 fps em dispositivos intermediários; os sons do jogo são sintetizados em tempo real, sem carregamento de arquivos.</w:t>
      </w:r>
    </w:p>
    <w:p>
      <w:pPr>
        <w:pStyle w:val="Heading3"/>
        <w:spacing w:after="100" w:before="160"/>
      </w:pPr>
      <w:r>
        <w:t xml:space="preserve">RNF02 – Segurança</w:t>
      </w:r>
    </w:p>
    <w:p>
      <w:pPr>
        <w:spacing w:after="140"/>
      </w:pPr>
      <w:r>
        <w:rPr>
          <w:sz w:val="22"/>
          <w:szCs w:val="22"/>
        </w:rPr>
        <w:t xml:space="preserve">As sessões usam JWTs assimétricos ES256 verificados via JWKS público. Todas as tabelas aplicam Row Level Security (leitura apenas dos próprios dados; escrita exclusivamente pela service role da API). Segredos ficam no GCP Secret Manager; webhooks têm assinatura verificada; o cliente jamais calcula ou influencia resultados.</w:t>
      </w:r>
    </w:p>
    <w:p>
      <w:pPr>
        <w:pStyle w:val="Heading3"/>
        <w:spacing w:after="100" w:before="160"/>
      </w:pPr>
      <w:r>
        <w:t xml:space="preserve">RNF03 – Arquitetura e Escalabilidade</w:t>
      </w:r>
    </w:p>
    <w:p>
      <w:pPr>
        <w:spacing w:after="140"/>
      </w:pPr>
      <w:r>
        <w:rPr>
          <w:sz w:val="22"/>
          <w:szCs w:val="22"/>
        </w:rPr>
        <w:t xml:space="preserve">A API deve ser stateless e containerizada, escalando a partir de zero no Cloud Run. Uma única API deve atender web e mobile de forma idêntica (escopo via CORS). A aplicação web deve compilar para arquivos estáticos servidos por CDN.</w:t>
      </w:r>
    </w:p>
    <w:p>
      <w:pPr>
        <w:pStyle w:val="Heading3"/>
        <w:spacing w:after="100" w:before="160"/>
      </w:pPr>
      <w:r>
        <w:t xml:space="preserve">RNF04 – Justiça e Auditabilidade</w:t>
      </w:r>
    </w:p>
    <w:p>
      <w:pPr>
        <w:spacing w:after="140"/>
      </w:pPr>
      <w:r>
        <w:rPr>
          <w:sz w:val="22"/>
          <w:szCs w:val="22"/>
        </w:rPr>
        <w:t xml:space="preserve">Todo resultado deve ser verificável criptograficamente pelo jogador (commit–reveal, HMAC-SHA256). Toda variação de saldo deve ser registrada em livro-razão append-only satisfazendo a invariante saldo = Σ transações.</w:t>
      </w:r>
    </w:p>
    <w:p>
      <w:pPr>
        <w:pStyle w:val="Heading3"/>
        <w:spacing w:after="100" w:before="160"/>
      </w:pPr>
      <w:r>
        <w:t xml:space="preserve">RNF05 – Disponibilidade</w:t>
      </w:r>
    </w:p>
    <w:p>
      <w:pPr>
        <w:spacing w:after="140"/>
      </w:pPr>
      <w:r>
        <w:rPr>
          <w:sz w:val="22"/>
          <w:szCs w:val="22"/>
        </w:rPr>
        <w:t xml:space="preserve">O sistema utiliza plataformas gerenciadas (Cloud Run, Cloudflare, Supabase). Um endpoint de health permite monitoramento; os deploys são condicionados a testes automatizados no CI.</w:t>
      </w:r>
    </w:p>
    <w:p>
      <w:pPr>
        <w:pStyle w:val="Heading3"/>
        <w:spacing w:after="100" w:before="160"/>
      </w:pPr>
      <w:r>
        <w:t xml:space="preserve">RNF06 – Usabilidade e Acessibilidade</w:t>
      </w:r>
    </w:p>
    <w:p>
      <w:pPr>
        <w:spacing w:after="140"/>
      </w:pPr>
      <w:r>
        <w:rPr>
          <w:sz w:val="22"/>
          <w:szCs w:val="22"/>
        </w:rPr>
        <w:t xml:space="preserve">A interface oferece três idiomas (detectados automaticamente do navegador) com seletor com bandeiras, três temas de cores, mudo de som e respeita a preferência de movimento reduzido do sistema operacional. Os layouts são responsivos do mobile ao desktop.</w:t>
      </w:r>
    </w:p>
    <w:p>
      <w:pPr>
        <w:pStyle w:val="Heading3"/>
        <w:spacing w:after="100" w:before="160"/>
      </w:pPr>
      <w:r>
        <w:t xml:space="preserve">RNF07 – Qualidade de Software</w:t>
      </w:r>
    </w:p>
    <w:p>
      <w:pPr>
        <w:spacing w:after="140"/>
      </w:pPr>
      <w:r>
        <w:rPr>
          <w:sz w:val="22"/>
          <w:szCs w:val="22"/>
        </w:rPr>
        <w:t xml:space="preserve">O motor do jogo deve manter cobertura de testes unitários da matemática de prêmios e derivação de rolagens, incluindo determinismo, limites, uniformidade estatística e vantagem da casa. Todo o código é tipado (TypeScript); os testes condicionam cada deploy.</w:t>
      </w:r>
    </w:p>
    <w:p>
      <w:pPr>
        <w:pStyle w:val="Heading3"/>
        <w:spacing w:after="100" w:before="160"/>
      </w:pPr>
      <w:r>
        <w:t xml:space="preserve">RNF08 – CI/CD e Deploy</w:t>
      </w:r>
    </w:p>
    <w:p>
      <w:pPr>
        <w:spacing w:after="140"/>
      </w:pPr>
      <w:r>
        <w:rPr>
          <w:sz w:val="22"/>
          <w:szCs w:val="22"/>
        </w:rPr>
        <w:t xml:space="preserve">Pipelines automatizados devem compilar, testar e publicar a API (Docker → Artifact Registry → Cloud Run) e o web app a cada push, e no mobile: gerar o APK, executar testes robo no Firebase Test Lab em dispositivos virtuais, distribuir via Firebase App Distribution e validar o build iOS com CocoaPods em runners macOS. Todo acesso ao Google Cloud é sem chaves (WIF).</w:t>
      </w:r>
    </w:p>
    <w:p>
      <w:pPr>
        <w:pStyle w:val="Heading3"/>
        <w:spacing w:after="100" w:before="160"/>
      </w:pPr>
      <w:r>
        <w:t xml:space="preserve">RNF09 – Conformidade (Demonstração)</w:t>
      </w:r>
    </w:p>
    <w:p>
      <w:pPr>
        <w:spacing w:after="140"/>
      </w:pPr>
      <w:r>
        <w:rPr>
          <w:sz w:val="22"/>
          <w:szCs w:val="22"/>
        </w:rPr>
        <w:t xml:space="preserve">A plataforma deve operar exclusivamente com moedas virtuais e Stripe em modo de teste, exibindo aviso permanente. Não é um produto de jogos de azar e não deve processar dinheiro real.</w:t>
      </w:r>
    </w:p>
    <w:p>
      <w:pPr>
        <w:pStyle w:val="Heading2"/>
        <w:spacing w:after="140" w:before="220"/>
      </w:pPr>
      <w:r>
        <w:t xml:space="preserve">Funcionalidades da Aplicação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Cadastro de Usuário (com bônus de boas-vindas)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Autenticação/Login de Usuário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Jogo de Dados – Fazer uma Aposta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Depósitos (Stripe modo de teste)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Histórico de Apostas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Verificação Provably Fair (rotação de seeds)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Seleção de Idioma e Tema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Logout</w:t>
      </w:r>
    </w:p>
    <w:p>
      <w:pPr>
        <w:pStyle w:val="Heading2"/>
        <w:spacing w:after="140" w:before="220"/>
      </w:pPr>
      <w:r>
        <w:t xml:space="preserve">Cadastro de Usuário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sistema deve permitir a criação de conta com e-mail e senha;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 perfil, uma carteira e um bônus de boas-vindas de $10,00 (moedas virtuais) devem ser provisionados automaticamente no cadastro;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nome de usuário padrão é o prefixo do e-mail.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e-mail deve ser único e válido;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senha deve conter no mínimo 6 caracteres;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bônus de boas-vindas é registrado como depósito no livro-razão com referência única, de modo que jamais possa ser concedido duas vezes.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visitante cria uma conta para jogar com moedas virtuais.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 usuário acessa a aplicação e seleciona "Cadastre-se";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 usuário informa e-mail e senha;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 Supabase Auth cria a conta; um trigger no banco provisiona perfil, carteira e a transação do bônus de forma atômica;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 usuário é redirecionado à tela do jogo com saldo de $10,00.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E-mail já cadastrado → o sistema exibe mensagem de erro;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Senha abaixo do tamanho mínimo → o sistema exibe mensagem de erro.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Autenticação/Login de Usuário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Permitir que usuários cadastrados se autentiquem com e-mail e senha;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Criar uma sessão autenticada (JWT ES256 emitido pelo Supabase Auth);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Anexar o token de acesso a toda requisição à API como Bearer token.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Apenas usuários cadastrados podem fazer login;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Credenciais inválidas devem exibir mensagem de erro;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Sessões expiradas exigem novo login; a API rejeita tokens inválidos ou ausentes com HTTP 401.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cadastrado faz login para acessar o jogo e sua carteira.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O usuário informa e-mail e senha na tela de Login;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O Supabase Auth valida as credenciais e emite os tokens de sessão;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A aplicação carrega o saldo da carteira pela API;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O usuário é redirecionado à tela do jogo.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Credenciais inválidas → o sistema exibe mensagem de erro;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Token ausente/expirado em chamada à API → o cliente redireciona para a tela de Login.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Jogo de Dados – Fazer uma Aposta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Permitir escolher a chance de vitória (alvo) entre 1% e 98% via slider;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Exibir o multiplicador de prêmio (99 / alvo, 1% de vantagem da casa) e o ganho potencial em tempo real;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Animar a rolagem (dado girando, números alternando, som de copo com gelo) por 1,4 s antes de revelar;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Liquidar a aposta atomicamente e atualizar o saldo imediatamente.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aposta vence quando rolagem &lt; alvo; a rolagem está em [0, 100) com duas casas decimais;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aposta deve ser positiva, limitada a $1.000,00 por rodada, e jamais exceder o saldo;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rolagem é derivada exclusivamente no servidor: HMAC-SHA256(serverSeed, clientSeed:nonce);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Nonces são reivindicados atomicamente, impedindo reuso em apostas concorrentes;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vitória paga floor(aposta × 99 / alvo) centavos; frações arredondam a favor da casa;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Usuários com preferência de movimento reduzido veem o resultado imediatamente (sem animação de suspense).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autenticado faz uma aposta no jogo de dados.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 usuário define chance de vitória e valor e pressiona "Rolar";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 cliente inicia a animação e envia a aposta à API com o token de sessão;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 API verifica o token, reivindica o próximo nonce e calcula a rolagem a partir da seed comprometida;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 função place_bet bloqueia a carteira, debita a aposta, registra a aposta, credita o prêmio se houver e atualiza o saldo — em uma única transação;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 animação termina; o resultado e o novo saldo são exibidos com som de vitória/derrota.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Saldo insuficiente → o sistema sugere realizar um depósito de teste;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Aposta ou alvo inválido → o sistema exibe erro de validação;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Falha de API/rede → o sistema exibe erro e o livro-razão permanece inalterado.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Depósitos (Stripe modo de teste)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Oferecer opções fixas de depósito ($5, $20, $100) que abrem o Stripe Checkout;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Creditar a carteira automaticamente após a confirmação do pagamento via webhook;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Redirecionar o usuário de volta à aplicação após o checkout.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Pagamentos ocorrem exclusivamente no modo de teste do Stripe (apenas cartões de teste);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webhook deve ter a assinatura verificada antes de qualquer processamento;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Depósitos são idempotentes pelo id da sessão de Checkout — retentativas de webhook jamais creditam em dobro;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Valores de depósito são limitados entre $1,00 e $500,00.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autenticado recarrega seu saldo virtual usando um cartão de teste.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O usuário seleciona um valor de depósito;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A API cria uma sessão do Stripe Checkout marcada com o id do usuário e retorna sua URL;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O usuário conclui o pagamento com o cartão de teste (4242 4242 4242 4242);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O Stripe envia checkout.session.completed ao webhook da API;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A API verifica a assinatura e chama apply_deposit, que credita o livro-razão de forma idempotente;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O usuário retorna à aplicação e vê o saldo atualizado.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Pagamento cancelado → o usuário retorna à aplicação; nada muda no livro-razão;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Retentativa de webhook de sessão já aplicada → ignorada (idempotência por referência);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Assinatura inválida → rejeitada com HTTP 400.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Histórico de Apostas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Exibir as apostas mais recentes do usuário autenticado (até 50);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Mostrar data/hora, aposta, alvo, rolagem e prêmio de cada aposta, com cores de vitória/derrota.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Usuários só podem ler as próprias apostas (Row Level Security);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histórico é somente leitura — apostas são imutáveis após liquidadas.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revisa seus resultados recentes de jogo.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O usuário abre a tela de Histórico;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O cliente solicita a lista de apostas à API com o token de sessão;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O sistema renderiza a tabela com destaque de vitória/derrota.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Nenhuma aposta ainda → o sistema exibe mensagem de estado vazio.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Verificação Provably Fair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Exibir o par de seeds atual: hash da seed do servidor (compromisso), seed do cliente e próximo nonce;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Permitir rotacionar o par de seeds, revelando a seed do servidor anterior;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Fornecer um verificador no navegador que recalcula qualquer rolagem a partir de (serverSeed, clientSeed, nonce) usando Web Crypto;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Listar todos os pares de seeds já revelados.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seed do servidor em texto claro jamais é exposta enquanto ativa — apenas seu compromisso SHA-256;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rotação desativa o par atual, o marca como revelado e ativa um novo par;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rolagem recalculada deve coincidir com a registrada, e sha256(seed revelada) deve coincidir com o compromisso anterior;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usuário pode fornecer a própria seed do cliente na rotação (até 64 caracteres).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audita rolagens passadas para confirmar que o jogo não trapaceou.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O usuário abre a tela de Transparência e anota o compromisso atual;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Após jogar, o usuário rotaciona o par de seeds;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O sistema revela a seed do servidor anterior;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O usuário insere seed, seed do cliente e nonce no verificador;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O verificador recalcula a rolagem localmente (Web Crypto) e a exibe junto do hash da seed para comparação.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Rolagem recalculada difere da registrada → evidência de adulteração (por construção, impossível com dados honestos);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Nenhuma seed revelada ainda → o sistema explica que é preciso rotacionar antes.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Seleção de Idioma e Tema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Oferecer inglês, português do Brasil e espanhol em um seletor com bandeiras;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Detectar automaticamente o idioma do navegador na primeira visita;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Oferecer três temas de cores (azul, roxo e laranja) por amostras de cor;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Persistir ambas as preferências entre sessões.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Todo texto visível ao usuário deve vir dos dicionários de tradução;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Os temas reestilizam toda a interface por variáveis CSS — sem lógica de cor por componente;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Ambos os seletores ficam disponíveis antes da autenticação (inclusive na tela de login).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adapta a interface ao seu idioma e preferência visual.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O usuário abre o menu de idiomas (ícone de bandeira) e seleciona um idioma;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A interface é rerrenderizada instantaneamente no idioma escolhido e a escolha é armazenada;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O usuário clica em uma amostra de tema; as cores mudam na hora e a escolha é armazenada.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Fluxos Alternativos: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Primeira visita com navegador em português ou espanhol → a interface já inicia nesse idioma.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2"/>
        <w:spacing w:after="140" w:before="220"/>
      </w:pPr>
      <w:r>
        <w:t xml:space="preserve">Logout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Permitir que o usuário autenticado encerre a sessão a partir de qualquer tela.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sessão local é invalidada; a exibição do saldo é reiniciada;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Chamadas subsequentes à API sem token válido são rejeitadas (HTTP 401).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Caso de Uso</w:t>
      </w:r>
    </w:p>
    <w:p>
      <w:pPr>
        <w:spacing w:after="140"/>
      </w:pPr>
      <w:r>
        <w:rPr>
          <w:sz w:val="22"/>
          <w:szCs w:val="22"/>
        </w:rPr>
        <w:t xml:space="preserve">Um usuário sai da aplicação.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O usuário pressiona "Sair";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A sessão do Supabase é encerrada;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O usuário é redirecionado à tela de Login.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Telas Relacionadas:</w:t>
      </w:r>
    </w:p>
    <w:p>
      <w:pPr>
        <w:spacing w:after="260" w:before="100"/>
      </w:pPr>
      <w:r>
        <w:rPr>
          <w:i/>
          <w:iCs/>
          <w:color w:val="8a8f9c"/>
          <w:sz w:val="22"/>
          <w:szCs w:val="22"/>
        </w:rPr>
        <w:t xml:space="preserve">[captura de tela]</w:t>
      </w:r>
    </w:p>
    <w:p>
      <w:pPr>
        <w:pStyle w:val="Heading1"/>
        <w:spacing w:after="200" w:before="240"/>
      </w:pPr>
      <w:r>
        <w:br w:type="page"/>
      </w:r>
      <w:r>
        <w:t xml:space="preserve">Modelagem de Dados</w:t>
      </w:r>
    </w:p>
    <w:p>
      <w:pPr>
        <w:spacing w:after="140"/>
      </w:pPr>
      <w:r>
        <w:rPr>
          <w:sz w:val="22"/>
          <w:szCs w:val="22"/>
        </w:rPr>
        <w:t xml:space="preserve">A modelagem do banco foi projetada em torno de um livro-razão de carteira de nível financeiro e do mecanismo provably fair, mantendo todos os valores monetários em centavos inteiros e concentrando todas as garantias de consistência no próprio banco por meio de funções atômicas.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8a8f9c"/>
          <w:sz w:val="22"/>
          <w:szCs w:val="22"/>
        </w:rPr>
        <w:t xml:space="preserve">DiceBet – Diagrama de Modelagem de Dados (docs/dicebet-data-model.png)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profiles – dados públicos de perfil (nome de usuário), 1:1 com o usuário de autenticação;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wallets – saldo atual por usuário (estado derivado, centavos inteiros, não negativo);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transactions – livro-razão append-only; valores com sinal tipados como deposit, bet ou payout, com snapshots de balance_after e referência externa única (ref_id) para idempotência;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bets – registro imutável de cada rolagem: aposta, alvo, rolagem, prêmio e os dados de justiça (hash da seed, seed do cliente, nonce) que a tornam verificável;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user_seeds – pares de seeds commit–reveal; a seed do servidor em texto claro só é legível pela API e só é exposta após rotação (revealed_at).</w:t>
      </w:r>
    </w:p>
    <w:p>
      <w:pPr>
        <w:pStyle w:val="Heading2"/>
        <w:spacing w:after="140" w:before="220"/>
      </w:pPr>
      <w:r>
        <w:t xml:space="preserve">Fluxo de Dados – Fazendo uma Aposta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O cliente envia aposta e alvo com o token de sessão do usuário;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A API verifica o token ES256 contra o JWKS público do Supabase;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O par de seeds ativo é carregado e o próximo nonce é reivindicado atomicamente (nonce = nonce + 1);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A rolagem é calculada como HMAC-SHA256(serverSeed, clientSeed:nonce) → [0, 100);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place_bet executa atomicamente: bloqueia a linha da carteira, valida o saldo, insere a transação negativa da aposta, insere a aposta, credita a transação do prêmio quando há vitória e atualiza o saldo;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A resposta retorna rolagem, prêmio e novo saldo para animar a revelação;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As telas de Histórico e Transparência leem depois as mesmas linhas sob Row Level Security.</w:t>
      </w:r>
    </w:p>
    <w:p>
      <w:pPr>
        <w:pStyle w:val="Heading2"/>
        <w:spacing w:after="140" w:before="220"/>
      </w:pPr>
      <w:r>
        <w:t xml:space="preserve">Fluxo de Dados – Depósito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O cliente solicita um depósito; a API cria uma sessão do Stripe Checkout marcada com o id do usuário;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O usuário paga com cartão de teste na página hospedada do Stripe;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O Stripe chama o webhook da API com checkout.session.completed;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A API verifica a assinatura do webhook contra o segredo do endpoint;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apply_deposit executa de forma atômica e idempotente (ref_id único = id da sessão): insere a transação de depósito e atualiza o saldo;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Retentativas de webhook encontram a referência existente e nada alteram.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spacing w:after="140"/>
      </w:pPr>
      <w:r>
        <w:rPr>
          <w:i/>
          <w:iCs/>
          <w:sz w:val="22"/>
          <w:szCs w:val="22"/>
        </w:rPr>
        <w:t xml:space="preserve">Invariante do livro-razão: para todo usuário, wallets.balance sempre equivale à soma de transactions.amount. Como toda mutação passa por place_bet ou apply_deposit — ambas atômicas e com bloqueio de linha — a invariante se mantém sob concorrência, falhas e retentativas de webhook.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240"/>
    </w:pPr>
    <w:rPr>
      <w:rFonts w:ascii="Calibri" w:cs="Calibri" w:eastAsia="Calibri" w:hAnsi="Calibri"/>
      <w:b/>
      <w:bCs/>
      <w:color w:val="1f243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</w:pPr>
    <w:rPr>
      <w:rFonts w:ascii="Calibri" w:cs="Calibri" w:eastAsia="Calibri" w:hAnsi="Calibri"/>
      <w:b/>
      <w:bCs/>
      <w:color w:val="1f243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Calibri" w:cs="Calibri" w:eastAsia="Calibri" w:hAnsi="Calibri"/>
      <w:b/>
      <w:bCs/>
      <w:color w:val="3b82f6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8293d3b118bc09615b5f63cfa23caeb995102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2026-07-23T11:48:29.160Z</dcterms:created>
  <dcterms:modified xsi:type="dcterms:W3CDTF">2026-07-23T11:48:29.160Z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