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right"/>
        <w:rPr>
          <w:rFonts w:ascii="Montserrat" w:cs="Montserrat" w:eastAsia="Montserrat" w:hAnsi="Montserrat"/>
          <w:i w:val="1"/>
          <w:iCs w:val="1"/>
          <w:color w:val="153d6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153d63"/>
          <w:sz w:val="44"/>
          <w:szCs w:val="44"/>
          <w:rtl w:val="0"/>
        </w:rPr>
        <w:t xml:space="preserve">DICEBET – DEMO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20" w:lineRule="auto"/>
        <w:jc w:val="right"/>
        <w:rPr>
          <w:rFonts w:ascii="Montserrat" w:cs="Montserrat" w:eastAsia="Montserrat" w:hAnsi="Montserrat"/>
          <w:color w:val="153d63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color w:val="153d63"/>
          <w:sz w:val="32"/>
          <w:szCs w:val="32"/>
          <w:rtl w:val="0"/>
        </w:rPr>
        <w:t xml:space="preserve">Documentação de Arquitetura e Requisitos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Montserrat" w:cs="Montserrat" w:eastAsia="Montserrat" w:hAnsi="Montserrat"/>
          <w:color w:val="153d6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53d63"/>
          <w:sz w:val="24"/>
          <w:szCs w:val="24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Introdução, Proposta e Tecnologias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Arquitetura, Padrões de Projeto e Propósitos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Requisitos, Regras de Negócio, Casos de Uso e Telas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Modelagem de Dados</w:t>
      </w:r>
    </w:p>
    <w:p w:rsidR="00000000" w:rsidDel="00000000" w:rsidP="00000000" w:rsidRDefault="00000000" w:rsidRPr="00000000" w14:paraId="00000008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>
          <w:rFonts w:ascii="Montserrat" w:cs="Montserrat" w:eastAsia="Montserrat" w:hAnsi="Montserrat"/>
          <w:color w:val="153d63"/>
        </w:rPr>
      </w:pPr>
      <w:r w:rsidDel="00000000" w:rsidR="00000000" w:rsidRPr="00000000">
        <w:rPr>
          <w:rFonts w:ascii="Montserrat" w:cs="Montserrat" w:eastAsia="Montserrat" w:hAnsi="Montserrat"/>
          <w:color w:val="153d63"/>
          <w:rtl w:val="0"/>
        </w:rPr>
        <w:t xml:space="preserve">Introdução, Proposta e Tecnologias</w:t>
      </w:r>
    </w:p>
    <w:p w:rsidR="00000000" w:rsidDel="00000000" w:rsidP="00000000" w:rsidRDefault="00000000" w:rsidRPr="00000000" w14:paraId="0000000A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Este projeto é uma plataforma de apostas demonstrativa para Web, iOS e Android, criada com o propósito de simular os principais fluxos de um produto de jogos com dinheiro real — do cadastro de usuários e gestão de carteira até o jogo comprovadamente justo e o processamento de pagamentos — operando exclusivamente com moedas virtuais e Stripe em modo de teste. Nenhum dinheiro real é envolvido em momento algum.</w:t>
      </w:r>
    </w:p>
    <w:p w:rsidR="00000000" w:rsidDel="00000000" w:rsidP="00000000" w:rsidRDefault="00000000" w:rsidRPr="00000000" w14:paraId="0000000B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Embora simplificada, a plataforma demonstra preocupações de nível de produção: um livro-razão financeiro append-only com movimentações atômicas de saldo, resultados de jogo verificáveis criptograficamente (commit–reveal), deploys em nuvem sem chaves e um pipeline de CI/CD totalmente automatizado cobrindo API, web e mobile, com testes em dispositivos e distribuição.</w:t>
      </w:r>
    </w:p>
    <w:p w:rsidR="00000000" w:rsidDel="00000000" w:rsidP="00000000" w:rsidRDefault="00000000" w:rsidRPr="00000000" w14:paraId="0000000C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Desenvolvida como monorepo, a plataforma inclui as seguintes tecnologias e integrações: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Nuxt 3 (Vue 3 + TypeScript)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aplicação web single-page, compartilhada entre web e mobile;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Express (TypeScript)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servidor de jogo/API, fonte única da verdade para toda a lógica de negócio;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Supabase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banco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PostgreSQL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autenticação (JWT ES256) e Row Level Security;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Stripe Checkout + Webhooks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(modo de teste) – depósitos simulados com verificação de assinatura;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Capacitor 8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shells nativos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Android e iOS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sobre o mesmo build web (iOS via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CocoaPods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Firebase Crashlytics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relatório de crashes nativos e encaminhamento de erros JS da webview;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Firebase Test Lab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testes robo automatizados em dispositivos virtuais reais no CI;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Firebase App Distribution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entrega automática de cada build aos testadores;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Cloud Run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API containerizada com scale-to-zero (Artifact Registry, Secret Manager);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Cloudflare Workers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hospedagem estática global da aplicação web;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 Actions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CI/CD com deploys sem chaves via Workload Identity Federation.</w:t>
      </w:r>
    </w:p>
    <w:p w:rsidR="00000000" w:rsidDel="00000000" w:rsidP="00000000" w:rsidRDefault="00000000" w:rsidRPr="00000000" w14:paraId="00000018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 API utiliza as bibliotecas zod (validação), jose (verificação JWT/JWKS) e stripe, com Vitest para testes automatizados. A aplicação web implementa internacionalização (inglês, português do Brasil e espanhol) e temas (azul, roxo e laranja) sem bibliotecas externas, e sintetiza todos os sons do jogo com a Web Audio API — o produto final não contém nenhum arquivo de áudio. O Git foi usado para controle de versão, hospedado no GitHub.</w:t>
      </w:r>
    </w:p>
    <w:p w:rsidR="00000000" w:rsidDel="00000000" w:rsidP="00000000" w:rsidRDefault="00000000" w:rsidRPr="00000000" w14:paraId="0000001A">
      <w:pPr>
        <w:spacing w:after="260" w:before="100" w:lineRule="auto"/>
        <w:jc w:val="center"/>
        <w:rPr>
          <w:rFonts w:ascii="Montserrat" w:cs="Montserrat" w:eastAsia="Montserrat" w:hAnsi="Montserrat"/>
          <w:i w:val="1"/>
          <w:iCs w:val="1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[GitHub Actions – pipeline de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  <w:rtl w:val="0"/>
        </w:rPr>
        <w:t xml:space="preserve">TESTE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da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  <w:rtl w:val="0"/>
        </w:rPr>
        <w:t xml:space="preserve">API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]</w:t>
      </w:r>
    </w:p>
    <w:p w:rsidR="00000000" w:rsidDel="00000000" w:rsidP="00000000" w:rsidRDefault="00000000" w:rsidRPr="00000000" w14:paraId="0000001B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/>
        <w:drawing>
          <wp:inline distB="0" distT="0" distL="0" distR="0">
            <wp:extent cx="5201373" cy="5293549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1373" cy="52935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60" w:before="100" w:lineRule="auto"/>
        <w:jc w:val="center"/>
        <w:rPr>
          <w:rFonts w:ascii="Montserrat" w:cs="Montserrat" w:eastAsia="Montserrat" w:hAnsi="Montserrat"/>
          <w:i w:val="1"/>
          <w:iCs w:val="1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[GitHub Actions – pipeline de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rtl w:val="0"/>
        </w:rPr>
        <w:t xml:space="preserve">DEPLOY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da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  <w:rtl w:val="0"/>
        </w:rPr>
        <w:t xml:space="preserve">API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]</w:t>
      </w:r>
    </w:p>
    <w:p w:rsidR="00000000" w:rsidDel="00000000" w:rsidP="00000000" w:rsidRDefault="00000000" w:rsidRPr="00000000" w14:paraId="0000001F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/>
        <w:drawing>
          <wp:inline distB="0" distT="0" distL="0" distR="0">
            <wp:extent cx="5540304" cy="4992299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40304" cy="49922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60" w:before="100" w:lineRule="auto"/>
        <w:jc w:val="center"/>
        <w:rPr>
          <w:rFonts w:ascii="Montserrat" w:cs="Montserrat" w:eastAsia="Montserrat" w:hAnsi="Montserrat"/>
          <w:i w:val="1"/>
          <w:iCs w:val="1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[GitHub Actions – pipeline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  <w:rtl w:val="0"/>
        </w:rPr>
        <w:t xml:space="preserve">ANDROID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: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  <w:rtl w:val="0"/>
        </w:rPr>
        <w:t xml:space="preserve">Test Lab + App Distribution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]</w:t>
      </w:r>
    </w:p>
    <w:p w:rsidR="00000000" w:rsidDel="00000000" w:rsidP="00000000" w:rsidRDefault="00000000" w:rsidRPr="00000000" w14:paraId="0000002B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/>
        <w:drawing>
          <wp:inline distB="0" distT="0" distL="0" distR="0">
            <wp:extent cx="5442045" cy="8015202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2045" cy="8015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60" w:before="100" w:lineRule="auto"/>
        <w:jc w:val="center"/>
        <w:rPr>
          <w:rFonts w:ascii="Montserrat" w:cs="Montserrat" w:eastAsia="Montserrat" w:hAnsi="Montserrat"/>
          <w:i w:val="1"/>
          <w:iCs w:val="1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[GitHub Actions – pipeline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  <w:rtl w:val="0"/>
        </w:rPr>
        <w:t xml:space="preserve">iOS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: Teste de Integração em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  <w:rtl w:val="0"/>
        </w:rPr>
        <w:t xml:space="preserve">CocoaPods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000000"/>
          <w:rtl w:val="0"/>
        </w:rPr>
        <w:t xml:space="preserve">]</w:t>
      </w:r>
    </w:p>
    <w:p w:rsidR="00000000" w:rsidDel="00000000" w:rsidP="00000000" w:rsidRDefault="00000000" w:rsidRPr="00000000" w14:paraId="0000002E">
      <w:pPr>
        <w:spacing w:after="260" w:before="100" w:lineRule="auto"/>
        <w:jc w:val="center"/>
        <w:rPr>
          <w:rFonts w:ascii="Montserrat" w:cs="Montserrat" w:eastAsia="Montserrat" w:hAnsi="Montserrat"/>
          <w:b w:val="1"/>
          <w:bCs w:val="1"/>
          <w:i w:val="1"/>
          <w:iCs w:val="1"/>
          <w:color w:val="000000"/>
        </w:rPr>
      </w:pPr>
      <w:r w:rsidDel="00000000" w:rsidR="00000000" w:rsidRPr="00000000">
        <w:rPr/>
        <w:drawing>
          <wp:inline distB="0" distT="0" distL="0" distR="0">
            <wp:extent cx="5676900" cy="585216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58521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>
          <w:rFonts w:ascii="Montserrat" w:cs="Montserrat" w:eastAsia="Montserrat" w:hAnsi="Montserrat"/>
        </w:rPr>
      </w:pPr>
      <w:r w:rsidDel="00000000" w:rsidR="00000000" w:rsidRPr="00000000">
        <w:br w:type="page"/>
      </w:r>
      <w:r w:rsidDel="00000000" w:rsidR="00000000" w:rsidRPr="00000000">
        <w:rPr>
          <w:rFonts w:ascii="Montserrat" w:cs="Montserrat" w:eastAsia="Montserrat" w:hAnsi="Montserrat"/>
          <w:color w:val="153d63"/>
          <w:rtl w:val="0"/>
        </w:rPr>
        <w:t xml:space="preserve">Arquitetura, Padrões de Projeto e Propósitos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Foi adotada uma arquitetura server-authoritative: uma única API atende os clientes web e mobile, e nenhuma lógica crítica do jogo é executada no cliente. Isso garante: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Integridade: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movimentação de saldo passa por uma única função PostgreSQL atômica (place_bet / apply_deposit) com bloqueio de linha. O saldo da carteira é estado derivado que sempre equivale à soma de um livro-razão append-only — uma falha ou retentativa jamais perde ou duplica dinheiro;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Verificabilidade: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resultados usam um esquema commit–reveal (provably fair). O servidor se compromete com sha256(serverSeed) antes de qualquer aposta; cada rolagem é HMAC-SHA256(serverSeed, clientSeed:nonce); a rotação de seeds revela a anterior, permitindo reverificar cada rolagem no próprio navegador;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Segurança: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tokens são verificados contra o JWKS público do Supabase (ES256); Row Level Security restringe clientes a leituras dos próprios dados com grants mínimos explícitos; todos os segredos ficam no GCP Secret Manager; os deploys do CI são sem chaves (Workload Identity Federation restrita ao repositório);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Testabilidade: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motor do jogo (matemática de prêmios, derivação de rolagens) é puro e isolado, coberto por testes unitários determinísticos, incluindo verificação estatística de uniformidade e invariante de vantagem da casa;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Escalabilidade: </w:t>
      </w: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API é stateless em contêiner (Cloud Run escala a partir de zero), o web app são arquivos estáticos em CDN global e o banco concentra todas as garantias de consistência.</w:t>
      </w:r>
    </w:p>
    <w:p w:rsidR="00000000" w:rsidDel="00000000" w:rsidP="00000000" w:rsidRDefault="00000000" w:rsidRPr="00000000" w14:paraId="00000036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O código do cliente é compartilhado entre plataformas: o mesmo build estático do Nuxt é publicado na Cloudflare e embarcado pelo Capacitor para Android e iOS. Preocupações transversais seguem padrões leves de composables — um composable de i18n com dicionários por idioma, temas via variáveis CSS trocadas por atributo de dados e uma ponte de Crashlytics que encaminha erros da webview ao relatório nativo apenas dentro do shell mobile.</w:t>
      </w:r>
    </w:p>
    <w:p w:rsidR="00000000" w:rsidDel="00000000" w:rsidP="00000000" w:rsidRDefault="00000000" w:rsidRPr="00000000" w14:paraId="00000038">
      <w:pPr>
        <w:pStyle w:val="Heading1"/>
        <w:rPr>
          <w:rFonts w:ascii="Montserrat" w:cs="Montserrat" w:eastAsia="Montserrat" w:hAnsi="Montserrat"/>
        </w:rPr>
      </w:pPr>
      <w:r w:rsidDel="00000000" w:rsidR="00000000" w:rsidRPr="00000000">
        <w:br w:type="page"/>
      </w:r>
      <w:r w:rsidDel="00000000" w:rsidR="00000000" w:rsidRPr="00000000">
        <w:rPr>
          <w:rFonts w:ascii="Montserrat" w:cs="Montserrat" w:eastAsia="Montserrat" w:hAnsi="Montserrat"/>
          <w:color w:val="153d63"/>
          <w:rtl w:val="0"/>
        </w:rPr>
        <w:t xml:space="preserve">Requisitos, Regras de Negócio, Casos de Uso 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>
          <w:rFonts w:ascii="Montserrat" w:cs="Montserrat" w:eastAsia="Montserrat" w:hAnsi="Montserrat"/>
          <w:color w:val="0a3041"/>
        </w:rPr>
      </w:pPr>
      <w:r w:rsidDel="00000000" w:rsidR="00000000" w:rsidRPr="00000000">
        <w:rPr>
          <w:rFonts w:ascii="Montserrat" w:cs="Montserrat" w:eastAsia="Montserrat" w:hAnsi="Montserrat"/>
          <w:color w:val="0a3041"/>
          <w:rtl w:val="0"/>
        </w:rPr>
        <w:t xml:space="preserve">Requisitos Não Funcionais (RNF) – Gerais</w:t>
      </w:r>
    </w:p>
    <w:p w:rsidR="00000000" w:rsidDel="00000000" w:rsidP="00000000" w:rsidRDefault="00000000" w:rsidRPr="00000000" w14:paraId="0000003A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RNF01 – Desempenho</w:t>
      </w:r>
    </w:p>
    <w:p w:rsidR="00000000" w:rsidDel="00000000" w:rsidP="00000000" w:rsidRDefault="00000000" w:rsidRPr="00000000" w14:paraId="0000003B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Os endpoints da API devem responder em até 500 ms (p95, instância aquecida). A animação da rolagem deve manter 60 fps em dispositivos intermediários; os sons do jogo são sintetizados em tempo real, sem carregamento de arquivos.</w:t>
      </w:r>
    </w:p>
    <w:p w:rsidR="00000000" w:rsidDel="00000000" w:rsidP="00000000" w:rsidRDefault="00000000" w:rsidRPr="00000000" w14:paraId="0000003C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RNF02 – Segurança</w:t>
      </w:r>
    </w:p>
    <w:p w:rsidR="00000000" w:rsidDel="00000000" w:rsidP="00000000" w:rsidRDefault="00000000" w:rsidRPr="00000000" w14:paraId="0000003D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As sessões usam JWTs assimétricos ES256 verificados via JWKS público. Todas as tabelas aplicam Row Level Security (leitura apenas dos próprios dados; escrita exclusivamente pela service role da API). Segredos ficam no GCP Secret Manager; webhooks têm assinatura verificada; o cliente jamais calcula ou influencia resultados.</w:t>
      </w:r>
    </w:p>
    <w:p w:rsidR="00000000" w:rsidDel="00000000" w:rsidP="00000000" w:rsidRDefault="00000000" w:rsidRPr="00000000" w14:paraId="0000003E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RNF03 – Arquitetura e Escalabilidade</w:t>
      </w:r>
    </w:p>
    <w:p w:rsidR="00000000" w:rsidDel="00000000" w:rsidP="00000000" w:rsidRDefault="00000000" w:rsidRPr="00000000" w14:paraId="0000003F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 API deve ser stateless e containerizada, escalando a partir de zero no Cloud Run. Uma única API deve atender web e mobile de forma idêntica (escopo via CORS). A aplicação web deve compilar para arquivos estáticos servidos por CDN.</w:t>
      </w:r>
    </w:p>
    <w:p w:rsidR="00000000" w:rsidDel="00000000" w:rsidP="00000000" w:rsidRDefault="00000000" w:rsidRPr="00000000" w14:paraId="00000040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RNF04 – Justiça e Auditabilidade</w:t>
      </w:r>
    </w:p>
    <w:p w:rsidR="00000000" w:rsidDel="00000000" w:rsidP="00000000" w:rsidRDefault="00000000" w:rsidRPr="00000000" w14:paraId="00000041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Todo resultado deve ser verificável criptograficamente pelo jogador (commit–reveal, HMAC-SHA256). Toda variação de saldo deve ser registrada em livro-razão append-only satisfazendo a invariante saldo =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Σ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 transações.</w:t>
      </w:r>
    </w:p>
    <w:p w:rsidR="00000000" w:rsidDel="00000000" w:rsidP="00000000" w:rsidRDefault="00000000" w:rsidRPr="00000000" w14:paraId="00000042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RNF05 – Disponibilidade</w:t>
      </w:r>
    </w:p>
    <w:p w:rsidR="00000000" w:rsidDel="00000000" w:rsidP="00000000" w:rsidRDefault="00000000" w:rsidRPr="00000000" w14:paraId="00000043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O sistema utiliza plataformas gerenciadas (Cloud Run, Cloudflare, Supabase). Um endpoint de health permite monitoramento; os deploys são condicionados a testes automatizados no CI.</w:t>
      </w:r>
    </w:p>
    <w:p w:rsidR="00000000" w:rsidDel="00000000" w:rsidP="00000000" w:rsidRDefault="00000000" w:rsidRPr="00000000" w14:paraId="00000044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RNF06 – Usabilidade e Acessibilidade</w:t>
      </w:r>
    </w:p>
    <w:p w:rsidR="00000000" w:rsidDel="00000000" w:rsidP="00000000" w:rsidRDefault="00000000" w:rsidRPr="00000000" w14:paraId="00000045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 interface oferece três idiomas (detectados automaticamente do navegador) com seletor com bandeiras, três temas de cores, mudo de som e respeita a preferência de movimento reduzido do sistema operacional. Os layouts são responsivos do mobile ao desktop.</w:t>
      </w:r>
    </w:p>
    <w:p w:rsidR="00000000" w:rsidDel="00000000" w:rsidP="00000000" w:rsidRDefault="00000000" w:rsidRPr="00000000" w14:paraId="00000046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RNF07 – Qualidade de Software</w:t>
      </w:r>
    </w:p>
    <w:p w:rsidR="00000000" w:rsidDel="00000000" w:rsidP="00000000" w:rsidRDefault="00000000" w:rsidRPr="00000000" w14:paraId="00000047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O motor do jogo deve manter cobertura de testes unitários da matemática de prêmios e derivação de rolagens, incluindo determinismo, limites, uniformidade estatística e vantagem da casa. Todo o código é tipado (TypeScript); os testes condicionam cada deploy.</w:t>
      </w:r>
    </w:p>
    <w:p w:rsidR="00000000" w:rsidDel="00000000" w:rsidP="00000000" w:rsidRDefault="00000000" w:rsidRPr="00000000" w14:paraId="00000048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RNF08 – CI/CD e Deploy</w:t>
      </w:r>
    </w:p>
    <w:p w:rsidR="00000000" w:rsidDel="00000000" w:rsidP="00000000" w:rsidRDefault="00000000" w:rsidRPr="00000000" w14:paraId="00000049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Pipelines automatizados devem compilar, testar e publicar a API (Docker → Artifact Registry → Cloud Run) e o web app a cada push, e no mobile: gerar o APK, executar testes robo no Firebase Test Lab em dispositivos virtuais, distribuir via Firebase App Distribution e validar o build iOS com CocoaPods em runners macOS. Todo acesso ao Google Cloud é sem chaves (WIF).</w:t>
      </w:r>
    </w:p>
    <w:p w:rsidR="00000000" w:rsidDel="00000000" w:rsidP="00000000" w:rsidRDefault="00000000" w:rsidRPr="00000000" w14:paraId="0000004A">
      <w:pPr>
        <w:pStyle w:val="Heading3"/>
        <w:rPr>
          <w:rFonts w:ascii="Montserrat" w:cs="Montserrat" w:eastAsia="Montserrat" w:hAnsi="Montserrat"/>
          <w:color w:val="000000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rtl w:val="0"/>
        </w:rPr>
        <w:t xml:space="preserve">RNF09 – Conformidade (Demonstração)</w:t>
      </w:r>
    </w:p>
    <w:p w:rsidR="00000000" w:rsidDel="00000000" w:rsidP="00000000" w:rsidRDefault="00000000" w:rsidRPr="00000000" w14:paraId="0000004B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 plataforma deve operar exclusivamente com moedas virtuais e Stripe em modo de teste, exibindo aviso permanente. Não é um produto de jogos de azar e não deve processar dinheiro real.</w:t>
      </w:r>
    </w:p>
    <w:p w:rsidR="00000000" w:rsidDel="00000000" w:rsidP="00000000" w:rsidRDefault="00000000" w:rsidRPr="00000000" w14:paraId="0000004C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>
          <w:rFonts w:ascii="Montserrat" w:cs="Montserrat" w:eastAsia="Montserrat" w:hAnsi="Montserrat"/>
          <w:color w:val="0f4761"/>
          <w:sz w:val="34"/>
          <w:szCs w:val="34"/>
        </w:rPr>
      </w:pPr>
      <w:r w:rsidDel="00000000" w:rsidR="00000000" w:rsidRPr="00000000">
        <w:rPr>
          <w:rFonts w:ascii="Montserrat" w:cs="Montserrat" w:eastAsia="Montserrat" w:hAnsi="Montserrat"/>
          <w:color w:val="0f4761"/>
          <w:sz w:val="34"/>
          <w:szCs w:val="34"/>
          <w:rtl w:val="0"/>
        </w:rPr>
        <w:t xml:space="preserve">Funcionalidades da Aplicação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 de Usuário (com bônus de boas-vindas)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Autenticação/Login de Usuário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Jogo de Dados – Fazer uma Aposta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Depósitos (Stripe modo de teste)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Histórico de Apostas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Verificação Provably Fair (rotação de seeds)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Seleção de Idioma e Tema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Logout</w:t>
      </w:r>
    </w:p>
    <w:p w:rsidR="00000000" w:rsidDel="00000000" w:rsidP="00000000" w:rsidRDefault="00000000" w:rsidRPr="00000000" w14:paraId="00000056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Cadastro de Usuário</w:t>
      </w:r>
    </w:p>
    <w:p w:rsidR="00000000" w:rsidDel="00000000" w:rsidP="00000000" w:rsidRDefault="00000000" w:rsidRPr="00000000" w14:paraId="00000058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deve permitir a criação de conta com e-mail e senha;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perfil, uma carteira e um bônus de boas-vindas de $10,00 (moedas virtuais) devem ser provisionados automaticamente no cadastro;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nome de usuário padrão é o prefixo do e-mail.</w:t>
      </w:r>
    </w:p>
    <w:p w:rsidR="00000000" w:rsidDel="00000000" w:rsidP="00000000" w:rsidRDefault="00000000" w:rsidRPr="00000000" w14:paraId="0000005C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e-mail deve ser único e válido;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senha deve conter no mínimo 6 caracteres;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bônus de boas-vindas é registrado como depósito no livro-razão com referência única, de modo que jamais possa ser concedido duas vezes.</w:t>
      </w:r>
    </w:p>
    <w:p w:rsidR="00000000" w:rsidDel="00000000" w:rsidP="00000000" w:rsidRDefault="00000000" w:rsidRPr="00000000" w14:paraId="00000060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visitante cria uma conta para jogar com moedas virtuais.</w:t>
      </w:r>
    </w:p>
    <w:p w:rsidR="00000000" w:rsidDel="00000000" w:rsidP="00000000" w:rsidRDefault="00000000" w:rsidRPr="00000000" w14:paraId="00000062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acessa a aplicação e seleciona "Cadastre-se";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informa e-mail e senha;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Supabase Auth cria a conta; um trigger no banco provisiona perfil, carteira e a transação do bônus de forma atômica;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é redirecionado à tela do jogo com saldo de $10,00.</w:t>
      </w:r>
    </w:p>
    <w:p w:rsidR="00000000" w:rsidDel="00000000" w:rsidP="00000000" w:rsidRDefault="00000000" w:rsidRPr="00000000" w14:paraId="00000067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E-mail já cadastrado → o sistema exibe mensagem de erro;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Senha abaixo do tamanho mínimo → o sistema exibe mensagem de erro.</w:t>
      </w:r>
    </w:p>
    <w:p w:rsidR="00000000" w:rsidDel="00000000" w:rsidP="00000000" w:rsidRDefault="00000000" w:rsidRPr="00000000" w14:paraId="0000006A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1"/>
          <w:iCs w:val="1"/>
          <w:color w:val="8a8f9c"/>
          <w:sz w:val="22"/>
          <w:szCs w:val="22"/>
        </w:rPr>
        <w:drawing>
          <wp:inline distB="0" distT="0" distL="0" distR="0">
            <wp:extent cx="5731510" cy="3610610"/>
            <wp:effectExtent b="0" l="0" r="0" t="0"/>
            <wp:docPr id="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06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>
          <w:rFonts w:ascii="Montserrat" w:cs="Montserrat" w:eastAsia="Montserrat" w:hAnsi="Montserra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Autenticação/Login de Usuário</w:t>
      </w:r>
    </w:p>
    <w:p w:rsidR="00000000" w:rsidDel="00000000" w:rsidP="00000000" w:rsidRDefault="00000000" w:rsidRPr="00000000" w14:paraId="0000006E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Permitir que usuários cadastrados se autentiquem com e-mail e senha;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uma sessão autenticada (JWT ES256 emitido pelo Supabase Auth);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Anexar o token de acesso a toda requisição à API como Bearer token.</w:t>
      </w:r>
    </w:p>
    <w:p w:rsidR="00000000" w:rsidDel="00000000" w:rsidP="00000000" w:rsidRDefault="00000000" w:rsidRPr="00000000" w14:paraId="00000072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Apenas usuários cadastrados podem fazer login;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Credenciais inválidas devem exibir mensagem de erro;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Sessões expiradas exigem novo login; a API rejeita tokens inválidos ou ausentes com HTTP 401.</w:t>
      </w:r>
    </w:p>
    <w:p w:rsidR="00000000" w:rsidDel="00000000" w:rsidP="00000000" w:rsidRDefault="00000000" w:rsidRPr="00000000" w14:paraId="00000076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usuário cadastrado faz login para acessar o jogo e sua carteira.</w:t>
      </w:r>
    </w:p>
    <w:p w:rsidR="00000000" w:rsidDel="00000000" w:rsidP="00000000" w:rsidRDefault="00000000" w:rsidRPr="00000000" w14:paraId="00000078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informa e-mail e senha na tela de Login;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Supabase Auth valida as credenciais e emite os tokens de sessão;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aplicação carrega o saldo da carteira pela API;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é redirecionado à tela do jogo.</w:t>
      </w:r>
    </w:p>
    <w:p w:rsidR="00000000" w:rsidDel="00000000" w:rsidP="00000000" w:rsidRDefault="00000000" w:rsidRPr="00000000" w14:paraId="0000007D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Credenciais inválidas → o sistema exibe mensagem de erro;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Token ausente/expirado em chamada à API → o cliente redireciona para a tela de Login.</w:t>
      </w:r>
    </w:p>
    <w:p w:rsidR="00000000" w:rsidDel="00000000" w:rsidP="00000000" w:rsidRDefault="00000000" w:rsidRPr="00000000" w14:paraId="00000080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1"/>
          <w:iCs w:val="1"/>
          <w:color w:val="8a8f9c"/>
          <w:sz w:val="22"/>
          <w:szCs w:val="22"/>
        </w:rPr>
        <w:drawing>
          <wp:inline distB="0" distT="0" distL="0" distR="0">
            <wp:extent cx="5731510" cy="3617595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75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Jogo de Dados – Fazer uma Aposta</w:t>
      </w:r>
    </w:p>
    <w:p w:rsidR="00000000" w:rsidDel="00000000" w:rsidP="00000000" w:rsidRDefault="00000000" w:rsidRPr="00000000" w14:paraId="00000084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Permitir escolher a chance de vitória (alvo) entre 1% e 98% via slider;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Exibir o multiplicador de prêmio (99 / alvo, 1% de vantagem da casa) e o ganho potencial em tempo real;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Animar a rolagem (dado girando, números alternando, som de copo com gelo) por 1,4 s antes de revelar;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Liquidar a aposta atomicamente e atualizar o saldo imediatamente.</w:t>
      </w:r>
    </w:p>
    <w:p w:rsidR="00000000" w:rsidDel="00000000" w:rsidP="00000000" w:rsidRDefault="00000000" w:rsidRPr="00000000" w14:paraId="00000089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aposta vence quando rolagem &lt; alvo; a rolagem está em [0, 100) com duas casas decimais;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aposta deve ser positiva, limitada a $1.000,00 por rodada, e jamais exceder o saldo;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rolagem é derivada exclusivamente no servidor: HMAC-SHA256(serverSeed, clientSeed:nonce);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Nonces são reivindicados atomicamente, impedindo reuso em apostas concorrentes;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vitória paga floor(aposta × 99 / alvo) centavos; frações arredondam a favor da casa;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Usuários com preferência de movimento reduzido veem o resultado imediatamente (sem animação de suspense).</w:t>
      </w:r>
    </w:p>
    <w:p w:rsidR="00000000" w:rsidDel="00000000" w:rsidP="00000000" w:rsidRDefault="00000000" w:rsidRPr="00000000" w14:paraId="00000090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usuário autenticado faz uma aposta no jogo de dados.</w:t>
      </w:r>
    </w:p>
    <w:p w:rsidR="00000000" w:rsidDel="00000000" w:rsidP="00000000" w:rsidRDefault="00000000" w:rsidRPr="00000000" w14:paraId="00000092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define chance de vitória e valor e pressiona "Rolar";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inicia a animação e envia a aposta à API com o token de sessão;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API verifica o token, reivindica o próximo nonce e calcula a rolagem a partir da seed comprometida;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função place_bet bloqueia a carteira, debita a aposta, registra a aposta, credita o prêmio se houver e atualiza o saldo — em uma única transação;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animação termina; o resultado e o novo saldo são exibidos com som de vitória/derrota.</w:t>
      </w:r>
    </w:p>
    <w:p w:rsidR="00000000" w:rsidDel="00000000" w:rsidP="00000000" w:rsidRDefault="00000000" w:rsidRPr="00000000" w14:paraId="00000098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 insuficiente → o sistema sugere realizar um depósito de teste;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Aposta ou alvo inválido → o sistema exibe erro de validação;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Falha de API/rede → o sistema exibe erro e o livro-razão permanece inalterado.</w:t>
      </w:r>
    </w:p>
    <w:p w:rsidR="00000000" w:rsidDel="00000000" w:rsidP="00000000" w:rsidRDefault="00000000" w:rsidRPr="00000000" w14:paraId="0000009C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60" w:before="100" w:lineRule="auto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8a8f9c"/>
        </w:rPr>
        <w:drawing>
          <wp:inline distB="0" distT="0" distL="0" distR="0">
            <wp:extent cx="5753277" cy="5998043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277" cy="59980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Depósitos (Stripe modo de teste)</w:t>
      </w:r>
    </w:p>
    <w:p w:rsidR="00000000" w:rsidDel="00000000" w:rsidP="00000000" w:rsidRDefault="00000000" w:rsidRPr="00000000" w14:paraId="0000009F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Oferecer opções fixas de depósito ($5, $20, $100) que abrem o Stripe Checkout;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Creditar a carteira automaticamente após a confirmação do pagamento via webhook;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Redirecionar o usuário de volta à aplicação após o checkout.</w:t>
      </w:r>
    </w:p>
    <w:p w:rsidR="00000000" w:rsidDel="00000000" w:rsidP="00000000" w:rsidRDefault="00000000" w:rsidRPr="00000000" w14:paraId="000000A3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Pagamentos ocorrem exclusivamente no modo de teste do Stripe (apenas cartões de teste);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webhook deve ter a assinatura verificada antes de qualquer processamento;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Depósitos são idempotentes pelo id da sessão de Checkout — retentativas de webhook jamais creditam em dobro;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Valores de depósito são limitados entre $1,00 e $500,00.</w:t>
      </w:r>
    </w:p>
    <w:p w:rsidR="00000000" w:rsidDel="00000000" w:rsidP="00000000" w:rsidRDefault="00000000" w:rsidRPr="00000000" w14:paraId="000000A8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usuário autenticado recarrega seu saldo virtual usando um cartão de teste.</w:t>
      </w:r>
    </w:p>
    <w:p w:rsidR="00000000" w:rsidDel="00000000" w:rsidP="00000000" w:rsidRDefault="00000000" w:rsidRPr="00000000" w14:paraId="000000AA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seleciona um valor de depósito;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API cria uma sessão do Stripe Checkout marcada com o id do usuário e retorna sua URL;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conclui o pagamento com o cartão de teste (4242 4242 4242 4242);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Stripe envia checkout.session.completed ao webhook da API;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API verifica a assinatura e chama apply_deposit, que credita o livro-razão de forma idempotente;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retorna à aplicação e vê o saldo atualizado.</w:t>
      </w:r>
    </w:p>
    <w:p w:rsidR="00000000" w:rsidDel="00000000" w:rsidP="00000000" w:rsidRDefault="00000000" w:rsidRPr="00000000" w14:paraId="000000B1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Pagamento cancelado → o usuário retorna à aplicação; nada muda no livro-razão;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Retentativa de webhook de sessão já aplicada → ignorada (idempotência por referência);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Assinatura inválida → rejeitada com HTTP 400.</w:t>
      </w:r>
    </w:p>
    <w:p w:rsidR="00000000" w:rsidDel="00000000" w:rsidP="00000000" w:rsidRDefault="00000000" w:rsidRPr="00000000" w14:paraId="000000B5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60" w:before="10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8a8f9c"/>
        </w:rPr>
        <w:drawing>
          <wp:inline distB="0" distT="0" distL="0" distR="0">
            <wp:extent cx="5731510" cy="4994275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Histórico de Apostas</w:t>
      </w:r>
    </w:p>
    <w:p w:rsidR="00000000" w:rsidDel="00000000" w:rsidP="00000000" w:rsidRDefault="00000000" w:rsidRPr="00000000" w14:paraId="000000B8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Exibir as apostas mais recentes do usuário autenticado (até 50);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Mostrar data/hora, aposta, alvo, rolagem e prêmio de cada aposta, com cores de vitória/derrota.</w:t>
      </w:r>
    </w:p>
    <w:p w:rsidR="00000000" w:rsidDel="00000000" w:rsidP="00000000" w:rsidRDefault="00000000" w:rsidRPr="00000000" w14:paraId="000000BB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Usuários só podem ler as próprias apostas (Row Level Security);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histórico é somente leitura — apostas são imutáveis após liquidadas.</w:t>
      </w:r>
    </w:p>
    <w:p w:rsidR="00000000" w:rsidDel="00000000" w:rsidP="00000000" w:rsidRDefault="00000000" w:rsidRPr="00000000" w14:paraId="000000BE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usuário revisa seus resultados recentes de jogo.</w:t>
      </w:r>
    </w:p>
    <w:p w:rsidR="00000000" w:rsidDel="00000000" w:rsidP="00000000" w:rsidRDefault="00000000" w:rsidRPr="00000000" w14:paraId="000000C0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abre a tela de Histórico;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solicita a lista de apostas à API com o token de sessão;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renderiza a tabela com destaque de vitória/derrota.</w:t>
      </w:r>
    </w:p>
    <w:p w:rsidR="00000000" w:rsidDel="00000000" w:rsidP="00000000" w:rsidRDefault="00000000" w:rsidRPr="00000000" w14:paraId="000000C4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Nenhuma aposta ainda → o sistema exibe mensagem de estado vazio.</w:t>
      </w:r>
    </w:p>
    <w:p w:rsidR="00000000" w:rsidDel="00000000" w:rsidP="00000000" w:rsidRDefault="00000000" w:rsidRPr="00000000" w14:paraId="000000C6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60" w:before="10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8a8f9c"/>
        </w:rPr>
        <w:drawing>
          <wp:inline distB="0" distT="0" distL="0" distR="0">
            <wp:extent cx="5731510" cy="6259195"/>
            <wp:effectExtent b="0" l="0" r="0" t="0"/>
            <wp:docPr id="1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59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Verificação Provably Fair</w:t>
      </w:r>
    </w:p>
    <w:p w:rsidR="00000000" w:rsidDel="00000000" w:rsidP="00000000" w:rsidRDefault="00000000" w:rsidRPr="00000000" w14:paraId="000000C9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Exibir o par de seeds atual: hash da seed do servidor (compromisso), seed do cliente e próximo nonce;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Permitir rotacionar o par de seeds, revelando a seed do servidor anterior;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Fornecer um verificador no navegador que recalcula qualquer rolagem a partir de (serverSeed, clientSeed, nonce) usando Web Crypto;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Listar todos os pares de seeds já revelados.</w:t>
      </w:r>
    </w:p>
    <w:p w:rsidR="00000000" w:rsidDel="00000000" w:rsidP="00000000" w:rsidRDefault="00000000" w:rsidRPr="00000000" w14:paraId="000000CE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seed do servidor em texto claro jamais é exposta enquanto ativa — apenas seu compromisso SHA-256;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rotação desativa o par atual, o marca como revelado e ativa um novo par;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Uma rolagem recalculada deve coincidir com a registrada, e sha256(seed revelada) deve coincidir com o compromisso anterior;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pode fornecer a própria seed do cliente na rotação (até 64 caracteres).</w:t>
      </w:r>
    </w:p>
    <w:p w:rsidR="00000000" w:rsidDel="00000000" w:rsidP="00000000" w:rsidRDefault="00000000" w:rsidRPr="00000000" w14:paraId="000000D3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usuário audita rolagens passadas para confirmar que o jogo não trapaceou.</w:t>
      </w:r>
    </w:p>
    <w:p w:rsidR="00000000" w:rsidDel="00000000" w:rsidP="00000000" w:rsidRDefault="00000000" w:rsidRPr="00000000" w14:paraId="000000D5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abre a tela de Transparência e anota o compromisso atual;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Após jogar, o usuário rotaciona o par de seeds;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revela a seed do servidor anterior;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insere seed, seed do cliente e nonce no verificador;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verificador recalcula a rolagem localmente (Web Crypto) e a exibe junto do hash da seed para comparação.</w:t>
      </w:r>
    </w:p>
    <w:p w:rsidR="00000000" w:rsidDel="00000000" w:rsidP="00000000" w:rsidRDefault="00000000" w:rsidRPr="00000000" w14:paraId="000000DB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Rolagem recalculada difere da registrada → evidência de adulteração (por construção, impossível com dados honestos);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Nenhuma seed revelada ainda → o sistema explica que é preciso rotacionar antes.</w:t>
      </w:r>
    </w:p>
    <w:p w:rsidR="00000000" w:rsidDel="00000000" w:rsidP="00000000" w:rsidRDefault="00000000" w:rsidRPr="00000000" w14:paraId="000000DE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60" w:before="100" w:lineRule="auto"/>
        <w:jc w:val="center"/>
        <w:rPr>
          <w:rFonts w:ascii="Montserrat" w:cs="Montserrat" w:eastAsia="Montserrat" w:hAnsi="Montserrat"/>
          <w:color w:val="0a3041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8a8f9c"/>
        </w:rPr>
        <w:drawing>
          <wp:inline distB="0" distT="0" distL="0" distR="0">
            <wp:extent cx="5784560" cy="6337637"/>
            <wp:effectExtent b="0" l="0" r="0" t="0"/>
            <wp:docPr id="1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4560" cy="63376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60" w:before="100" w:lineRule="auto"/>
        <w:jc w:val="center"/>
        <w:rPr>
          <w:rFonts w:ascii="Montserrat" w:cs="Montserrat" w:eastAsia="Montserrat" w:hAnsi="Montserrat"/>
          <w:color w:val="0a3041"/>
        </w:rPr>
      </w:pPr>
      <w:r w:rsidDel="00000000" w:rsidR="00000000" w:rsidRPr="00000000">
        <w:rPr>
          <w:rFonts w:ascii="Montserrat" w:cs="Montserrat" w:eastAsia="Montserrat" w:hAnsi="Montserrat"/>
          <w:color w:val="0a3041"/>
        </w:rPr>
        <w:drawing>
          <wp:inline distB="0" distT="0" distL="0" distR="0">
            <wp:extent cx="5727380" cy="4448142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7380" cy="44481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60" w:before="100" w:lineRule="auto"/>
        <w:rPr>
          <w:rFonts w:ascii="Montserrat" w:cs="Montserrat" w:eastAsia="Montserrat" w:hAnsi="Montserra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Seleção de Idioma e Tema</w:t>
      </w:r>
    </w:p>
    <w:p w:rsidR="00000000" w:rsidDel="00000000" w:rsidP="00000000" w:rsidRDefault="00000000" w:rsidRPr="00000000" w14:paraId="000000E3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Oferecer inglês, português do Brasil e espanhol em um seletor com bandeiras;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Detectar automaticamente o idioma do navegador na primeira visita;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Oferecer três temas de cores (azul, roxo e laranja) por amostras de cor;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Persistir ambas as preferências entre sessões.</w:t>
      </w:r>
    </w:p>
    <w:p w:rsidR="00000000" w:rsidDel="00000000" w:rsidP="00000000" w:rsidRDefault="00000000" w:rsidRPr="00000000" w14:paraId="000000E8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texto visível ao usuário deve vir dos dicionários de tradução;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temas reestilizam toda a interface por variáveis CSS — sem lógica de cor por componente;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Ambos os seletores ficam disponíveis antes da autenticação (inclusive na tela de login).</w:t>
      </w:r>
    </w:p>
    <w:p w:rsidR="00000000" w:rsidDel="00000000" w:rsidP="00000000" w:rsidRDefault="00000000" w:rsidRPr="00000000" w14:paraId="000000EC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usuário adapta a interface ao seu idioma e preferência visual.</w:t>
      </w:r>
    </w:p>
    <w:p w:rsidR="00000000" w:rsidDel="00000000" w:rsidP="00000000" w:rsidRDefault="00000000" w:rsidRPr="00000000" w14:paraId="000000EE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abre o menu de idiomas (ícone de bandeira) e seleciona um idioma;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interface é rerrenderizada instantaneamente no idioma escolhido e a escolha é armazenada;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clica em uma amostra de tema; as cores mudam na hora e a escolha é armazenada.</w:t>
      </w:r>
    </w:p>
    <w:p w:rsidR="00000000" w:rsidDel="00000000" w:rsidP="00000000" w:rsidRDefault="00000000" w:rsidRPr="00000000" w14:paraId="000000F2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Primeira visita com navegador em português ou espanhol → a interface já inicia nesse idioma.</w:t>
      </w:r>
    </w:p>
    <w:p w:rsidR="00000000" w:rsidDel="00000000" w:rsidP="00000000" w:rsidRDefault="00000000" w:rsidRPr="00000000" w14:paraId="000000F4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1"/>
          <w:iCs w:val="1"/>
          <w:color w:val="8a8f9c"/>
          <w:sz w:val="22"/>
          <w:szCs w:val="22"/>
        </w:rPr>
        <w:drawing>
          <wp:inline distB="0" distT="0" distL="0" distR="0">
            <wp:extent cx="2048161" cy="1495634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495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rPr>
          <w:rFonts w:ascii="Montserrat" w:cs="Montserrat" w:eastAsia="Montserrat" w:hAnsi="Montserra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Logout</w:t>
      </w:r>
    </w:p>
    <w:p w:rsidR="00000000" w:rsidDel="00000000" w:rsidP="00000000" w:rsidRDefault="00000000" w:rsidRPr="00000000" w14:paraId="000000F8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Permitir que o usuário autenticado encerre a sessão a partir de qualquer tela.</w:t>
      </w:r>
    </w:p>
    <w:p w:rsidR="00000000" w:rsidDel="00000000" w:rsidP="00000000" w:rsidRDefault="00000000" w:rsidRPr="00000000" w14:paraId="000000FA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sessão local é invalidada; a exibição do saldo é reiniciada;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Chamadas subsequentes à API sem token válido são rejeitadas (HTTP 401).</w:t>
      </w:r>
    </w:p>
    <w:p w:rsidR="00000000" w:rsidDel="00000000" w:rsidP="00000000" w:rsidRDefault="00000000" w:rsidRPr="00000000" w14:paraId="000000FD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Um usuário sai da aplicação.</w:t>
      </w:r>
    </w:p>
    <w:p w:rsidR="00000000" w:rsidDel="00000000" w:rsidP="00000000" w:rsidRDefault="00000000" w:rsidRPr="00000000" w14:paraId="000000FF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pressiona "Sair";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sessão do Supabase é encerrada;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é redirecionado à tela de Login.</w:t>
      </w:r>
    </w:p>
    <w:p w:rsidR="00000000" w:rsidDel="00000000" w:rsidP="00000000" w:rsidRDefault="00000000" w:rsidRPr="00000000" w14:paraId="00000103">
      <w:pPr>
        <w:spacing w:after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Telas Relacionadas: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1"/>
          <w:iCs w:val="1"/>
          <w:color w:val="8a8f9c"/>
          <w:sz w:val="22"/>
          <w:szCs w:val="22"/>
        </w:rPr>
        <w:drawing>
          <wp:inline distB="0" distT="0" distL="0" distR="0">
            <wp:extent cx="6188710" cy="955040"/>
            <wp:effectExtent b="0" l="0" r="0" t="0"/>
            <wp:docPr id="1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55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rPr>
          <w:rFonts w:ascii="Montserrat" w:cs="Montserrat" w:eastAsia="Montserrat" w:hAnsi="Montserrat"/>
        </w:rPr>
      </w:pPr>
      <w:r w:rsidDel="00000000" w:rsidR="00000000" w:rsidRPr="00000000">
        <w:br w:type="page"/>
      </w:r>
      <w:r w:rsidDel="00000000" w:rsidR="00000000" w:rsidRPr="00000000">
        <w:rPr>
          <w:rFonts w:ascii="Montserrat" w:cs="Montserrat" w:eastAsia="Montserrat" w:hAnsi="Montserrat"/>
          <w:color w:val="0f4761"/>
          <w:rtl w:val="0"/>
        </w:rPr>
        <w:t xml:space="preserve">Modelagem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 modelagem do banco foi projetada em torno de um livro-razão de carteira de nível financeiro e do mecanismo provably fair, mantendo todos os valores monetários em centavos inteiros e concentrando todas as garantias de consistência no próprio banco por meio de funções atômicas.</w:t>
      </w:r>
    </w:p>
    <w:p w:rsidR="00000000" w:rsidDel="00000000" w:rsidP="00000000" w:rsidRDefault="00000000" w:rsidRPr="00000000" w14:paraId="00000107">
      <w:pPr>
        <w:spacing w:after="60" w:before="120" w:lineRule="auto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</w:rPr>
        <w:drawing>
          <wp:inline distB="0" distT="0" distL="0" distR="0">
            <wp:extent cx="5715000" cy="3857625"/>
            <wp:effectExtent b="0" l="0" r="0" t="0"/>
            <wp:docPr id="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57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lineRule="auto"/>
        <w:jc w:val="center"/>
        <w:rPr>
          <w:rFonts w:ascii="Montserrat" w:cs="Montserrat" w:eastAsia="Montserrat" w:hAnsi="Montserrat"/>
          <w:i w:val="1"/>
          <w:iCs w:val="1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rtl w:val="0"/>
        </w:rPr>
        <w:t xml:space="preserve">[DiceBet – Diagrama de Modelagem de Dados (docs/dicebet-data-model.png)]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profiles – dados públicos de perfil (nome de usuário), 1:1 com o usuário de autenticação;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wallets – saldo atual por usuário (estado derivado, centavos inteiros, não negativo);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transactions – livro-razão append-only; valores com sinal tipados como deposit, bet ou payout, com snapshots de balance_after e referência externa única (ref_id) para idempotência;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bets – registro imutável de cada rolagem: aposta, alvo, rolagem, prêmio e os dados de justiça (hash da seed, seed do cliente, nonce) que a tornam verificável;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31" w:right="0" w:hanging="259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user_seeds – pares de seeds commit–reveal; a seed do servidor em texto claro só é legível pela API e só é exposta após rotação (revealed_at).</w:t>
      </w:r>
    </w:p>
    <w:p w:rsidR="00000000" w:rsidDel="00000000" w:rsidP="00000000" w:rsidRDefault="00000000" w:rsidRPr="00000000" w14:paraId="0000010E">
      <w:pPr>
        <w:pStyle w:val="Heading2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Fluxo de Dados – Fazendo uma Aposta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envia aposta e alvo com o token de sessão do usuário;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API verifica o token ES256 contra o JWKS público do Supabase;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par de seeds ativo é carregado e o próximo nonce é reivindicado atomicamente (nonce = nonce + 1);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rolagem é calculada como HMAC-SHA256(serverSeed, clientSeed:nonce) → [0, 100);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place_bet executa atomicamente: bloqueia a linha da carteira, valida o saldo, insere a transação negativa da aposta, insere a aposta, credita a transação do prêmio quando há vitória e atualiza o saldo;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resposta retorna rolagem, prêmio e novo saldo para animar a revelação;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telas de Histórico e Transparência leem depois as mesmas linhas sob Row Level Security.</w:t>
      </w:r>
    </w:p>
    <w:p w:rsidR="00000000" w:rsidDel="00000000" w:rsidP="00000000" w:rsidRDefault="00000000" w:rsidRPr="00000000" w14:paraId="00000116">
      <w:pPr>
        <w:spacing w:after="60" w:lineRule="auto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[Supabase]</w:t>
      </w:r>
    </w:p>
    <w:p w:rsidR="00000000" w:rsidDel="00000000" w:rsidP="00000000" w:rsidRDefault="00000000" w:rsidRPr="00000000" w14:paraId="00000117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</w:rPr>
        <w:drawing>
          <wp:inline distB="114300" distT="114300" distL="114300" distR="114300">
            <wp:extent cx="6188400" cy="2438400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60" w:lineRule="auto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[GCP Cloud Run]</w:t>
      </w:r>
    </w:p>
    <w:p w:rsidR="00000000" w:rsidDel="00000000" w:rsidP="00000000" w:rsidRDefault="00000000" w:rsidRPr="00000000" w14:paraId="00000119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</w:rPr>
        <w:drawing>
          <wp:inline distB="114300" distT="114300" distL="114300" distR="114300">
            <wp:extent cx="6188400" cy="30734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60" w:lineRule="auto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[CloudFlare]</w:t>
      </w:r>
    </w:p>
    <w:p w:rsidR="00000000" w:rsidDel="00000000" w:rsidP="00000000" w:rsidRDefault="00000000" w:rsidRPr="00000000" w14:paraId="00000120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</w:rPr>
        <w:drawing>
          <wp:inline distB="114300" distT="114300" distL="114300" distR="114300">
            <wp:extent cx="6188400" cy="3060700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</w:rPr>
        <w:drawing>
          <wp:inline distB="114300" distT="114300" distL="114300" distR="114300">
            <wp:extent cx="6188400" cy="3060700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Fluxo de Dados – Depósito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solicita um depósito; a API cria uma sessão do Stripe Checkout marcada com o id do usuário;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paga com cartão de teste na página hospedada do Stripe;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Stripe chama o webhook da API com checkout.session.completed;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API verifica a assinatura do webhook contra o segredo do endpoint;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apply_deposit executa de forma atômica e idempotente (ref_id único = id da sessão): insere a transação de depósito e atualiza o saldo;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460" w:right="0" w:hanging="316"/>
        <w:jc w:val="left"/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Retentativas de webhook encontram a referência existente e nada alteram.</w:t>
      </w:r>
    </w:p>
    <w:p w:rsidR="00000000" w:rsidDel="00000000" w:rsidP="00000000" w:rsidRDefault="00000000" w:rsidRPr="00000000" w14:paraId="0000012B">
      <w:pPr>
        <w:spacing w:after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40" w:lineRule="auto"/>
        <w:rPr>
          <w:rFonts w:ascii="Montserrat" w:cs="Montserrat" w:eastAsia="Montserrat" w:hAnsi="Montserrat"/>
          <w:i w:val="1"/>
          <w:iCs w:val="1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rtl w:val="0"/>
        </w:rPr>
        <w:t xml:space="preserve">Invariante do livro-razão: para todo usuário, wallets.balance sempre equivale à soma de transactions.amount. Como toda mutação passa por place_bet ou apply_deposit — ambas atômicas e com bloqueio de linha — a invariante se mantém sob concorrência, falhas e retentativas de webhook.</w:t>
      </w:r>
    </w:p>
    <w:p w:rsidR="00000000" w:rsidDel="00000000" w:rsidP="00000000" w:rsidRDefault="00000000" w:rsidRPr="00000000" w14:paraId="0000012D">
      <w:pPr>
        <w:spacing w:after="60" w:lineRule="auto"/>
        <w:jc w:val="center"/>
        <w:rPr>
          <w:rFonts w:ascii="Montserrat" w:cs="Montserrat" w:eastAsia="Montserrat" w:hAnsi="Montserrat"/>
          <w:i w:val="1"/>
          <w:iCs w:val="1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[Stripe]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</w:rPr>
        <w:drawing>
          <wp:inline distB="0" distT="0" distL="0" distR="0">
            <wp:extent cx="6296384" cy="2981512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6384" cy="2981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</w:rPr>
        <w:drawing>
          <wp:inline distB="114300" distT="114300" distL="114300" distR="114300">
            <wp:extent cx="6188400" cy="2273300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6" w:type="default"/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431" w:hanging="259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460" w:hanging="316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4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f2430"/>
      <w:sz w:val="34"/>
      <w:szCs w:val="3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f2430"/>
      <w:sz w:val="27"/>
      <w:szCs w:val="27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16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3b82f6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png"/><Relationship Id="rId22" Type="http://schemas.openxmlformats.org/officeDocument/2006/relationships/image" Target="media/image12.png"/><Relationship Id="rId21" Type="http://schemas.openxmlformats.org/officeDocument/2006/relationships/image" Target="media/image13.png"/><Relationship Id="rId24" Type="http://schemas.openxmlformats.org/officeDocument/2006/relationships/image" Target="media/image6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png"/><Relationship Id="rId26" Type="http://schemas.openxmlformats.org/officeDocument/2006/relationships/header" Target="header1.xml"/><Relationship Id="rId25" Type="http://schemas.openxmlformats.org/officeDocument/2006/relationships/image" Target="media/image1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11" Type="http://schemas.openxmlformats.org/officeDocument/2006/relationships/image" Target="media/image9.png"/><Relationship Id="rId10" Type="http://schemas.openxmlformats.org/officeDocument/2006/relationships/image" Target="media/image20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5" Type="http://schemas.openxmlformats.org/officeDocument/2006/relationships/image" Target="media/image18.png"/><Relationship Id="rId14" Type="http://schemas.openxmlformats.org/officeDocument/2006/relationships/image" Target="media/image19.png"/><Relationship Id="rId17" Type="http://schemas.openxmlformats.org/officeDocument/2006/relationships/image" Target="media/image7.png"/><Relationship Id="rId16" Type="http://schemas.openxmlformats.org/officeDocument/2006/relationships/image" Target="media/image17.png"/><Relationship Id="rId19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