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Processing</w:t>
      </w:r>
      <w:r>
        <w:t xml:space="preserve"> </w:t>
      </w:r>
      <w:r>
        <w:t xml:space="preserve">Agreement</w:t>
      </w:r>
      <w:r>
        <w:t xml:space="preserve"> </w:t>
      </w:r>
      <w:r>
        <w:t xml:space="preserve">Template</w:t>
      </w:r>
    </w:p>
    <w:bookmarkStart w:id="45" w:name="data-processing-agreement"/>
    <w:p>
      <w:pPr>
        <w:pStyle w:val="Heading1"/>
      </w:pPr>
      <w:r>
        <w:t xml:space="preserve">Data Processing Agreement</w:t>
      </w:r>
    </w:p>
    <w:p>
      <w:pPr>
        <w:pStyle w:val="FirstParagraph"/>
      </w:pPr>
      <w:r>
        <w:rPr>
          <w:bCs/>
          <w:b/>
        </w:rPr>
        <w:t xml:space="preserve">Template Version:</w:t>
      </w:r>
      <w:r>
        <w:t xml:space="preserve"> </w:t>
      </w:r>
      <w:r>
        <w:t xml:space="preserve">3.0</w:t>
      </w:r>
      <w:r>
        <w:t xml:space="preserve"> </w:t>
      </w:r>
      <w:r>
        <w:rPr>
          <w:bCs/>
          <w:b/>
        </w:rPr>
        <w:t xml:space="preserve">Last Updated:</w:t>
      </w:r>
      <w:r>
        <w:t xml:space="preserve"> </w:t>
      </w:r>
      <w:r>
        <w:t xml:space="preserve">August 1, 2024</w:t>
      </w:r>
      <w:r>
        <w:t xml:space="preserve"> </w:t>
      </w:r>
      <w:r>
        <w:rPr>
          <w:bCs/>
          <w:b/>
        </w:rPr>
        <w:t xml:space="preserve">Prepared by:</w:t>
      </w:r>
      <w:r>
        <w:t xml:space="preserve"> </w:t>
      </w:r>
      <w:r>
        <w:t xml:space="preserve">Acme Corp Legal Department</w:t>
      </w:r>
    </w:p>
    <w:p>
      <w:pPr>
        <w:pStyle w:val="BodyText"/>
      </w:pPr>
      <w:r>
        <w:t xml:space="preserve">This Data Processing Agreement (</w:t>
      </w:r>
      <w:r>
        <w:t xml:space="preserve">“</w:t>
      </w:r>
      <w:r>
        <w:t xml:space="preserve">DPA</w:t>
      </w:r>
      <w:r>
        <w:t xml:space="preserve">”</w:t>
      </w:r>
      <w:r>
        <w:t xml:space="preserve">) forms part of the Enterprise Agreement (the</w:t>
      </w:r>
      <w:r>
        <w:t xml:space="preserve"> </w:t>
      </w:r>
      <w:r>
        <w:t xml:space="preserve">“</w:t>
      </w:r>
      <w:r>
        <w:t xml:space="preserve">Agreement</w:t>
      </w:r>
      <w:r>
        <w:t xml:space="preserve">”</w:t>
      </w:r>
      <w:r>
        <w:t xml:space="preserve">) between Acme Corp (</w:t>
      </w:r>
      <w:r>
        <w:t xml:space="preserve">“</w:t>
      </w:r>
      <w:r>
        <w:t xml:space="preserve">Processor</w:t>
      </w:r>
      <w:r>
        <w:t xml:space="preserve">”</w:t>
      </w:r>
      <w:r>
        <w:t xml:space="preserve">) and the customer identified in the Agreement (</w:t>
      </w:r>
      <w:r>
        <w:t xml:space="preserve">“</w:t>
      </w:r>
      <w:r>
        <w:t xml:space="preserve">Controller</w:t>
      </w:r>
      <w:r>
        <w:t xml:space="preserve">”</w:t>
      </w:r>
      <w:r>
        <w:t xml:space="preserve">).</w:t>
      </w:r>
    </w:p>
    <w:p>
      <w:r>
        <w:pict>
          <v:rect style="width:0;height:1.5pt" o:hralign="center" o:hrstd="t" o:hr="t"/>
        </w:pict>
      </w:r>
    </w:p>
    <w:bookmarkStart w:id="20" w:name="definitions"/>
    <w:p>
      <w:pPr>
        <w:pStyle w:val="Heading2"/>
      </w:pPr>
      <w:r>
        <w:t xml:space="preserve">1. Definitions</w:t>
      </w:r>
    </w:p>
    <w:p>
      <w:pPr>
        <w:numPr>
          <w:ilvl w:val="0"/>
          <w:numId w:val="1001"/>
        </w:numPr>
        <w:pStyle w:val="Compact"/>
      </w:pPr>
      <w:r>
        <w:rPr>
          <w:bCs/>
          <w:b/>
        </w:rPr>
        <w:t xml:space="preserve">Personal Data:</w:t>
      </w:r>
      <w:r>
        <w:t xml:space="preserve"> </w:t>
      </w:r>
      <w:r>
        <w:t xml:space="preserve">Any information relating to an identified or identifiable natural person, as defined under applicable data protection law.</w:t>
      </w:r>
    </w:p>
    <w:p>
      <w:pPr>
        <w:numPr>
          <w:ilvl w:val="0"/>
          <w:numId w:val="1001"/>
        </w:numPr>
        <w:pStyle w:val="Compact"/>
      </w:pPr>
      <w:r>
        <w:rPr>
          <w:bCs/>
          <w:b/>
        </w:rPr>
        <w:t xml:space="preserve">Processing:</w:t>
      </w:r>
      <w:r>
        <w:t xml:space="preserve"> </w:t>
      </w:r>
      <w:r>
        <w:t xml:space="preserve">Any operation performed on Personal Data, including collection, storage, retrieval, use, disclosure, erasure, or destruction.</w:t>
      </w:r>
    </w:p>
    <w:p>
      <w:pPr>
        <w:numPr>
          <w:ilvl w:val="0"/>
          <w:numId w:val="1001"/>
        </w:numPr>
        <w:pStyle w:val="Compact"/>
      </w:pPr>
      <w:r>
        <w:rPr>
          <w:bCs/>
          <w:b/>
        </w:rPr>
        <w:t xml:space="preserve">Controller:</w:t>
      </w:r>
      <w:r>
        <w:t xml:space="preserve"> </w:t>
      </w:r>
      <w:r>
        <w:t xml:space="preserve">The entity that determines the purposes and means of Processing Personal Data.</w:t>
      </w:r>
    </w:p>
    <w:p>
      <w:pPr>
        <w:numPr>
          <w:ilvl w:val="0"/>
          <w:numId w:val="1001"/>
        </w:numPr>
        <w:pStyle w:val="Compact"/>
      </w:pPr>
      <w:r>
        <w:rPr>
          <w:bCs/>
          <w:b/>
        </w:rPr>
        <w:t xml:space="preserve">Processor:</w:t>
      </w:r>
      <w:r>
        <w:t xml:space="preserve"> </w:t>
      </w:r>
      <w:r>
        <w:t xml:space="preserve">The entity that Processes Personal Data on behalf of the Controller.</w:t>
      </w:r>
    </w:p>
    <w:p>
      <w:pPr>
        <w:numPr>
          <w:ilvl w:val="0"/>
          <w:numId w:val="1001"/>
        </w:numPr>
        <w:pStyle w:val="Compact"/>
      </w:pPr>
      <w:r>
        <w:rPr>
          <w:bCs/>
          <w:b/>
        </w:rPr>
        <w:t xml:space="preserve">Sub-Processor:</w:t>
      </w:r>
      <w:r>
        <w:t xml:space="preserve"> </w:t>
      </w:r>
      <w:r>
        <w:t xml:space="preserve">A third party engaged by the Processor to Process Personal Data on behalf of the Controller.</w:t>
      </w:r>
    </w:p>
    <w:p>
      <w:pPr>
        <w:numPr>
          <w:ilvl w:val="0"/>
          <w:numId w:val="1001"/>
        </w:numPr>
        <w:pStyle w:val="Compact"/>
      </w:pPr>
      <w:r>
        <w:rPr>
          <w:bCs/>
          <w:b/>
        </w:rPr>
        <w:t xml:space="preserve">Data Subject:</w:t>
      </w:r>
      <w:r>
        <w:t xml:space="preserve"> </w:t>
      </w:r>
      <w:r>
        <w:t xml:space="preserve">The individual to whom Personal Data relates.</w:t>
      </w:r>
    </w:p>
    <w:p>
      <w:pPr>
        <w:numPr>
          <w:ilvl w:val="0"/>
          <w:numId w:val="1001"/>
        </w:numPr>
        <w:pStyle w:val="Compact"/>
      </w:pPr>
      <w:r>
        <w:rPr>
          <w:bCs/>
          <w:b/>
        </w:rPr>
        <w:t xml:space="preserve">Supervisory Authority:</w:t>
      </w:r>
      <w:r>
        <w:t xml:space="preserve"> </w:t>
      </w:r>
      <w:r>
        <w:t xml:space="preserve">An independent public authority responsible for monitoring the application of data protection law.</w:t>
      </w:r>
    </w:p>
    <w:bookmarkEnd w:id="20"/>
    <w:bookmarkStart w:id="23" w:name="roles-and-responsibilities"/>
    <w:p>
      <w:pPr>
        <w:pStyle w:val="Heading2"/>
      </w:pPr>
      <w:r>
        <w:t xml:space="preserve">2. Roles and Responsibilities</w:t>
      </w:r>
    </w:p>
    <w:bookmarkStart w:id="21" w:name="controller"/>
    <w:p>
      <w:pPr>
        <w:pStyle w:val="Heading3"/>
      </w:pPr>
      <w:r>
        <w:t xml:space="preserve">2.1 Controller</w:t>
      </w:r>
    </w:p>
    <w:p>
      <w:pPr>
        <w:pStyle w:val="FirstParagraph"/>
      </w:pPr>
      <w:r>
        <w:t xml:space="preserve">The Controller determines the purposes and means of Processing the Personal Data covered by this DPA. The Controller is responsible for:</w:t>
      </w:r>
    </w:p>
    <w:p>
      <w:pPr>
        <w:numPr>
          <w:ilvl w:val="0"/>
          <w:numId w:val="1002"/>
        </w:numPr>
        <w:pStyle w:val="Compact"/>
      </w:pPr>
      <w:r>
        <w:t xml:space="preserve">Ensuring that it has a lawful basis for the Processing it instructs the Processor to carry out.</w:t>
      </w:r>
    </w:p>
    <w:p>
      <w:pPr>
        <w:numPr>
          <w:ilvl w:val="0"/>
          <w:numId w:val="1002"/>
        </w:numPr>
        <w:pStyle w:val="Compact"/>
      </w:pPr>
      <w:r>
        <w:t xml:space="preserve">Providing the Processor with documented instructions regarding the Processing.</w:t>
      </w:r>
    </w:p>
    <w:p>
      <w:pPr>
        <w:numPr>
          <w:ilvl w:val="0"/>
          <w:numId w:val="1002"/>
        </w:numPr>
        <w:pStyle w:val="Compact"/>
      </w:pPr>
      <w:r>
        <w:t xml:space="preserve">Responding to Data Subject requests (with the Processor’s assistance as described in Section 6).</w:t>
      </w:r>
    </w:p>
    <w:bookmarkEnd w:id="21"/>
    <w:bookmarkStart w:id="22" w:name="processor"/>
    <w:p>
      <w:pPr>
        <w:pStyle w:val="Heading3"/>
      </w:pPr>
      <w:r>
        <w:t xml:space="preserve">2.2 Processor</w:t>
      </w:r>
    </w:p>
    <w:p>
      <w:pPr>
        <w:pStyle w:val="FirstParagraph"/>
      </w:pPr>
      <w:r>
        <w:t xml:space="preserve">Acme Corp acts as Processor with respect to Personal Data that the Controller uploads to or processes through the Acme Corp platform. The Processor:</w:t>
      </w:r>
    </w:p>
    <w:p>
      <w:pPr>
        <w:numPr>
          <w:ilvl w:val="0"/>
          <w:numId w:val="1003"/>
        </w:numPr>
        <w:pStyle w:val="Compact"/>
      </w:pPr>
      <w:r>
        <w:t xml:space="preserve">Processes Personal Data only on the documented instructions of the Controller, unless required to do so by applicable law.</w:t>
      </w:r>
    </w:p>
    <w:p>
      <w:pPr>
        <w:numPr>
          <w:ilvl w:val="0"/>
          <w:numId w:val="1003"/>
        </w:numPr>
        <w:pStyle w:val="Compact"/>
      </w:pPr>
      <w:r>
        <w:t xml:space="preserve">Does not Process Personal Data for any purpose other than providing the services described in the Agreement.</w:t>
      </w:r>
    </w:p>
    <w:p>
      <w:pPr>
        <w:numPr>
          <w:ilvl w:val="0"/>
          <w:numId w:val="1003"/>
        </w:numPr>
        <w:pStyle w:val="Compact"/>
      </w:pPr>
      <w:r>
        <w:t xml:space="preserve">Does not sell, rent, or otherwise make Personal Data available to third parties except as permitted in this DPA.</w:t>
      </w:r>
    </w:p>
    <w:bookmarkEnd w:id="22"/>
    <w:bookmarkEnd w:id="23"/>
    <w:bookmarkStart w:id="28" w:name="sub-processors"/>
    <w:p>
      <w:pPr>
        <w:pStyle w:val="Heading2"/>
      </w:pPr>
      <w:r>
        <w:t xml:space="preserve">3. Sub-Processors</w:t>
      </w:r>
    </w:p>
    <w:bookmarkStart w:id="24" w:name="authorization"/>
    <w:p>
      <w:pPr>
        <w:pStyle w:val="Heading3"/>
      </w:pPr>
      <w:r>
        <w:t xml:space="preserve">3.1 Authorization</w:t>
      </w:r>
    </w:p>
    <w:p>
      <w:pPr>
        <w:pStyle w:val="FirstParagraph"/>
      </w:pPr>
      <w:r>
        <w:t xml:space="preserve">The Controller provides general authorization for the Processor to engage Sub-Processors to assist in providing the services. The Processor maintains a list of current Sub-Processors, available upon request by emailing privacy@acmecorp.com.</w:t>
      </w:r>
    </w:p>
    <w:bookmarkEnd w:id="24"/>
    <w:bookmarkStart w:id="25" w:name="notification-of-changes"/>
    <w:p>
      <w:pPr>
        <w:pStyle w:val="Heading3"/>
      </w:pPr>
      <w:r>
        <w:t xml:space="preserve">3.2 Notification of Changes</w:t>
      </w:r>
    </w:p>
    <w:p>
      <w:pPr>
        <w:pStyle w:val="FirstParagraph"/>
      </w:pPr>
      <w:r>
        <w:t xml:space="preserve">The Processor will notify the Controller at least 30 days before adding or replacing a Sub-Processor. Notification is sent to the email address associated with the Controller’s account. The Controller may object to a new Sub-Processor within 15 days of notification by providing a written objection with reasonable grounds.</w:t>
      </w:r>
    </w:p>
    <w:p>
      <w:pPr>
        <w:pStyle w:val="BodyText"/>
      </w:pPr>
      <w:r>
        <w:t xml:space="preserve">If the objection cannot be resolved, the Controller may terminate the affected service without penalty.</w:t>
      </w:r>
    </w:p>
    <w:bookmarkEnd w:id="25"/>
    <w:bookmarkStart w:id="26" w:name="sub-processor-obligations"/>
    <w:p>
      <w:pPr>
        <w:pStyle w:val="Heading3"/>
      </w:pPr>
      <w:r>
        <w:t xml:space="preserve">3.3 Sub-Processor Obligations</w:t>
      </w:r>
    </w:p>
    <w:p>
      <w:pPr>
        <w:pStyle w:val="FirstParagraph"/>
      </w:pPr>
      <w:r>
        <w:t xml:space="preserve">The Processor imposes data protection obligations on each Sub-Processor that are no less protective than those in this DPA. The Processor remains liable for the acts and omissions of its Sub-Processors.</w:t>
      </w:r>
    </w:p>
    <w:bookmarkEnd w:id="26"/>
    <w:bookmarkStart w:id="27" w:name="current-sub-processors"/>
    <w:p>
      <w:pPr>
        <w:pStyle w:val="Heading3"/>
      </w:pPr>
      <w:r>
        <w:t xml:space="preserve">3.4 Current Sub-Processors</w:t>
      </w:r>
    </w:p>
    <w:p>
      <w:pPr>
        <w:pStyle w:val="FirstParagraph"/>
      </w:pPr>
      <w:r>
        <w:t xml:space="preserve">As of the effective date of this DPA, the Processor uses the following categories of Sub-Processors: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Data Accessed</w:t>
            </w:r>
          </w:p>
        </w:tc>
      </w:tr>
      <w:tr>
        <w:tc>
          <w:tcPr/>
          <w:p>
            <w:pPr>
              <w:pStyle w:val="Compact"/>
              <w:jc w:val="left"/>
            </w:pPr>
            <w:r>
              <w:t xml:space="preserve">Cloud infrastructure provider</w:t>
            </w:r>
          </w:p>
        </w:tc>
        <w:tc>
          <w:tcPr/>
          <w:p>
            <w:pPr>
              <w:pStyle w:val="Compact"/>
              <w:jc w:val="left"/>
            </w:pPr>
            <w:r>
              <w:t xml:space="preserve">Hosting, compute, storage</w:t>
            </w:r>
          </w:p>
        </w:tc>
        <w:tc>
          <w:tcPr/>
          <w:p>
            <w:pPr>
              <w:pStyle w:val="Compact"/>
              <w:jc w:val="left"/>
            </w:pPr>
            <w:r>
              <w:t xml:space="preserve">All customer data</w:t>
            </w:r>
          </w:p>
        </w:tc>
      </w:tr>
      <w:tr>
        <w:tc>
          <w:tcPr/>
          <w:p>
            <w:pPr>
              <w:pStyle w:val="Compact"/>
              <w:jc w:val="left"/>
            </w:pPr>
            <w:r>
              <w:t xml:space="preserve">Payment processor</w:t>
            </w:r>
          </w:p>
        </w:tc>
        <w:tc>
          <w:tcPr/>
          <w:p>
            <w:pPr>
              <w:pStyle w:val="Compact"/>
              <w:jc w:val="left"/>
            </w:pPr>
            <w:r>
              <w:t xml:space="preserve">Billing and payment handling</w:t>
            </w:r>
          </w:p>
        </w:tc>
        <w:tc>
          <w:tcPr/>
          <w:p>
            <w:pPr>
              <w:pStyle w:val="Compact"/>
              <w:jc w:val="left"/>
            </w:pPr>
            <w:r>
              <w:t xml:space="preserve">Payment information only</w:t>
            </w:r>
          </w:p>
        </w:tc>
      </w:tr>
      <w:tr>
        <w:tc>
          <w:tcPr/>
          <w:p>
            <w:pPr>
              <w:pStyle w:val="Compact"/>
              <w:jc w:val="left"/>
            </w:pPr>
            <w:r>
              <w:t xml:space="preserve">Email delivery service</w:t>
            </w:r>
          </w:p>
        </w:tc>
        <w:tc>
          <w:tcPr/>
          <w:p>
            <w:pPr>
              <w:pStyle w:val="Compact"/>
              <w:jc w:val="left"/>
            </w:pPr>
            <w:r>
              <w:t xml:space="preserve">Transactional and marketing email</w:t>
            </w:r>
          </w:p>
        </w:tc>
        <w:tc>
          <w:tcPr/>
          <w:p>
            <w:pPr>
              <w:pStyle w:val="Compact"/>
              <w:jc w:val="left"/>
            </w:pPr>
            <w:r>
              <w:t xml:space="preserve">Email addresses, names</w:t>
            </w:r>
          </w:p>
        </w:tc>
      </w:tr>
      <w:tr>
        <w:tc>
          <w:tcPr/>
          <w:p>
            <w:pPr>
              <w:pStyle w:val="Compact"/>
              <w:jc w:val="left"/>
            </w:pPr>
            <w:r>
              <w:t xml:space="preserve">Analytics platform</w:t>
            </w:r>
          </w:p>
        </w:tc>
        <w:tc>
          <w:tcPr/>
          <w:p>
            <w:pPr>
              <w:pStyle w:val="Compact"/>
              <w:jc w:val="left"/>
            </w:pPr>
            <w:r>
              <w:t xml:space="preserve">Product usage analytics</w:t>
            </w:r>
          </w:p>
        </w:tc>
        <w:tc>
          <w:tcPr/>
          <w:p>
            <w:pPr>
              <w:pStyle w:val="Compact"/>
              <w:jc w:val="left"/>
            </w:pPr>
            <w:r>
              <w:t xml:space="preserve">Usage data (pseudonymized)</w:t>
            </w:r>
          </w:p>
        </w:tc>
      </w:tr>
      <w:tr>
        <w:tc>
          <w:tcPr/>
          <w:p>
            <w:pPr>
              <w:pStyle w:val="Compact"/>
              <w:jc w:val="left"/>
            </w:pPr>
            <w:r>
              <w:t xml:space="preserve">Support ticketing system</w:t>
            </w:r>
          </w:p>
        </w:tc>
        <w:tc>
          <w:tcPr/>
          <w:p>
            <w:pPr>
              <w:pStyle w:val="Compact"/>
              <w:jc w:val="left"/>
            </w:pPr>
            <w:r>
              <w:t xml:space="preserve">Customer support</w:t>
            </w:r>
          </w:p>
        </w:tc>
        <w:tc>
          <w:tcPr/>
          <w:p>
            <w:pPr>
              <w:pStyle w:val="Compact"/>
              <w:jc w:val="left"/>
            </w:pPr>
            <w:r>
              <w:t xml:space="preserve">Support request content, account info</w:t>
            </w:r>
          </w:p>
        </w:tc>
      </w:tr>
    </w:tbl>
    <w:p>
      <w:pPr>
        <w:pStyle w:val="BodyText"/>
      </w:pPr>
      <w:r>
        <w:t xml:space="preserve">The complete list of named Sub-Processors is provided in Annex C (not included in this template; populated per customer agreement).</w:t>
      </w:r>
    </w:p>
    <w:bookmarkEnd w:id="27"/>
    <w:bookmarkEnd w:id="28"/>
    <w:bookmarkStart w:id="31" w:name="security-obligations"/>
    <w:p>
      <w:pPr>
        <w:pStyle w:val="Heading2"/>
      </w:pPr>
      <w:r>
        <w:t xml:space="preserve">4. Security Obligations</w:t>
      </w:r>
    </w:p>
    <w:bookmarkStart w:id="29" w:name="technical-and-organizational-measures"/>
    <w:p>
      <w:pPr>
        <w:pStyle w:val="Heading3"/>
      </w:pPr>
      <w:r>
        <w:t xml:space="preserve">4.1 Technical and Organizational Measures</w:t>
      </w:r>
    </w:p>
    <w:p>
      <w:pPr>
        <w:pStyle w:val="FirstParagraph"/>
      </w:pPr>
      <w:r>
        <w:t xml:space="preserve">The Processor implements and maintains the following security measures:</w:t>
      </w:r>
    </w:p>
    <w:p>
      <w:pPr>
        <w:numPr>
          <w:ilvl w:val="0"/>
          <w:numId w:val="1004"/>
        </w:numPr>
        <w:pStyle w:val="Compact"/>
      </w:pPr>
      <w:r>
        <w:t xml:space="preserve">Encryption of Personal Data at rest using AES-256.</w:t>
      </w:r>
    </w:p>
    <w:p>
      <w:pPr>
        <w:numPr>
          <w:ilvl w:val="0"/>
          <w:numId w:val="1004"/>
        </w:numPr>
        <w:pStyle w:val="Compact"/>
      </w:pPr>
      <w:r>
        <w:t xml:space="preserve">Encryption of Personal Data in transit using TLS 1.3.</w:t>
      </w:r>
    </w:p>
    <w:p>
      <w:pPr>
        <w:numPr>
          <w:ilvl w:val="0"/>
          <w:numId w:val="1004"/>
        </w:numPr>
        <w:pStyle w:val="Compact"/>
      </w:pPr>
      <w:r>
        <w:t xml:space="preserve">Access controls based on the principle of least privilege, with multi-factor authentication for all systems processing Personal Data.</w:t>
      </w:r>
    </w:p>
    <w:p>
      <w:pPr>
        <w:numPr>
          <w:ilvl w:val="0"/>
          <w:numId w:val="1004"/>
        </w:numPr>
        <w:pStyle w:val="Compact"/>
      </w:pPr>
      <w:r>
        <w:t xml:space="preserve">Regular vulnerability assessments and penetration testing (annual external, semi-annual internal).</w:t>
      </w:r>
    </w:p>
    <w:p>
      <w:pPr>
        <w:numPr>
          <w:ilvl w:val="0"/>
          <w:numId w:val="1004"/>
        </w:numPr>
        <w:pStyle w:val="Compact"/>
      </w:pPr>
      <w:r>
        <w:t xml:space="preserve">Incident detection and response capabilities, including 24/7 monitoring.</w:t>
      </w:r>
    </w:p>
    <w:p>
      <w:pPr>
        <w:numPr>
          <w:ilvl w:val="0"/>
          <w:numId w:val="1004"/>
        </w:numPr>
        <w:pStyle w:val="Compact"/>
      </w:pPr>
      <w:r>
        <w:t xml:space="preserve">Employee security awareness training (annual).</w:t>
      </w:r>
    </w:p>
    <w:p>
      <w:pPr>
        <w:numPr>
          <w:ilvl w:val="0"/>
          <w:numId w:val="1004"/>
        </w:numPr>
        <w:pStyle w:val="Compact"/>
      </w:pPr>
      <w:r>
        <w:t xml:space="preserve">Physical security controls for data center facilities.</w:t>
      </w:r>
    </w:p>
    <w:p>
      <w:pPr>
        <w:pStyle w:val="FirstParagraph"/>
      </w:pPr>
      <w:r>
        <w:t xml:space="preserve">A detailed description of the Processor’s security measures is provided in Annex B (the Acme Corp IT Security Policy summary).</w:t>
      </w:r>
    </w:p>
    <w:bookmarkEnd w:id="29"/>
    <w:bookmarkStart w:id="30" w:name="confidentiality"/>
    <w:p>
      <w:pPr>
        <w:pStyle w:val="Heading3"/>
      </w:pPr>
      <w:r>
        <w:t xml:space="preserve">4.2 Confidentiality</w:t>
      </w:r>
    </w:p>
    <w:p>
      <w:pPr>
        <w:pStyle w:val="FirstParagraph"/>
      </w:pPr>
      <w:r>
        <w:t xml:space="preserve">The Processor ensures that personnel authorized to Process Personal Data are subject to contractual confidentiality obligations. Access to Personal Data is limited to personnel who require it to perform their duties.</w:t>
      </w:r>
    </w:p>
    <w:bookmarkEnd w:id="30"/>
    <w:bookmarkEnd w:id="31"/>
    <w:bookmarkStart w:id="35" w:name="breach-notification"/>
    <w:p>
      <w:pPr>
        <w:pStyle w:val="Heading2"/>
      </w:pPr>
      <w:r>
        <w:t xml:space="preserve">5. Breach Notification</w:t>
      </w:r>
    </w:p>
    <w:bookmarkStart w:id="32" w:name="notification-to-controller"/>
    <w:p>
      <w:pPr>
        <w:pStyle w:val="Heading3"/>
      </w:pPr>
      <w:r>
        <w:t xml:space="preserve">5.1 Notification to Controller</w:t>
      </w:r>
    </w:p>
    <w:p>
      <w:pPr>
        <w:pStyle w:val="FirstParagraph"/>
      </w:pPr>
      <w:r>
        <w:t xml:space="preserve">In the event of a Personal Data breach, the Processor will notify the Controller without undue delay, and in any event within 48 hours of becoming aware of the breach. The notification will include:</w:t>
      </w:r>
    </w:p>
    <w:p>
      <w:pPr>
        <w:numPr>
          <w:ilvl w:val="0"/>
          <w:numId w:val="1005"/>
        </w:numPr>
        <w:pStyle w:val="Compact"/>
      </w:pPr>
      <w:r>
        <w:t xml:space="preserve">A description of the nature of the breach, including the categories and approximate number of Data Subjects and records affected.</w:t>
      </w:r>
    </w:p>
    <w:p>
      <w:pPr>
        <w:numPr>
          <w:ilvl w:val="0"/>
          <w:numId w:val="1005"/>
        </w:numPr>
        <w:pStyle w:val="Compact"/>
      </w:pPr>
      <w:r>
        <w:t xml:space="preserve">The name and contact details of the Processor’s Data Protection Officer.</w:t>
      </w:r>
    </w:p>
    <w:p>
      <w:pPr>
        <w:numPr>
          <w:ilvl w:val="0"/>
          <w:numId w:val="1005"/>
        </w:numPr>
        <w:pStyle w:val="Compact"/>
      </w:pPr>
      <w:r>
        <w:t xml:space="preserve">A description of the likely consequences of the breach.</w:t>
      </w:r>
    </w:p>
    <w:p>
      <w:pPr>
        <w:numPr>
          <w:ilvl w:val="0"/>
          <w:numId w:val="1005"/>
        </w:numPr>
        <w:pStyle w:val="Compact"/>
      </w:pPr>
      <w:r>
        <w:t xml:space="preserve">A description of the measures taken or proposed to address the breach and mitigate its effects.</w:t>
      </w:r>
    </w:p>
    <w:bookmarkEnd w:id="32"/>
    <w:bookmarkStart w:id="33" w:name="cooperation"/>
    <w:p>
      <w:pPr>
        <w:pStyle w:val="Heading3"/>
      </w:pPr>
      <w:r>
        <w:t xml:space="preserve">5.2 Cooperation</w:t>
      </w:r>
    </w:p>
    <w:p>
      <w:pPr>
        <w:pStyle w:val="FirstParagraph"/>
      </w:pPr>
      <w:r>
        <w:t xml:space="preserve">The Processor will cooperate with the Controller in investigating the breach, notifying Supervisory Authorities and Data Subjects as required by applicable law, and implementing remedial measures.</w:t>
      </w:r>
    </w:p>
    <w:bookmarkEnd w:id="33"/>
    <w:bookmarkStart w:id="34" w:name="record-keeping"/>
    <w:p>
      <w:pPr>
        <w:pStyle w:val="Heading3"/>
      </w:pPr>
      <w:r>
        <w:t xml:space="preserve">5.3 Record Keeping</w:t>
      </w:r>
    </w:p>
    <w:p>
      <w:pPr>
        <w:pStyle w:val="FirstParagraph"/>
      </w:pPr>
      <w:r>
        <w:t xml:space="preserve">The Processor maintains a record of all Personal Data breaches, including the facts of the breach, its effects, and the remedial actions taken. This record is available to the Controller and Supervisory Authorities upon request.</w:t>
      </w:r>
    </w:p>
    <w:bookmarkEnd w:id="34"/>
    <w:bookmarkEnd w:id="35"/>
    <w:bookmarkStart w:id="36" w:name="data-subject-rights"/>
    <w:p>
      <w:pPr>
        <w:pStyle w:val="Heading2"/>
      </w:pPr>
      <w:r>
        <w:t xml:space="preserve">6. Data Subject Rights</w:t>
      </w:r>
    </w:p>
    <w:p>
      <w:pPr>
        <w:pStyle w:val="FirstParagraph"/>
      </w:pPr>
      <w:r>
        <w:t xml:space="preserve">The Processor assists the Controller in fulfilling its obligations to respond to Data Subject requests (access, rectification, erasure, restriction, portability, objection). Assistance includes:</w:t>
      </w:r>
    </w:p>
    <w:p>
      <w:pPr>
        <w:numPr>
          <w:ilvl w:val="0"/>
          <w:numId w:val="1006"/>
        </w:numPr>
        <w:pStyle w:val="Compact"/>
      </w:pPr>
      <w:r>
        <w:t xml:space="preserve">Providing the Controller with the ability to access, export, correct, and delete Data Subject records through the platform’s administrative tools.</w:t>
      </w:r>
    </w:p>
    <w:p>
      <w:pPr>
        <w:numPr>
          <w:ilvl w:val="0"/>
          <w:numId w:val="1006"/>
        </w:numPr>
        <w:pStyle w:val="Compact"/>
      </w:pPr>
      <w:r>
        <w:t xml:space="preserve">Redirecting Data Subject requests received directly by the Processor to the Controller within 3 business days.</w:t>
      </w:r>
    </w:p>
    <w:p>
      <w:pPr>
        <w:numPr>
          <w:ilvl w:val="0"/>
          <w:numId w:val="1006"/>
        </w:numPr>
        <w:pStyle w:val="Compact"/>
      </w:pPr>
      <w:r>
        <w:t xml:space="preserve">Providing technical support for complex requests (e.g., large-scale data exports) within 10 business days.</w:t>
      </w:r>
    </w:p>
    <w:bookmarkEnd w:id="36"/>
    <w:bookmarkStart w:id="39" w:name="audit-rights"/>
    <w:p>
      <w:pPr>
        <w:pStyle w:val="Heading2"/>
      </w:pPr>
      <w:r>
        <w:t xml:space="preserve">7. Audit Rights</w:t>
      </w:r>
    </w:p>
    <w:bookmarkStart w:id="37" w:name="audit-by-controller"/>
    <w:p>
      <w:pPr>
        <w:pStyle w:val="Heading3"/>
      </w:pPr>
      <w:r>
        <w:t xml:space="preserve">7.1 Audit by Controller</w:t>
      </w:r>
    </w:p>
    <w:p>
      <w:pPr>
        <w:pStyle w:val="FirstParagraph"/>
      </w:pPr>
      <w:r>
        <w:t xml:space="preserve">The Controller has the right to audit the Processor’s compliance with this DPA. Audits may be conducted:</w:t>
      </w:r>
    </w:p>
    <w:p>
      <w:pPr>
        <w:numPr>
          <w:ilvl w:val="0"/>
          <w:numId w:val="1007"/>
        </w:numPr>
        <w:pStyle w:val="Compact"/>
      </w:pPr>
      <w:r>
        <w:t xml:space="preserve">By the Controller or a qualified third-party auditor appointed by the Controller.</w:t>
      </w:r>
    </w:p>
    <w:p>
      <w:pPr>
        <w:numPr>
          <w:ilvl w:val="0"/>
          <w:numId w:val="1007"/>
        </w:numPr>
        <w:pStyle w:val="Compact"/>
      </w:pPr>
      <w:r>
        <w:t xml:space="preserve">No more than once per 12-month period, unless a breach or material non-compliance has occurred.</w:t>
      </w:r>
    </w:p>
    <w:p>
      <w:pPr>
        <w:numPr>
          <w:ilvl w:val="0"/>
          <w:numId w:val="1007"/>
        </w:numPr>
        <w:pStyle w:val="Compact"/>
      </w:pPr>
      <w:r>
        <w:t xml:space="preserve">With at least 30 days’ written notice.</w:t>
      </w:r>
    </w:p>
    <w:p>
      <w:pPr>
        <w:numPr>
          <w:ilvl w:val="0"/>
          <w:numId w:val="1007"/>
        </w:numPr>
        <w:pStyle w:val="Compact"/>
      </w:pPr>
      <w:r>
        <w:t xml:space="preserve">During normal business hours and without unreasonably disrupting the Processor’s operations.</w:t>
      </w:r>
    </w:p>
    <w:bookmarkEnd w:id="37"/>
    <w:bookmarkStart w:id="38" w:name="audit-reports"/>
    <w:p>
      <w:pPr>
        <w:pStyle w:val="Heading3"/>
      </w:pPr>
      <w:r>
        <w:t xml:space="preserve">7.2 Audit Reports</w:t>
      </w:r>
    </w:p>
    <w:p>
      <w:pPr>
        <w:pStyle w:val="FirstParagraph"/>
      </w:pPr>
      <w:r>
        <w:t xml:space="preserve">As an alternative to an on-site audit, the Processor will make available:</w:t>
      </w:r>
    </w:p>
    <w:p>
      <w:pPr>
        <w:numPr>
          <w:ilvl w:val="0"/>
          <w:numId w:val="1008"/>
        </w:numPr>
        <w:pStyle w:val="Compact"/>
      </w:pPr>
      <w:r>
        <w:t xml:space="preserve">The most recent SOC 2 Type II report.</w:t>
      </w:r>
    </w:p>
    <w:p>
      <w:pPr>
        <w:numPr>
          <w:ilvl w:val="0"/>
          <w:numId w:val="1008"/>
        </w:numPr>
        <w:pStyle w:val="Compact"/>
      </w:pPr>
      <w:r>
        <w:t xml:space="preserve">The most recent ISO 27001 certificate and statement of applicability.</w:t>
      </w:r>
    </w:p>
    <w:p>
      <w:pPr>
        <w:numPr>
          <w:ilvl w:val="0"/>
          <w:numId w:val="1008"/>
        </w:numPr>
        <w:pStyle w:val="Compact"/>
      </w:pPr>
      <w:r>
        <w:t xml:space="preserve">A completed security questionnaire (SIG Lite or equivalent) upon request.</w:t>
      </w:r>
    </w:p>
    <w:p>
      <w:pPr>
        <w:pStyle w:val="FirstParagraph"/>
      </w:pPr>
      <w:r>
        <w:t xml:space="preserve">If these documents are sufficient to address the Controller’s audit objectives, the Controller agrees to accept them in lieu of an on-site audit.</w:t>
      </w:r>
    </w:p>
    <w:bookmarkEnd w:id="38"/>
    <w:bookmarkEnd w:id="39"/>
    <w:bookmarkStart w:id="42" w:name="data-transfers"/>
    <w:p>
      <w:pPr>
        <w:pStyle w:val="Heading2"/>
      </w:pPr>
      <w:r>
        <w:t xml:space="preserve">8. Data Transfers</w:t>
      </w:r>
    </w:p>
    <w:bookmarkStart w:id="40" w:name="transfer-mechanisms"/>
    <w:p>
      <w:pPr>
        <w:pStyle w:val="Heading3"/>
      </w:pPr>
      <w:r>
        <w:t xml:space="preserve">8.1 Transfer Mechanisms</w:t>
      </w:r>
    </w:p>
    <w:p>
      <w:pPr>
        <w:pStyle w:val="FirstParagraph"/>
      </w:pPr>
      <w:r>
        <w:t xml:space="preserve">If Personal Data is transferred outside the European Economic Area (EEA), the Processor ensures that appropriate safeguards are in place, including:</w:t>
      </w:r>
    </w:p>
    <w:p>
      <w:pPr>
        <w:numPr>
          <w:ilvl w:val="0"/>
          <w:numId w:val="1009"/>
        </w:numPr>
        <w:pStyle w:val="Compact"/>
      </w:pPr>
      <w:r>
        <w:t xml:space="preserve">Standard Contractual Clauses (SCCs) approved by the European Commission (Module 2: Controller to Processor).</w:t>
      </w:r>
    </w:p>
    <w:p>
      <w:pPr>
        <w:numPr>
          <w:ilvl w:val="0"/>
          <w:numId w:val="1009"/>
        </w:numPr>
        <w:pStyle w:val="Compact"/>
      </w:pPr>
      <w:r>
        <w:t xml:space="preserve">Any supplementary measures necessary to ensure an essentially equivalent level of protection.</w:t>
      </w:r>
    </w:p>
    <w:bookmarkEnd w:id="40"/>
    <w:bookmarkStart w:id="41" w:name="data-residency"/>
    <w:p>
      <w:pPr>
        <w:pStyle w:val="Heading3"/>
      </w:pPr>
      <w:r>
        <w:t xml:space="preserve">8.2 Data Residency</w:t>
      </w:r>
    </w:p>
    <w:p>
      <w:pPr>
        <w:pStyle w:val="FirstParagraph"/>
      </w:pPr>
      <w:r>
        <w:t xml:space="preserve">The Controller may specify data residency requirements in the Order Form. Available regions: US-East (default) and EU-West. The Processor will not transfer Personal Data outside the specified region except as necessary for Sub-Processor processing described in Section 3.</w:t>
      </w:r>
    </w:p>
    <w:bookmarkEnd w:id="41"/>
    <w:bookmarkEnd w:id="42"/>
    <w:bookmarkStart w:id="43" w:name="term-and-termination"/>
    <w:p>
      <w:pPr>
        <w:pStyle w:val="Heading2"/>
      </w:pPr>
      <w:r>
        <w:t xml:space="preserve">9. Term and Termination</w:t>
      </w:r>
    </w:p>
    <w:p>
      <w:pPr>
        <w:pStyle w:val="FirstParagraph"/>
      </w:pPr>
      <w:r>
        <w:t xml:space="preserve">This DPA remains in effect for the duration of the Agreement. Upon termination of the Agreement:</w:t>
      </w:r>
    </w:p>
    <w:p>
      <w:pPr>
        <w:numPr>
          <w:ilvl w:val="0"/>
          <w:numId w:val="1010"/>
        </w:numPr>
        <w:pStyle w:val="Compact"/>
      </w:pPr>
      <w:r>
        <w:t xml:space="preserve">The Processor deletes all Personal Data within 90 days per the Customer Deletion Workflow.</w:t>
      </w:r>
    </w:p>
    <w:p>
      <w:pPr>
        <w:numPr>
          <w:ilvl w:val="0"/>
          <w:numId w:val="1010"/>
        </w:numPr>
        <w:pStyle w:val="Compact"/>
      </w:pPr>
      <w:r>
        <w:t xml:space="preserve">The Controller may request a data export before deletion (see the Customer Deletion Workflow, Section 3).</w:t>
      </w:r>
    </w:p>
    <w:p>
      <w:pPr>
        <w:numPr>
          <w:ilvl w:val="0"/>
          <w:numId w:val="1010"/>
        </w:numPr>
        <w:pStyle w:val="Compact"/>
      </w:pPr>
      <w:r>
        <w:t xml:space="preserve">The Processor provides a Deletion Certificate upon completion.</w:t>
      </w:r>
    </w:p>
    <w:p>
      <w:pPr>
        <w:pStyle w:val="FirstParagraph"/>
      </w:pPr>
      <w:r>
        <w:t xml:space="preserve">Sections that by their nature should survive termination (confidentiality, audit rights for the retention period, breach notification for incidents discovered post-termination) survive for 3 years after termination.</w:t>
      </w:r>
    </w:p>
    <w:bookmarkEnd w:id="43"/>
    <w:bookmarkStart w:id="44" w:name="governing-law"/>
    <w:p>
      <w:pPr>
        <w:pStyle w:val="Heading2"/>
      </w:pPr>
      <w:r>
        <w:t xml:space="preserve">10. Governing Law</w:t>
      </w:r>
    </w:p>
    <w:p>
      <w:pPr>
        <w:pStyle w:val="FirstParagraph"/>
      </w:pPr>
      <w:r>
        <w:t xml:space="preserve">This DPA is governed by the laws specified in the Agreement. For Data Subjects in the EEA, the provisions of the GDPR apply regardless of the governing law of the Agreement.</w:t>
      </w:r>
    </w:p>
    <w:p>
      <w:r>
        <w:pict>
          <v:rect style="width:0;height:1.5pt" o:hralign="center" o:hrstd="t" o:hr="t"/>
        </w:pict>
      </w:r>
    </w:p>
    <w:p>
      <w:pPr>
        <w:pStyle w:val="FirstParagraph"/>
      </w:pPr>
      <w:r>
        <w:rPr>
          <w:iCs/>
          <w:i/>
        </w:rPr>
        <w:t xml:space="preserve">DPA Template v3.0 — Last updated August 1, 2024. For execution, contact legal@acmecorp.com.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 Template</dc:title>
  <dc:creator/>
  <cp:category>Compliance</cp:category>
  <cp:keywords/>
  <dcterms:created xsi:type="dcterms:W3CDTF">2026-04-10T13:15:21Z</dcterms:created>
  <dcterms:modified xsi:type="dcterms:W3CDTF">2026-04-10T13:15:21Z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doc_type">
    <vt:lpwstr>template</vt:lpwstr>
  </property>
  <property fmtid="{D5CDD505-2E9C-101B-9397-08002B2CF9AE}" pid="4" name="last_updated">
    <vt:lpwstr>2024-08-01</vt:lpwstr>
  </property>
  <property fmtid="{D5CDD505-2E9C-101B-9397-08002B2CF9AE}" pid="5" name="owner">
    <vt:lpwstr>Legal</vt:lpwstr>
  </property>
</Properties>
</file>