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FMLA</w:t>
      </w:r>
      <w:r>
        <w:t xml:space="preserve"> </w:t>
      </w:r>
      <w:r>
        <w:t xml:space="preserve">Leave</w:t>
      </w:r>
      <w:r>
        <w:t xml:space="preserve"> </w:t>
      </w:r>
      <w:r>
        <w:t xml:space="preserve">Procedure</w:t>
      </w:r>
    </w:p>
    <w:bookmarkStart w:id="34" w:name="fmla-leave-procedure"/>
    <w:p>
      <w:pPr>
        <w:pStyle w:val="Heading1"/>
      </w:pPr>
      <w:r>
        <w:t xml:space="preserve">FMLA Leave Procedure</w:t>
      </w:r>
    </w:p>
    <w:p>
      <w:pPr>
        <w:pStyle w:val="FirstParagraph"/>
      </w:pPr>
      <w:r>
        <w:rPr>
          <w:bCs/>
          <w:b/>
        </w:rPr>
        <w:t xml:space="preserve">Effective Date:</w:t>
      </w:r>
      <w:r>
        <w:t xml:space="preserve"> </w:t>
      </w:r>
      <w:r>
        <w:t xml:space="preserve">September 15, 2023</w:t>
      </w:r>
      <w:r>
        <w:t xml:space="preserve"> </w:t>
      </w:r>
      <w:r>
        <w:rPr>
          <w:bCs/>
          <w:b/>
        </w:rPr>
        <w:t xml:space="preserve">Applies to:</w:t>
      </w:r>
      <w:r>
        <w:t xml:space="preserve"> </w:t>
      </w:r>
      <w:r>
        <w:t xml:space="preserve">All Acme Corp employees meeting the eligibility requirements below</w:t>
      </w:r>
    </w:p>
    <w:bookmarkStart w:id="20" w:name="overview"/>
    <w:p>
      <w:pPr>
        <w:pStyle w:val="Heading2"/>
      </w:pPr>
      <w:r>
        <w:t xml:space="preserve">1. Overview</w:t>
      </w:r>
    </w:p>
    <w:p>
      <w:pPr>
        <w:pStyle w:val="FirstParagraph"/>
      </w:pPr>
      <w:r>
        <w:t xml:space="preserve">The Family and Medical Leave Act (FMLA) provides eligible employees with up to 12 weeks of unpaid, job-protected leave per 12-month period for qualifying reasons. This document describes the step-by-step procedure for requesting, approving, and managing FMLA leave at Acme Corp.</w:t>
      </w:r>
    </w:p>
    <w:bookmarkEnd w:id="20"/>
    <w:bookmarkStart w:id="21" w:name="eligibility"/>
    <w:p>
      <w:pPr>
        <w:pStyle w:val="Heading2"/>
      </w:pPr>
      <w:r>
        <w:t xml:space="preserve">2. Eligibility</w:t>
      </w:r>
    </w:p>
    <w:p>
      <w:pPr>
        <w:pStyle w:val="FirstParagraph"/>
      </w:pPr>
      <w:r>
        <w:t xml:space="preserve">To qualify for FMLA leave, an employee must have completed 12 months of continuous employment at Acme Corp at the time the leave is requested. There is no minimum hours-worked threshold beyond Acme Corp’s standard full-time classification.</w:t>
      </w:r>
    </w:p>
    <w:p>
      <w:pPr>
        <w:pStyle w:val="BodyText"/>
      </w:pPr>
      <w:r>
        <w:t xml:space="preserve">Employees who are unsure of their eligibility should contact Human Resources before submitting a formal request.</w:t>
      </w:r>
    </w:p>
    <w:bookmarkEnd w:id="21"/>
    <w:bookmarkStart w:id="22" w:name="qualifying-reasons"/>
    <w:p>
      <w:pPr>
        <w:pStyle w:val="Heading2"/>
      </w:pPr>
      <w:r>
        <w:t xml:space="preserve">3. Qualifying Reasons</w:t>
      </w:r>
    </w:p>
    <w:p>
      <w:pPr>
        <w:pStyle w:val="FirstParagraph"/>
      </w:pPr>
      <w:r>
        <w:t xml:space="preserve">FMLA leave may be taken for any of the following reasons:</w:t>
      </w:r>
    </w:p>
    <w:p>
      <w:pPr>
        <w:numPr>
          <w:ilvl w:val="0"/>
          <w:numId w:val="1001"/>
        </w:numPr>
        <w:pStyle w:val="Compact"/>
      </w:pPr>
      <w:r>
        <w:t xml:space="preserve">A serious health condition that prevents the employee from performing their job functions.</w:t>
      </w:r>
    </w:p>
    <w:p>
      <w:pPr>
        <w:numPr>
          <w:ilvl w:val="0"/>
          <w:numId w:val="1001"/>
        </w:numPr>
        <w:pStyle w:val="Compact"/>
      </w:pPr>
      <w:r>
        <w:t xml:space="preserve">To care for a spouse, child, or parent with a serious health condition.</w:t>
      </w:r>
    </w:p>
    <w:p>
      <w:pPr>
        <w:numPr>
          <w:ilvl w:val="0"/>
          <w:numId w:val="1001"/>
        </w:numPr>
        <w:pStyle w:val="Compact"/>
      </w:pPr>
      <w:r>
        <w:t xml:space="preserve">The birth of a child and bonding within 12 months of birth.</w:t>
      </w:r>
    </w:p>
    <w:p>
      <w:pPr>
        <w:numPr>
          <w:ilvl w:val="0"/>
          <w:numId w:val="1001"/>
        </w:numPr>
        <w:pStyle w:val="Compact"/>
      </w:pPr>
      <w:r>
        <w:t xml:space="preserve">Placement of a child for adoption or foster care and bonding within 12 months of placement.</w:t>
      </w:r>
    </w:p>
    <w:p>
      <w:pPr>
        <w:numPr>
          <w:ilvl w:val="0"/>
          <w:numId w:val="1001"/>
        </w:numPr>
        <w:pStyle w:val="Compact"/>
      </w:pPr>
      <w:r>
        <w:t xml:space="preserve">A qualifying exigency arising from a spouse’s, child’s, or parent’s active duty military service.</w:t>
      </w:r>
    </w:p>
    <w:bookmarkEnd w:id="22"/>
    <w:bookmarkStart w:id="27" w:name="the-fmla-request-process"/>
    <w:p>
      <w:pPr>
        <w:pStyle w:val="Heading2"/>
      </w:pPr>
      <w:r>
        <w:t xml:space="preserve">4. The FMLA Request Process</w:t>
      </w:r>
    </w:p>
    <w:p>
      <w:pPr>
        <w:pStyle w:val="FirstParagraph"/>
      </w:pPr>
      <w:r>
        <w:t xml:space="preserve">The request process consists of four steps:</w:t>
      </w:r>
    </w:p>
    <w:bookmarkStart w:id="23" w:name="step-1-notify-hr"/>
    <w:p>
      <w:pPr>
        <w:pStyle w:val="Heading3"/>
      </w:pPr>
      <w:r>
        <w:t xml:space="preserve">Step 1 — Notify HR</w:t>
      </w:r>
    </w:p>
    <w:p>
      <w:pPr>
        <w:pStyle w:val="FirstParagraph"/>
      </w:pPr>
      <w:r>
        <w:t xml:space="preserve">The employee must notify Human Resources at least 30 days in advance of foreseeable leave. For unforeseeable leave (e.g., sudden illness, accident, emergency placement), the employee must notify HR as soon as practicable, generally within 1–2 business days of learning of the need for leave.</w:t>
      </w:r>
    </w:p>
    <w:p>
      <w:pPr>
        <w:pStyle w:val="BodyText"/>
      </w:pPr>
      <w:r>
        <w:t xml:space="preserve">Notification may be made by email to hr@acmecorp.com, through the HR portal, or in person. The notification should include:</w:t>
      </w:r>
    </w:p>
    <w:p>
      <w:pPr>
        <w:numPr>
          <w:ilvl w:val="0"/>
          <w:numId w:val="1002"/>
        </w:numPr>
        <w:pStyle w:val="Compact"/>
      </w:pPr>
      <w:r>
        <w:t xml:space="preserve">The reason for the leave (general category; detailed medical information is not required at this stage).</w:t>
      </w:r>
    </w:p>
    <w:p>
      <w:pPr>
        <w:numPr>
          <w:ilvl w:val="0"/>
          <w:numId w:val="1002"/>
        </w:numPr>
        <w:pStyle w:val="Compact"/>
      </w:pPr>
      <w:r>
        <w:t xml:space="preserve">The expected start date.</w:t>
      </w:r>
    </w:p>
    <w:p>
      <w:pPr>
        <w:numPr>
          <w:ilvl w:val="0"/>
          <w:numId w:val="1002"/>
        </w:numPr>
        <w:pStyle w:val="Compact"/>
      </w:pPr>
      <w:r>
        <w:t xml:space="preserve">The expected duration or, if unknown, a best estimate.</w:t>
      </w:r>
    </w:p>
    <w:p>
      <w:pPr>
        <w:numPr>
          <w:ilvl w:val="0"/>
          <w:numId w:val="1002"/>
        </w:numPr>
        <w:pStyle w:val="Compact"/>
      </w:pPr>
      <w:r>
        <w:t xml:space="preserve">Whether the leave will be continuous or intermittent.</w:t>
      </w:r>
    </w:p>
    <w:bookmarkEnd w:id="23"/>
    <w:bookmarkStart w:id="24" w:name="step-2-submit-medical-certification"/>
    <w:p>
      <w:pPr>
        <w:pStyle w:val="Heading3"/>
      </w:pPr>
      <w:r>
        <w:t xml:space="preserve">Step 2 — Submit Medical Certification</w:t>
      </w:r>
    </w:p>
    <w:p>
      <w:pPr>
        <w:pStyle w:val="FirstParagraph"/>
      </w:pPr>
      <w:r>
        <w:t xml:space="preserve">Within 15 calendar days of the initial notification, the employee must submit a completed medical certification form. Acme Corp uses the Department of Labor’s WH-380-E (for the employee’s own condition) or WH-380-F (for a family member’s condition).</w:t>
      </w:r>
    </w:p>
    <w:p>
      <w:pPr>
        <w:pStyle w:val="BodyText"/>
      </w:pPr>
      <w:r>
        <w:t xml:space="preserve">The certification must be completed by the treating healthcare provider and must include:</w:t>
      </w:r>
    </w:p>
    <w:p>
      <w:pPr>
        <w:numPr>
          <w:ilvl w:val="0"/>
          <w:numId w:val="1003"/>
        </w:numPr>
        <w:pStyle w:val="Compact"/>
      </w:pPr>
      <w:r>
        <w:t xml:space="preserve">The date the serious health condition began.</w:t>
      </w:r>
    </w:p>
    <w:p>
      <w:pPr>
        <w:numPr>
          <w:ilvl w:val="0"/>
          <w:numId w:val="1003"/>
        </w:numPr>
        <w:pStyle w:val="Compact"/>
      </w:pPr>
      <w:r>
        <w:t xml:space="preserve">The probable duration of the condition.</w:t>
      </w:r>
    </w:p>
    <w:p>
      <w:pPr>
        <w:numPr>
          <w:ilvl w:val="0"/>
          <w:numId w:val="1003"/>
        </w:numPr>
        <w:pStyle w:val="Compact"/>
      </w:pPr>
      <w:r>
        <w:t xml:space="preserve">Relevant medical facts sufficient to establish that a serious health condition exists.</w:t>
      </w:r>
    </w:p>
    <w:p>
      <w:pPr>
        <w:numPr>
          <w:ilvl w:val="0"/>
          <w:numId w:val="1003"/>
        </w:numPr>
        <w:pStyle w:val="Compact"/>
      </w:pPr>
      <w:r>
        <w:t xml:space="preserve">For the employee’s own condition: a statement that the employee is unable to perform their job functions.</w:t>
      </w:r>
    </w:p>
    <w:p>
      <w:pPr>
        <w:numPr>
          <w:ilvl w:val="0"/>
          <w:numId w:val="1003"/>
        </w:numPr>
        <w:pStyle w:val="Compact"/>
      </w:pPr>
      <w:r>
        <w:t xml:space="preserve">For a family member’s condition: a statement that the employee’s presence is necessary or would be beneficial.</w:t>
      </w:r>
    </w:p>
    <w:p>
      <w:pPr>
        <w:pStyle w:val="FirstParagraph"/>
      </w:pPr>
      <w:r>
        <w:t xml:space="preserve">If the certification is incomplete or unclear, HR will provide the employee with a written notice specifying what additional information is needed. The employee has 7 calendar days to provide the supplemental information.</w:t>
      </w:r>
    </w:p>
    <w:p>
      <w:pPr>
        <w:pStyle w:val="BodyText"/>
      </w:pPr>
      <w:r>
        <w:t xml:space="preserve">Acme Corp reserves the right to request a second medical opinion at the company’s expense. If the first and second opinions conflict, a third opinion from a mutually agreed-upon provider is final and binding.</w:t>
      </w:r>
    </w:p>
    <w:bookmarkEnd w:id="24"/>
    <w:bookmarkStart w:id="25" w:name="step-3-hr-reviews"/>
    <w:p>
      <w:pPr>
        <w:pStyle w:val="Heading3"/>
      </w:pPr>
      <w:r>
        <w:t xml:space="preserve">Step 3 — HR Reviews</w:t>
      </w:r>
    </w:p>
    <w:p>
      <w:pPr>
        <w:pStyle w:val="FirstParagraph"/>
      </w:pPr>
      <w:r>
        <w:t xml:space="preserve">Human Resources reviews the request and medical certification and responds within 5 business days with one of the following:</w:t>
      </w:r>
    </w:p>
    <w:p>
      <w:pPr>
        <w:numPr>
          <w:ilvl w:val="0"/>
          <w:numId w:val="1004"/>
        </w:numPr>
        <w:pStyle w:val="Compact"/>
      </w:pPr>
      <w:r>
        <w:rPr>
          <w:bCs/>
          <w:b/>
        </w:rPr>
        <w:t xml:space="preserve">Approved:</w:t>
      </w:r>
      <w:r>
        <w:t xml:space="preserve"> </w:t>
      </w:r>
      <w:r>
        <w:t xml:space="preserve">The leave is designated as FMLA-qualifying. HR provides the employee with a written designation notice specifying the leave dates, whether the leave is paid or unpaid, and any requirements for fitness-for-duty certification upon return.</w:t>
      </w:r>
    </w:p>
    <w:p>
      <w:pPr>
        <w:numPr>
          <w:ilvl w:val="0"/>
          <w:numId w:val="1004"/>
        </w:numPr>
        <w:pStyle w:val="Compact"/>
      </w:pPr>
      <w:r>
        <w:rPr>
          <w:bCs/>
          <w:b/>
        </w:rPr>
        <w:t xml:space="preserve">Denied:</w:t>
      </w:r>
      <w:r>
        <w:t xml:space="preserve"> </w:t>
      </w:r>
      <w:r>
        <w:t xml:space="preserve">The leave does not meet FMLA requirements. HR provides a written explanation of the reason for denial, which may include insufficient tenure, incomplete certification, or a condition that does not qualify as a serious health condition.</w:t>
      </w:r>
    </w:p>
    <w:p>
      <w:pPr>
        <w:numPr>
          <w:ilvl w:val="0"/>
          <w:numId w:val="1004"/>
        </w:numPr>
        <w:pStyle w:val="Compact"/>
      </w:pPr>
      <w:r>
        <w:rPr>
          <w:bCs/>
          <w:b/>
        </w:rPr>
        <w:t xml:space="preserve">Additional information requested:</w:t>
      </w:r>
      <w:r>
        <w:t xml:space="preserve"> </w:t>
      </w:r>
      <w:r>
        <w:t xml:space="preserve">The certification is incomplete. HR specifies what is needed and the deadline for submission.</w:t>
      </w:r>
    </w:p>
    <w:p>
      <w:pPr>
        <w:pStyle w:val="FirstParagraph"/>
      </w:pPr>
      <w:r>
        <w:t xml:space="preserve">Approved FMLA leave is tracked in the HR system. The 12-week entitlement is measured on a rolling 12-month basis, looking back from the date leave is used.</w:t>
      </w:r>
    </w:p>
    <w:bookmarkEnd w:id="25"/>
    <w:bookmarkStart w:id="26" w:name="step-4-manager-adjusts-workload"/>
    <w:p>
      <w:pPr>
        <w:pStyle w:val="Heading3"/>
      </w:pPr>
      <w:r>
        <w:t xml:space="preserve">Step 4 — Manager Adjusts Workload</w:t>
      </w:r>
    </w:p>
    <w:p>
      <w:pPr>
        <w:pStyle w:val="FirstParagraph"/>
      </w:pPr>
      <w:r>
        <w:t xml:space="preserve">Once FMLA leave is approved, the employee’s manager is responsible for:</w:t>
      </w:r>
    </w:p>
    <w:p>
      <w:pPr>
        <w:numPr>
          <w:ilvl w:val="0"/>
          <w:numId w:val="1005"/>
        </w:numPr>
        <w:pStyle w:val="Compact"/>
      </w:pPr>
      <w:r>
        <w:t xml:space="preserve">Reassigning the employee’s active tasks and projects to other team members.</w:t>
      </w:r>
    </w:p>
    <w:p>
      <w:pPr>
        <w:numPr>
          <w:ilvl w:val="0"/>
          <w:numId w:val="1005"/>
        </w:numPr>
        <w:pStyle w:val="Compact"/>
      </w:pPr>
      <w:r>
        <w:t xml:space="preserve">Updating project timelines and deliverables to reflect the employee’s absence.</w:t>
      </w:r>
    </w:p>
    <w:p>
      <w:pPr>
        <w:numPr>
          <w:ilvl w:val="0"/>
          <w:numId w:val="1005"/>
        </w:numPr>
        <w:pStyle w:val="Compact"/>
      </w:pPr>
      <w:r>
        <w:t xml:space="preserve">Communicating coverage plans to affected stakeholders (without disclosing the reason for the leave).</w:t>
      </w:r>
    </w:p>
    <w:p>
      <w:pPr>
        <w:numPr>
          <w:ilvl w:val="0"/>
          <w:numId w:val="1005"/>
        </w:numPr>
        <w:pStyle w:val="Compact"/>
      </w:pPr>
      <w:r>
        <w:t xml:space="preserve">Identifying a point of contact for urgent matters that were previously handled by the employee.</w:t>
      </w:r>
    </w:p>
    <w:p>
      <w:pPr>
        <w:pStyle w:val="FirstParagraph"/>
      </w:pPr>
      <w:r>
        <w:t xml:space="preserve">Managers should complete workload adjustments within 3 business days of receiving the approval notification from HR. Human Resources is available to assist with transition planning for extended leave periods.</w:t>
      </w:r>
    </w:p>
    <w:bookmarkEnd w:id="26"/>
    <w:bookmarkEnd w:id="27"/>
    <w:bookmarkStart w:id="28" w:name="intermittent-and-reduced-schedule-leave"/>
    <w:p>
      <w:pPr>
        <w:pStyle w:val="Heading2"/>
      </w:pPr>
      <w:r>
        <w:t xml:space="preserve">5. Intermittent and Reduced-Schedule Leave</w:t>
      </w:r>
    </w:p>
    <w:p>
      <w:pPr>
        <w:pStyle w:val="FirstParagraph"/>
      </w:pPr>
      <w:r>
        <w:t xml:space="preserve">FMLA leave may be taken intermittently (in separate blocks of time) or on a reduced schedule (fewer hours per day or per week) when medically necessary.</w:t>
      </w:r>
    </w:p>
    <w:p>
      <w:pPr>
        <w:pStyle w:val="BodyText"/>
      </w:pPr>
      <w:r>
        <w:t xml:space="preserve">Employees requesting intermittent leave must provide a medical certification that establishes the medical necessity for the intermittent schedule, including the expected frequency and duration of episodes.</w:t>
      </w:r>
    </w:p>
    <w:p>
      <w:pPr>
        <w:pStyle w:val="BodyText"/>
      </w:pPr>
      <w:r>
        <w:t xml:space="preserve">Employees on intermittent leave must follow the company’s standard call-in procedures for each absence. Intermittent leave is tracked in increments of one hour.</w:t>
      </w:r>
    </w:p>
    <w:p>
      <w:pPr>
        <w:pStyle w:val="BodyText"/>
      </w:pPr>
      <w:r>
        <w:t xml:space="preserve">Acme Corp may temporarily transfer an employee on intermittent leave to an equivalent position that better accommodates the recurring schedule, with the same pay and benefits.</w:t>
      </w:r>
    </w:p>
    <w:bookmarkEnd w:id="28"/>
    <w:bookmarkStart w:id="29" w:name="pay-and-benefits-during-fmla-leave"/>
    <w:p>
      <w:pPr>
        <w:pStyle w:val="Heading2"/>
      </w:pPr>
      <w:r>
        <w:t xml:space="preserve">6. Pay and Benefits During FMLA Leave</w:t>
      </w:r>
    </w:p>
    <w:p>
      <w:pPr>
        <w:pStyle w:val="FirstParagraph"/>
      </w:pPr>
      <w:r>
        <w:t xml:space="preserve">FMLA leave is unpaid. However, employees may choose — and Acme Corp may require — the use of accrued paid vacation or sick leave concurrently with FMLA leave to receive pay during the absence.</w:t>
      </w:r>
    </w:p>
    <w:p>
      <w:pPr>
        <w:pStyle w:val="BodyText"/>
      </w:pPr>
      <w:r>
        <w:t xml:space="preserve">If the employee qualifies for Short-Term Disability benefits, those benefits run concurrently with FMLA leave. The Short-Term Disability Policy provides 60% of base salary for up to 12 weeks following a 7-day waiting period.</w:t>
      </w:r>
    </w:p>
    <w:p>
      <w:pPr>
        <w:pStyle w:val="BodyText"/>
      </w:pPr>
      <w:r>
        <w:t xml:space="preserve">If the employee qualifies for parental leave under the Parental Leave Policy, parental leave pay (100% of base salary) runs concurrently with FMLA leave.</w:t>
      </w:r>
    </w:p>
    <w:p>
      <w:pPr>
        <w:pStyle w:val="BodyText"/>
      </w:pPr>
      <w:r>
        <w:t xml:space="preserve">During FMLA leave, the following benefits continue:</w:t>
      </w:r>
    </w:p>
    <w:p>
      <w:pPr>
        <w:numPr>
          <w:ilvl w:val="0"/>
          <w:numId w:val="1006"/>
        </w:numPr>
        <w:pStyle w:val="Compact"/>
      </w:pPr>
      <w:r>
        <w:t xml:space="preserve">Health, dental, and vision insurance. The employee’s share of premiums must continue to be paid. If leave is unpaid, HR will arrange a payment schedule before leave begins.</w:t>
      </w:r>
    </w:p>
    <w:p>
      <w:pPr>
        <w:numPr>
          <w:ilvl w:val="0"/>
          <w:numId w:val="1006"/>
        </w:numPr>
        <w:pStyle w:val="Compact"/>
      </w:pPr>
      <w:r>
        <w:t xml:space="preserve">Life insurance.</w:t>
      </w:r>
    </w:p>
    <w:p>
      <w:pPr>
        <w:numPr>
          <w:ilvl w:val="0"/>
          <w:numId w:val="1006"/>
        </w:numPr>
        <w:pStyle w:val="Compact"/>
      </w:pPr>
      <w:r>
        <w:t xml:space="preserve">401(k) participation is suspended during unpaid leave; employer matching resumes upon return. Vesting credit continues to accrue.</w:t>
      </w:r>
    </w:p>
    <w:p>
      <w:pPr>
        <w:pStyle w:val="FirstParagraph"/>
      </w:pPr>
      <w:r>
        <w:t xml:space="preserve">Vacation and sick leave do not accrue during unpaid FMLA leave.</w:t>
      </w:r>
    </w:p>
    <w:bookmarkEnd w:id="29"/>
    <w:bookmarkStart w:id="30" w:name="return-to-work"/>
    <w:p>
      <w:pPr>
        <w:pStyle w:val="Heading2"/>
      </w:pPr>
      <w:r>
        <w:t xml:space="preserve">7. Return to Work</w:t>
      </w:r>
    </w:p>
    <w:p>
      <w:pPr>
        <w:pStyle w:val="FirstParagraph"/>
      </w:pPr>
      <w:r>
        <w:t xml:space="preserve">Employees returning from FMLA leave are entitled to the same or an equivalent position with the same pay, benefits, and terms of employment.</w:t>
      </w:r>
    </w:p>
    <w:p>
      <w:pPr>
        <w:pStyle w:val="BodyText"/>
      </w:pPr>
      <w:r>
        <w:t xml:space="preserve">For leave taken due to the employee’s own serious health condition, a fitness-for-duty certification from the treating provider is required before the employee may return to work. The certification must confirm that the employee is able to perform the essential functions of their position. HR will notify the employee of this requirement in the designation notice.</w:t>
      </w:r>
    </w:p>
    <w:p>
      <w:pPr>
        <w:pStyle w:val="BodyText"/>
      </w:pPr>
      <w:r>
        <w:t xml:space="preserve">Employees must confirm their intended return date with HR at least 5 business days before returning. If the employee does not return on the agreed-upon date and does not request an extension, Acme Corp may treat the absence as a voluntary resignation.</w:t>
      </w:r>
    </w:p>
    <w:bookmarkEnd w:id="30"/>
    <w:bookmarkStart w:id="31" w:name="X52cef982535b37b7fe4bd4b0a5557cd9e5d8e3d"/>
    <w:p>
      <w:pPr>
        <w:pStyle w:val="Heading2"/>
      </w:pPr>
      <w:r>
        <w:t xml:space="preserve">8. How FMLA Differs from Short-Term Disability</w:t>
      </w:r>
    </w:p>
    <w:p>
      <w:pPr>
        <w:pStyle w:val="FirstParagraph"/>
      </w:pPr>
      <w:r>
        <w:t xml:space="preserve">Employees sometimes confuse FMLA leave with Short-Term Disability (STD). These are distinct programs: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pPr>
          </w:p>
        </w:tc>
        <w:tc>
          <w:tcPr/>
          <w:p>
            <w:pPr>
              <w:pStyle w:val="Compact"/>
              <w:jc w:val="left"/>
            </w:pPr>
            <w:r>
              <w:t xml:space="preserve">FMLA</w:t>
            </w:r>
          </w:p>
        </w:tc>
        <w:tc>
          <w:tcPr/>
          <w:p>
            <w:pPr>
              <w:pStyle w:val="Compact"/>
              <w:jc w:val="left"/>
            </w:pPr>
            <w:r>
              <w:t xml:space="preserve">Short-Term Disability</w:t>
            </w:r>
          </w:p>
        </w:tc>
      </w:tr>
      <w:tr>
        <w:tc>
          <w:tcPr/>
          <w:p>
            <w:pPr>
              <w:pStyle w:val="Compact"/>
              <w:jc w:val="left"/>
            </w:pPr>
            <w:r>
              <w:rPr>
                <w:bCs/>
                <w:b/>
              </w:rPr>
              <w:t xml:space="preserve">Purpose</w:t>
            </w:r>
          </w:p>
        </w:tc>
        <w:tc>
          <w:tcPr/>
          <w:p>
            <w:pPr>
              <w:pStyle w:val="Compact"/>
              <w:jc w:val="left"/>
            </w:pPr>
            <w:r>
              <w:t xml:space="preserve">Job-protected leave for qualifying medical/family reasons</w:t>
            </w:r>
          </w:p>
        </w:tc>
        <w:tc>
          <w:tcPr/>
          <w:p>
            <w:pPr>
              <w:pStyle w:val="Compact"/>
              <w:jc w:val="left"/>
            </w:pPr>
            <w:r>
              <w:t xml:space="preserve">Income replacement during medical inability to work</w:t>
            </w:r>
          </w:p>
        </w:tc>
      </w:tr>
      <w:tr>
        <w:tc>
          <w:tcPr/>
          <w:p>
            <w:pPr>
              <w:pStyle w:val="Compact"/>
              <w:jc w:val="left"/>
            </w:pPr>
            <w:r>
              <w:rPr>
                <w:bCs/>
                <w:b/>
              </w:rPr>
              <w:t xml:space="preserve">Pay</w:t>
            </w:r>
          </w:p>
        </w:tc>
        <w:tc>
          <w:tcPr/>
          <w:p>
            <w:pPr>
              <w:pStyle w:val="Compact"/>
              <w:jc w:val="left"/>
            </w:pPr>
            <w:r>
              <w:t xml:space="preserve">Unpaid (unless concurrent with paid leave)</w:t>
            </w:r>
          </w:p>
        </w:tc>
        <w:tc>
          <w:tcPr/>
          <w:p>
            <w:pPr>
              <w:pStyle w:val="Compact"/>
              <w:jc w:val="left"/>
            </w:pPr>
            <w:r>
              <w:t xml:space="preserve">60% of base salary</w:t>
            </w:r>
          </w:p>
        </w:tc>
      </w:tr>
      <w:tr>
        <w:tc>
          <w:tcPr/>
          <w:p>
            <w:pPr>
              <w:pStyle w:val="Compact"/>
              <w:jc w:val="left"/>
            </w:pPr>
            <w:r>
              <w:rPr>
                <w:bCs/>
                <w:b/>
              </w:rPr>
              <w:t xml:space="preserve">Duration</w:t>
            </w:r>
          </w:p>
        </w:tc>
        <w:tc>
          <w:tcPr/>
          <w:p>
            <w:pPr>
              <w:pStyle w:val="Compact"/>
              <w:jc w:val="left"/>
            </w:pPr>
            <w:r>
              <w:t xml:space="preserve">Up to 12 weeks per 12-month period</w:t>
            </w:r>
          </w:p>
        </w:tc>
        <w:tc>
          <w:tcPr/>
          <w:p>
            <w:pPr>
              <w:pStyle w:val="Compact"/>
              <w:jc w:val="left"/>
            </w:pPr>
            <w:r>
              <w:t xml:space="preserve">Up to 12 weeks after a 7-day waiting period</w:t>
            </w:r>
          </w:p>
        </w:tc>
      </w:tr>
      <w:tr>
        <w:tc>
          <w:tcPr/>
          <w:p>
            <w:pPr>
              <w:pStyle w:val="Compact"/>
              <w:jc w:val="left"/>
            </w:pPr>
            <w:r>
              <w:rPr>
                <w:bCs/>
                <w:b/>
              </w:rPr>
              <w:t xml:space="preserve">Eligibility</w:t>
            </w:r>
          </w:p>
        </w:tc>
        <w:tc>
          <w:tcPr/>
          <w:p>
            <w:pPr>
              <w:pStyle w:val="Compact"/>
              <w:jc w:val="left"/>
            </w:pPr>
            <w:r>
              <w:t xml:space="preserve">12 months of tenure</w:t>
            </w:r>
          </w:p>
        </w:tc>
        <w:tc>
          <w:tcPr/>
          <w:p>
            <w:pPr>
              <w:pStyle w:val="Compact"/>
              <w:jc w:val="left"/>
            </w:pPr>
            <w:r>
              <w:t xml:space="preserve">All benefits-eligible employees from date of hire</w:t>
            </w:r>
          </w:p>
        </w:tc>
      </w:tr>
      <w:tr>
        <w:tc>
          <w:tcPr/>
          <w:p>
            <w:pPr>
              <w:pStyle w:val="Compact"/>
              <w:jc w:val="left"/>
            </w:pPr>
            <w:r>
              <w:rPr>
                <w:bCs/>
                <w:b/>
              </w:rPr>
              <w:t xml:space="preserve">Job protection</w:t>
            </w:r>
          </w:p>
        </w:tc>
        <w:tc>
          <w:tcPr/>
          <w:p>
            <w:pPr>
              <w:pStyle w:val="Compact"/>
              <w:jc w:val="left"/>
            </w:pPr>
            <w:r>
              <w:t xml:space="preserve">Yes — same or equivalent role guaranteed</w:t>
            </w:r>
          </w:p>
        </w:tc>
        <w:tc>
          <w:tcPr/>
          <w:p>
            <w:pPr>
              <w:pStyle w:val="Compact"/>
              <w:jc w:val="left"/>
            </w:pPr>
            <w:r>
              <w:t xml:space="preserve">No independent job protection (but often runs with FMLA)</w:t>
            </w:r>
          </w:p>
        </w:tc>
      </w:tr>
      <w:tr>
        <w:tc>
          <w:tcPr/>
          <w:p>
            <w:pPr>
              <w:pStyle w:val="Compact"/>
              <w:jc w:val="left"/>
            </w:pPr>
            <w:r>
              <w:rPr>
                <w:bCs/>
                <w:b/>
              </w:rPr>
              <w:t xml:space="preserve">Covers family members</w:t>
            </w:r>
          </w:p>
        </w:tc>
        <w:tc>
          <w:tcPr/>
          <w:p>
            <w:pPr>
              <w:pStyle w:val="Compact"/>
              <w:jc w:val="left"/>
            </w:pPr>
            <w:r>
              <w:t xml:space="preserve">Yes</w:t>
            </w:r>
          </w:p>
        </w:tc>
        <w:tc>
          <w:tcPr/>
          <w:p>
            <w:pPr>
              <w:pStyle w:val="Compact"/>
              <w:jc w:val="left"/>
            </w:pPr>
            <w:r>
              <w:t xml:space="preserve">No — employee’s own condition only</w:t>
            </w:r>
          </w:p>
        </w:tc>
      </w:tr>
    </w:tbl>
    <w:p>
      <w:pPr>
        <w:pStyle w:val="BodyText"/>
      </w:pPr>
      <w:r>
        <w:t xml:space="preserve">In many cases, FMLA and STD run concurrently. An employee with a serious health condition that prevents them from working may receive STD pay while FMLA provides the job protection. See the Short-Term Disability Policy for claims procedures.</w:t>
      </w:r>
    </w:p>
    <w:bookmarkEnd w:id="31"/>
    <w:bookmarkStart w:id="32" w:name="prohibited-actions"/>
    <w:p>
      <w:pPr>
        <w:pStyle w:val="Heading2"/>
      </w:pPr>
      <w:r>
        <w:t xml:space="preserve">9. Prohibited Actions</w:t>
      </w:r>
    </w:p>
    <w:p>
      <w:pPr>
        <w:pStyle w:val="FirstParagraph"/>
      </w:pPr>
      <w:r>
        <w:t xml:space="preserve">Acme Corp prohibits:</w:t>
      </w:r>
    </w:p>
    <w:p>
      <w:pPr>
        <w:numPr>
          <w:ilvl w:val="0"/>
          <w:numId w:val="1007"/>
        </w:numPr>
        <w:pStyle w:val="Compact"/>
      </w:pPr>
      <w:r>
        <w:t xml:space="preserve">Interfering with an employee’s exercise of FMLA rights.</w:t>
      </w:r>
    </w:p>
    <w:p>
      <w:pPr>
        <w:numPr>
          <w:ilvl w:val="0"/>
          <w:numId w:val="1007"/>
        </w:numPr>
        <w:pStyle w:val="Compact"/>
      </w:pPr>
      <w:r>
        <w:t xml:space="preserve">Retaliating against an employee for requesting or taking FMLA leave.</w:t>
      </w:r>
    </w:p>
    <w:p>
      <w:pPr>
        <w:numPr>
          <w:ilvl w:val="0"/>
          <w:numId w:val="1007"/>
        </w:numPr>
        <w:pStyle w:val="Compact"/>
      </w:pPr>
      <w:r>
        <w:t xml:space="preserve">Using FMLA leave as a negative factor in performance evaluations, promotion decisions, or any other employment action.</w:t>
      </w:r>
    </w:p>
    <w:p>
      <w:pPr>
        <w:pStyle w:val="FirstParagraph"/>
      </w:pPr>
      <w:r>
        <w:t xml:space="preserve">Violations should be reported to Human Resources or the anonymous ethics hotline at 1-800-555-0142.</w:t>
      </w:r>
    </w:p>
    <w:bookmarkEnd w:id="32"/>
    <w:bookmarkStart w:id="33" w:name="policy-governance"/>
    <w:p>
      <w:pPr>
        <w:pStyle w:val="Heading2"/>
      </w:pPr>
      <w:r>
        <w:t xml:space="preserve">10. Policy Governance</w:t>
      </w:r>
    </w:p>
    <w:p>
      <w:pPr>
        <w:pStyle w:val="FirstParagraph"/>
      </w:pPr>
      <w:r>
        <w:t xml:space="preserve">This procedure is administered by Human Resources. Questions should be directed to hr@acmecorp.com or the employee’s HR Business Partner.</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FMLA Leave Procedure</dc:title>
  <dc:creator/>
  <cp:category>HR</cp:category>
  <cp:keywords/>
  <dcterms:created xsi:type="dcterms:W3CDTF">2026-04-10T07:43:22Z</dcterms:created>
  <dcterms:modified xsi:type="dcterms:W3CDTF">2026-04-10T07:43:22Z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Internal</vt:lpwstr>
  </property>
  <property fmtid="{D5CDD505-2E9C-101B-9397-08002B2CF9AE}" pid="3" name="doc_type">
    <vt:lpwstr>procedure</vt:lpwstr>
  </property>
  <property fmtid="{D5CDD505-2E9C-101B-9397-08002B2CF9AE}" pid="4" name="last_updated">
    <vt:lpwstr>2023-09-15</vt:lpwstr>
  </property>
  <property fmtid="{D5CDD505-2E9C-101B-9397-08002B2CF9AE}" pid="5" name="owner">
    <vt:lpwstr>Human Resources</vt:lpwstr>
  </property>
</Properties>
</file>