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IT</w:t>
      </w:r>
      <w:r>
        <w:t xml:space="preserve"> </w:t>
      </w:r>
      <w:r>
        <w:t xml:space="preserve">Asset</w:t>
      </w:r>
      <w:r>
        <w:t xml:space="preserve"> </w:t>
      </w:r>
      <w:r>
        <w:t xml:space="preserve">Management</w:t>
      </w:r>
      <w:r>
        <w:t xml:space="preserve"> </w:t>
      </w:r>
      <w:r>
        <w:t xml:space="preserve">Policy</w:t>
      </w:r>
    </w:p>
    <w:bookmarkStart w:id="28" w:name="it-asset-management-policy"/>
    <w:p>
      <w:pPr>
        <w:pStyle w:val="Heading1"/>
      </w:pPr>
      <w:r>
        <w:t xml:space="preserve">IT Asset Management Policy</w:t>
      </w:r>
    </w:p>
    <w:p>
      <w:pPr>
        <w:pStyle w:val="FirstParagraph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October 1, 2022</w:t>
      </w:r>
      <w:r>
        <w:t xml:space="preserve"> </w:t>
      </w:r>
      <w:r>
        <w:rPr>
          <w:bCs/>
          <w:b/>
        </w:rPr>
        <w:t xml:space="preserve">Applies to:</w:t>
      </w:r>
      <w:r>
        <w:t xml:space="preserve"> </w:t>
      </w:r>
      <w:r>
        <w:t xml:space="preserve">All Acme Corp-owned IT hardware and software assets</w:t>
      </w:r>
    </w:p>
    <w:bookmarkStart w:id="20" w:name="asset-tagging"/>
    <w:p>
      <w:pPr>
        <w:pStyle w:val="Heading2"/>
      </w:pPr>
      <w:r>
        <w:t xml:space="preserve">1. Asset Tagging</w:t>
      </w:r>
    </w:p>
    <w:p>
      <w:pPr>
        <w:pStyle w:val="FirstParagraph"/>
      </w:pPr>
      <w:r>
        <w:t xml:space="preserve">All IT hardware assets must be assigned a unique asset tag upon procurement. Tags follow the format</w:t>
      </w:r>
      <w:r>
        <w:t xml:space="preserve"> </w:t>
      </w:r>
      <w:r>
        <w:rPr>
          <w:rStyle w:val="VerbatimChar"/>
        </w:rPr>
        <w:t xml:space="preserve">ACME-HW-XXXXXX</w:t>
      </w:r>
      <w:r>
        <w:t xml:space="preserve"> </w:t>
      </w:r>
      <w:r>
        <w:t xml:space="preserve">(six-digit sequential number). Tags are affixed as physical stickers on laptops, monitors, servers, and networking equipment, and recorded in the IT asset management system.</w:t>
      </w:r>
    </w:p>
    <w:p>
      <w:pPr>
        <w:pStyle w:val="BodyText"/>
      </w:pPr>
      <w:r>
        <w:t xml:space="preserve">Software licenses are tracked under a separate identifier format:</w:t>
      </w:r>
      <w:r>
        <w:t xml:space="preserve"> </w:t>
      </w:r>
      <w:r>
        <w:rPr>
          <w:rStyle w:val="VerbatimChar"/>
        </w:rPr>
        <w:t xml:space="preserve">ACME-SW-XXXXXX</w:t>
      </w:r>
      <w:r>
        <w:t xml:space="preserve">.</w:t>
      </w:r>
    </w:p>
    <w:bookmarkEnd w:id="20"/>
    <w:bookmarkStart w:id="21" w:name="inventory"/>
    <w:p>
      <w:pPr>
        <w:pStyle w:val="Heading2"/>
      </w:pPr>
      <w:r>
        <w:t xml:space="preserve">2. Inventory</w:t>
      </w:r>
    </w:p>
    <w:p>
      <w:pPr>
        <w:pStyle w:val="FirstParagraph"/>
      </w:pPr>
      <w:r>
        <w:t xml:space="preserve">IT Operations maintains a centralized asset inventory that records: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Laptop, monitor, server, network device,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and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and model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 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name and ID (or</w:t>
            </w:r>
            <w:r>
              <w:t xml:space="preserve"> </w:t>
            </w:r>
            <w:r>
              <w:t xml:space="preserve">“</w:t>
            </w:r>
            <w:r>
              <w:t xml:space="preserve">unassigned</w:t>
            </w:r>
            <w:r>
              <w:t xml:space="preserve">”</w:t>
            </w:r>
            <w:r>
              <w:t xml:space="preserve"> </w:t>
            </w:r>
            <w:r>
              <w:t xml:space="preserve">for pool/spare devices)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Office, remote (employee home address on file), or data center 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Warranty 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manufacturer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spare, repair, decommissioned</w:t>
            </w:r>
          </w:p>
        </w:tc>
      </w:tr>
    </w:tbl>
    <w:bookmarkEnd w:id="21"/>
    <w:bookmarkStart w:id="22" w:name="inventory-reconciliation"/>
    <w:p>
      <w:pPr>
        <w:pStyle w:val="Heading2"/>
      </w:pPr>
      <w:r>
        <w:t xml:space="preserve">3. Inventory Reconciliation</w:t>
      </w:r>
    </w:p>
    <w:p>
      <w:pPr>
        <w:pStyle w:val="FirstParagraph"/>
      </w:pPr>
      <w:r>
        <w:t xml:space="preserve">IT Operations conducts inventory reconciliation on the following schedule: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Quarterly:</w:t>
      </w:r>
      <w:r>
        <w:t xml:space="preserve"> </w:t>
      </w:r>
      <w:r>
        <w:t xml:space="preserve">Automated reconciliation between the asset management system and the endpoint agent inventory. Discrepancies (devices in one system but not the other) are investigated within 10 business days.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Annually:</w:t>
      </w:r>
      <w:r>
        <w:t xml:space="preserve"> </w:t>
      </w:r>
      <w:r>
        <w:t xml:space="preserve">Physical spot-check of 20% of assets selected at random. Spot-check results are documented and any discrepancies are resolved within 30 days.</w:t>
      </w:r>
    </w:p>
    <w:p>
      <w:pPr>
        <w:pStyle w:val="FirstParagraph"/>
      </w:pPr>
      <w:r>
        <w:t xml:space="preserve">Reconciliation results are reported to the VP of Engineering and retained for SOC 2 audit evidence.</w:t>
      </w:r>
    </w:p>
    <w:bookmarkEnd w:id="22"/>
    <w:bookmarkStart w:id="25" w:name="end-of-life-and-disposal"/>
    <w:p>
      <w:pPr>
        <w:pStyle w:val="Heading2"/>
      </w:pPr>
      <w:r>
        <w:t xml:space="preserve">4. End-of-Life and Disposal</w:t>
      </w:r>
    </w:p>
    <w:p>
      <w:pPr>
        <w:pStyle w:val="FirstParagraph"/>
      </w:pPr>
      <w:r>
        <w:t xml:space="preserve">Assets reach end-of-life based on the following schedule: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years</w:t>
            </w:r>
          </w:p>
        </w:tc>
      </w:tr>
    </w:tbl>
    <w:bookmarkStart w:id="23" w:name="disposal-process"/>
    <w:p>
      <w:pPr>
        <w:pStyle w:val="Heading3"/>
      </w:pPr>
      <w:r>
        <w:t xml:space="preserve">4.1 Disposal Process</w:t>
      </w:r>
    </w:p>
    <w:p>
      <w:pPr>
        <w:numPr>
          <w:ilvl w:val="0"/>
          <w:numId w:val="1002"/>
        </w:numPr>
        <w:pStyle w:val="Compact"/>
      </w:pPr>
      <w:r>
        <w:t xml:space="preserve">IT Operations marks the asset as</w:t>
      </w:r>
      <w:r>
        <w:t xml:space="preserve"> </w:t>
      </w:r>
      <w:r>
        <w:t xml:space="preserve">“</w:t>
      </w:r>
      <w:r>
        <w:t xml:space="preserve">decommissioned</w:t>
      </w:r>
      <w:r>
        <w:t xml:space="preserve">”</w:t>
      </w:r>
      <w:r>
        <w:t xml:space="preserve"> </w:t>
      </w:r>
      <w:r>
        <w:t xml:space="preserve">in the inventory system.</w:t>
      </w:r>
    </w:p>
    <w:p>
      <w:pPr>
        <w:numPr>
          <w:ilvl w:val="0"/>
          <w:numId w:val="1002"/>
        </w:numPr>
        <w:pStyle w:val="Compact"/>
      </w:pPr>
      <w:r>
        <w:t xml:space="preserve">All data is wiped using cryptographic erasure (destroying the disk encryption key) or NIST 800-88 compliant media sanitization.</w:t>
      </w:r>
    </w:p>
    <w:p>
      <w:pPr>
        <w:numPr>
          <w:ilvl w:val="0"/>
          <w:numId w:val="1002"/>
        </w:numPr>
        <w:pStyle w:val="Compact"/>
      </w:pPr>
      <w:r>
        <w:t xml:space="preserve">The data wipe is certified in writing by the IT technician performing the wipe.</w:t>
      </w:r>
    </w:p>
    <w:p>
      <w:pPr>
        <w:numPr>
          <w:ilvl w:val="0"/>
          <w:numId w:val="1002"/>
        </w:numPr>
        <w:pStyle w:val="Compact"/>
      </w:pPr>
      <w:r>
        <w:t xml:space="preserve">The asset is either recycled through an R2-certified electronics recycler or donated to an approved nonprofit.</w:t>
      </w:r>
    </w:p>
    <w:p>
      <w:pPr>
        <w:numPr>
          <w:ilvl w:val="0"/>
          <w:numId w:val="1002"/>
        </w:numPr>
        <w:pStyle w:val="Compact"/>
      </w:pPr>
      <w:r>
        <w:t xml:space="preserve">The disposal record (asset tag, wipe certification, disposal method, date) is retained for 7 years.</w:t>
      </w:r>
    </w:p>
    <w:bookmarkEnd w:id="23"/>
    <w:bookmarkStart w:id="24" w:name="prohibited-disposal-methods"/>
    <w:p>
      <w:pPr>
        <w:pStyle w:val="Heading3"/>
      </w:pPr>
      <w:r>
        <w:t xml:space="preserve">4.2 Prohibited Disposal Methods</w:t>
      </w:r>
    </w:p>
    <w:p>
      <w:pPr>
        <w:numPr>
          <w:ilvl w:val="0"/>
          <w:numId w:val="1003"/>
        </w:numPr>
        <w:pStyle w:val="Compact"/>
      </w:pPr>
      <w:r>
        <w:t xml:space="preserve">Assets must not be discarded in general waste or recycling bins.</w:t>
      </w:r>
    </w:p>
    <w:p>
      <w:pPr>
        <w:numPr>
          <w:ilvl w:val="0"/>
          <w:numId w:val="1003"/>
        </w:numPr>
        <w:pStyle w:val="Compact"/>
      </w:pPr>
      <w:r>
        <w:t xml:space="preserve">Assets must not be sold or given to employees.</w:t>
      </w:r>
    </w:p>
    <w:p>
      <w:pPr>
        <w:numPr>
          <w:ilvl w:val="0"/>
          <w:numId w:val="1003"/>
        </w:numPr>
        <w:pStyle w:val="Compact"/>
      </w:pPr>
      <w:r>
        <w:t xml:space="preserve">Storage media (hard drives, SSDs) must not be disposed of without certified data destruction.</w:t>
      </w:r>
    </w:p>
    <w:bookmarkEnd w:id="24"/>
    <w:bookmarkEnd w:id="25"/>
    <w:bookmarkStart w:id="26" w:name="lost-or-stolen-assets"/>
    <w:p>
      <w:pPr>
        <w:pStyle w:val="Heading2"/>
      </w:pPr>
      <w:r>
        <w:t xml:space="preserve">5. Lost or Stolen Assets</w:t>
      </w:r>
    </w:p>
    <w:p>
      <w:pPr>
        <w:pStyle w:val="FirstParagraph"/>
      </w:pPr>
      <w:r>
        <w:t xml:space="preserve">Lost or stolen assets must be reported per the Laptop Security Requirements (for laptops) or to IT Operations (for other equipment). IT Operations updates the asset status and initiates a remote wipe where applicable.</w:t>
      </w:r>
    </w:p>
    <w:bookmarkEnd w:id="26"/>
    <w:bookmarkStart w:id="27" w:name="policy-governance"/>
    <w:p>
      <w:pPr>
        <w:pStyle w:val="Heading2"/>
      </w:pPr>
      <w:r>
        <w:t xml:space="preserve">6. Policy Governance</w:t>
      </w:r>
    </w:p>
    <w:p>
      <w:pPr>
        <w:pStyle w:val="FirstParagraph"/>
      </w:pPr>
      <w:r>
        <w:t xml:space="preserve">This policy is maintained by IT Operations. Questions should be directed to it-ops@acmecorp.com.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Version 1.1 — Last revised October 1, 2022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Asset Management Policy</dc:title>
  <dc:creator/>
  <cp:category>IT</cp:category>
  <cp:keywords/>
  <dcterms:created xsi:type="dcterms:W3CDTF">2026-04-10T08:16:58Z</dcterms:created>
  <dcterms:modified xsi:type="dcterms:W3CDTF">2026-04-10T08:16:58Z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</vt:lpwstr>
  </property>
  <property fmtid="{D5CDD505-2E9C-101B-9397-08002B2CF9AE}" pid="3" name="doc_type">
    <vt:lpwstr>policy</vt:lpwstr>
  </property>
  <property fmtid="{D5CDD505-2E9C-101B-9397-08002B2CF9AE}" pid="4" name="last_updated">
    <vt:lpwstr>2022-10-01</vt:lpwstr>
  </property>
  <property fmtid="{D5CDD505-2E9C-101B-9397-08002B2CF9AE}" pid="5" name="owner">
    <vt:lpwstr>IT Operations</vt:lpwstr>
  </property>
</Properties>
</file>