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Termination</w:t>
      </w:r>
      <w:r>
        <w:t xml:space="preserve"> </w:t>
      </w:r>
      <w:r>
        <w:t xml:space="preserve">Procedures</w:t>
      </w:r>
    </w:p>
    <w:bookmarkStart w:id="28" w:name="termination-procedures"/>
    <w:p>
      <w:pPr>
        <w:pStyle w:val="Heading1"/>
      </w:pPr>
      <w:r>
        <w:t xml:space="preserve">Termination Procedures</w:t>
      </w:r>
    </w:p>
    <w:p>
      <w:pPr>
        <w:pStyle w:val="FirstParagraph"/>
      </w:pPr>
      <w:r>
        <w:rPr>
          <w:bCs/>
          <w:b/>
        </w:rPr>
        <w:t xml:space="preserve">Effective Date:</w:t>
      </w:r>
      <w:r>
        <w:t xml:space="preserve"> </w:t>
      </w:r>
      <w:r>
        <w:t xml:space="preserve">March 1, 2023</w:t>
      </w:r>
      <w:r>
        <w:t xml:space="preserve"> </w:t>
      </w:r>
      <w:r>
        <w:rPr>
          <w:bCs/>
          <w:b/>
        </w:rPr>
        <w:t xml:space="preserve">Applies to:</w:t>
      </w:r>
      <w:r>
        <w:t xml:space="preserve"> </w:t>
      </w:r>
      <w:r>
        <w:t xml:space="preserve">All Acme Corp employees</w:t>
      </w:r>
    </w:p>
    <w:bookmarkStart w:id="20" w:name="voluntary-resignation"/>
    <w:p>
      <w:pPr>
        <w:pStyle w:val="Heading2"/>
      </w:pPr>
      <w:r>
        <w:t xml:space="preserve">1. Voluntary Resignation</w:t>
      </w:r>
    </w:p>
    <w:p>
      <w:pPr>
        <w:pStyle w:val="FirstParagraph"/>
      </w:pPr>
      <w:r>
        <w:t xml:space="preserve">Employees who wish to resign should provide at least 2 weeks’ written notice to their manager and Human Resources. Resignations are submitted via the HR portal or by email to hr@acmecorp.com.</w:t>
      </w:r>
    </w:p>
    <w:p>
      <w:pPr>
        <w:pStyle w:val="BodyText"/>
      </w:pPr>
      <w:r>
        <w:t xml:space="preserve">Upon receiving notice, the manager should:</w:t>
      </w:r>
    </w:p>
    <w:p>
      <w:pPr>
        <w:numPr>
          <w:ilvl w:val="0"/>
          <w:numId w:val="1001"/>
        </w:numPr>
        <w:pStyle w:val="Compact"/>
      </w:pPr>
      <w:r>
        <w:t xml:space="preserve">Acknowledge the resignation in writing within 1 business day.</w:t>
      </w:r>
    </w:p>
    <w:p>
      <w:pPr>
        <w:numPr>
          <w:ilvl w:val="0"/>
          <w:numId w:val="1001"/>
        </w:numPr>
        <w:pStyle w:val="Compact"/>
      </w:pPr>
      <w:r>
        <w:t xml:space="preserve">Begin transition planning, including knowledge transfer and reassignment of responsibilities.</w:t>
      </w:r>
    </w:p>
    <w:p>
      <w:pPr>
        <w:numPr>
          <w:ilvl w:val="0"/>
          <w:numId w:val="1001"/>
        </w:numPr>
        <w:pStyle w:val="Compact"/>
      </w:pPr>
      <w:r>
        <w:t xml:space="preserve">Notify IT to schedule system access revocation for the employee’s last day.</w:t>
      </w:r>
    </w:p>
    <w:bookmarkEnd w:id="20"/>
    <w:bookmarkStart w:id="21" w:name="involuntary-termination"/>
    <w:p>
      <w:pPr>
        <w:pStyle w:val="Heading2"/>
      </w:pPr>
      <w:r>
        <w:t xml:space="preserve">2. Involuntary Termination</w:t>
      </w:r>
    </w:p>
    <w:p>
      <w:pPr>
        <w:pStyle w:val="FirstParagraph"/>
      </w:pPr>
      <w:r>
        <w:t xml:space="preserve">Involuntary terminations may result from:</w:t>
      </w:r>
    </w:p>
    <w:p>
      <w:pPr>
        <w:numPr>
          <w:ilvl w:val="0"/>
          <w:numId w:val="1002"/>
        </w:numPr>
        <w:pStyle w:val="Compact"/>
      </w:pPr>
      <w:r>
        <w:rPr>
          <w:bCs/>
          <w:b/>
        </w:rPr>
        <w:t xml:space="preserve">Performance:</w:t>
      </w:r>
      <w:r>
        <w:t xml:space="preserve"> </w:t>
      </w:r>
      <w:r>
        <w:t xml:space="preserve">After completion of a Performance Improvement Plan (PIP) without satisfactory improvement.</w:t>
      </w:r>
    </w:p>
    <w:p>
      <w:pPr>
        <w:numPr>
          <w:ilvl w:val="0"/>
          <w:numId w:val="1002"/>
        </w:numPr>
        <w:pStyle w:val="Compact"/>
      </w:pPr>
      <w:r>
        <w:rPr>
          <w:bCs/>
          <w:b/>
        </w:rPr>
        <w:t xml:space="preserve">Policy violation:</w:t>
      </w:r>
      <w:r>
        <w:t xml:space="preserve"> </w:t>
      </w:r>
      <w:r>
        <w:t xml:space="preserve">Serious or repeated violations of company policies, including the Code of Conduct, harassment policy, or data handling policies.</w:t>
      </w:r>
    </w:p>
    <w:p>
      <w:pPr>
        <w:numPr>
          <w:ilvl w:val="0"/>
          <w:numId w:val="1002"/>
        </w:numPr>
        <w:pStyle w:val="Compact"/>
      </w:pPr>
      <w:r>
        <w:rPr>
          <w:bCs/>
          <w:b/>
        </w:rPr>
        <w:t xml:space="preserve">Position elimination:</w:t>
      </w:r>
      <w:r>
        <w:t xml:space="preserve"> </w:t>
      </w:r>
      <w:r>
        <w:t xml:space="preserve">Business restructuring, role elimination, or reduction in force.</w:t>
      </w:r>
    </w:p>
    <w:p>
      <w:pPr>
        <w:numPr>
          <w:ilvl w:val="0"/>
          <w:numId w:val="1002"/>
        </w:numPr>
        <w:pStyle w:val="Compact"/>
      </w:pPr>
      <w:r>
        <w:rPr>
          <w:bCs/>
          <w:b/>
        </w:rPr>
        <w:t xml:space="preserve">Probationary period:</w:t>
      </w:r>
      <w:r>
        <w:t xml:space="preserve"> </w:t>
      </w:r>
      <w:r>
        <w:t xml:space="preserve">Failure to meet expectations during the 90-day probationary period.</w:t>
      </w:r>
    </w:p>
    <w:p>
      <w:pPr>
        <w:pStyle w:val="FirstParagraph"/>
      </w:pPr>
      <w:r>
        <w:t xml:space="preserve">All involuntary terminations require prior approval from Human Resources and the relevant department head. Terminations of L6 and above additionally require approval from the Chief People Officer.</w:t>
      </w:r>
    </w:p>
    <w:bookmarkEnd w:id="21"/>
    <w:bookmarkStart w:id="22" w:name="exit-interview"/>
    <w:p>
      <w:pPr>
        <w:pStyle w:val="Heading2"/>
      </w:pPr>
      <w:r>
        <w:t xml:space="preserve">3. Exit Interview</w:t>
      </w:r>
    </w:p>
    <w:p>
      <w:pPr>
        <w:pStyle w:val="FirstParagraph"/>
      </w:pPr>
      <w:r>
        <w:t xml:space="preserve">Human Resources conducts an exit interview with every departing employee, regardless of the reason for separation. The interview covers:</w:t>
      </w:r>
    </w:p>
    <w:p>
      <w:pPr>
        <w:numPr>
          <w:ilvl w:val="0"/>
          <w:numId w:val="1003"/>
        </w:numPr>
        <w:pStyle w:val="Compact"/>
      </w:pPr>
      <w:r>
        <w:t xml:space="preserve">Reason for departure (voluntary separations).</w:t>
      </w:r>
    </w:p>
    <w:p>
      <w:pPr>
        <w:numPr>
          <w:ilvl w:val="0"/>
          <w:numId w:val="1003"/>
        </w:numPr>
        <w:pStyle w:val="Compact"/>
      </w:pPr>
      <w:r>
        <w:t xml:space="preserve">Feedback on management, team, and work environment.</w:t>
      </w:r>
    </w:p>
    <w:p>
      <w:pPr>
        <w:numPr>
          <w:ilvl w:val="0"/>
          <w:numId w:val="1003"/>
        </w:numPr>
        <w:pStyle w:val="Compact"/>
      </w:pPr>
      <w:r>
        <w:t xml:space="preserve">Confirmation that the employee understands their post-employment obligations (confidentiality, non-solicitation, intellectual property).</w:t>
      </w:r>
    </w:p>
    <w:p>
      <w:pPr>
        <w:numPr>
          <w:ilvl w:val="0"/>
          <w:numId w:val="1003"/>
        </w:numPr>
        <w:pStyle w:val="Compact"/>
      </w:pPr>
      <w:r>
        <w:t xml:space="preserve">Review of benefits continuation options.</w:t>
      </w:r>
    </w:p>
    <w:p>
      <w:pPr>
        <w:pStyle w:val="FirstParagraph"/>
      </w:pPr>
      <w:r>
        <w:t xml:space="preserve">Exit interviews are confidential. Aggregated themes are reported to department heads quarterly; individual responses are not shared with the departing employee’s manager.</w:t>
      </w:r>
    </w:p>
    <w:bookmarkEnd w:id="22"/>
    <w:bookmarkStart w:id="23" w:name="final-paycheck"/>
    <w:p>
      <w:pPr>
        <w:pStyle w:val="Heading2"/>
      </w:pPr>
      <w:r>
        <w:t xml:space="preserve">4. Final Paycheck</w:t>
      </w:r>
    </w:p>
    <w:p>
      <w:pPr>
        <w:pStyle w:val="FirstParagraph"/>
      </w:pPr>
      <w:r>
        <w:t xml:space="preserve">Final paychecks are processed in accordance with applicable state law:</w:t>
      </w:r>
    </w:p>
    <w:p>
      <w:pPr>
        <w:numPr>
          <w:ilvl w:val="0"/>
          <w:numId w:val="1004"/>
        </w:numPr>
        <w:pStyle w:val="Compact"/>
      </w:pPr>
      <w:r>
        <w:rPr>
          <w:bCs/>
          <w:b/>
        </w:rPr>
        <w:t xml:space="preserve">Voluntary resignation with notice:</w:t>
      </w:r>
      <w:r>
        <w:t xml:space="preserve"> </w:t>
      </w:r>
      <w:r>
        <w:t xml:space="preserve">Final paycheck issued on the next regular pay date.</w:t>
      </w:r>
    </w:p>
    <w:p>
      <w:pPr>
        <w:numPr>
          <w:ilvl w:val="0"/>
          <w:numId w:val="1004"/>
        </w:numPr>
        <w:pStyle w:val="Compact"/>
      </w:pPr>
      <w:r>
        <w:rPr>
          <w:bCs/>
          <w:b/>
        </w:rPr>
        <w:t xml:space="preserve">Involuntary termination:</w:t>
      </w:r>
      <w:r>
        <w:t xml:space="preserve"> </w:t>
      </w:r>
      <w:r>
        <w:t xml:space="preserve">Final paycheck issued on the last day of employment, or as required by state law.</w:t>
      </w:r>
    </w:p>
    <w:p>
      <w:pPr>
        <w:pStyle w:val="FirstParagraph"/>
      </w:pPr>
      <w:r>
        <w:t xml:space="preserve">Final paychecks include:</w:t>
      </w:r>
    </w:p>
    <w:p>
      <w:pPr>
        <w:numPr>
          <w:ilvl w:val="0"/>
          <w:numId w:val="1005"/>
        </w:numPr>
        <w:pStyle w:val="Compact"/>
      </w:pPr>
      <w:r>
        <w:t xml:space="preserve">All wages earned through the last day of employment.</w:t>
      </w:r>
    </w:p>
    <w:p>
      <w:pPr>
        <w:numPr>
          <w:ilvl w:val="0"/>
          <w:numId w:val="1005"/>
        </w:numPr>
        <w:pStyle w:val="Compact"/>
      </w:pPr>
      <w:r>
        <w:t xml:space="preserve">Payout of accrued, unused vacation at the employee’s current base rate.</w:t>
      </w:r>
    </w:p>
    <w:p>
      <w:pPr>
        <w:numPr>
          <w:ilvl w:val="0"/>
          <w:numId w:val="1005"/>
        </w:numPr>
        <w:pStyle w:val="Compact"/>
      </w:pPr>
      <w:r>
        <w:t xml:space="preserve">Any outstanding expense reimbursements that have been approved.</w:t>
      </w:r>
    </w:p>
    <w:p>
      <w:pPr>
        <w:pStyle w:val="FirstParagraph"/>
      </w:pPr>
      <w:r>
        <w:t xml:space="preserve">Sick leave balances are not paid out upon separation.</w:t>
      </w:r>
    </w:p>
    <w:bookmarkEnd w:id="23"/>
    <w:bookmarkStart w:id="24" w:name="cobra-notification"/>
    <w:p>
      <w:pPr>
        <w:pStyle w:val="Heading2"/>
      </w:pPr>
      <w:r>
        <w:t xml:space="preserve">5. COBRA Notification</w:t>
      </w:r>
    </w:p>
    <w:p>
      <w:pPr>
        <w:pStyle w:val="FirstParagraph"/>
      </w:pPr>
      <w:r>
        <w:t xml:space="preserve">Departing employees and their covered dependents are eligible for continuation of health benefits under COBRA. Human Resources sends the COBRA election notice within 14 days of the qualifying event (last day of employment).</w:t>
      </w:r>
    </w:p>
    <w:p>
      <w:pPr>
        <w:pStyle w:val="BodyText"/>
      </w:pPr>
      <w:r>
        <w:t xml:space="preserve">Key COBRA details:</w:t>
      </w:r>
    </w:p>
    <w:p>
      <w:pPr>
        <w:numPr>
          <w:ilvl w:val="0"/>
          <w:numId w:val="1006"/>
        </w:numPr>
        <w:pStyle w:val="Compact"/>
      </w:pPr>
      <w:r>
        <w:t xml:space="preserve">Coverage may continue for up to 18 months (or 36 months for certain qualifying events).</w:t>
      </w:r>
    </w:p>
    <w:p>
      <w:pPr>
        <w:numPr>
          <w:ilvl w:val="0"/>
          <w:numId w:val="1006"/>
        </w:numPr>
        <w:pStyle w:val="Compact"/>
      </w:pPr>
      <w:r>
        <w:t xml:space="preserve">The employee pays the full premium (employee + employer share) plus a 2% administrative fee.</w:t>
      </w:r>
    </w:p>
    <w:p>
      <w:pPr>
        <w:numPr>
          <w:ilvl w:val="0"/>
          <w:numId w:val="1006"/>
        </w:numPr>
        <w:pStyle w:val="Compact"/>
      </w:pPr>
      <w:r>
        <w:t xml:space="preserve">Election must be made within 60 days of receiving the COBRA notice.</w:t>
      </w:r>
    </w:p>
    <w:p>
      <w:pPr>
        <w:numPr>
          <w:ilvl w:val="0"/>
          <w:numId w:val="1006"/>
        </w:numPr>
        <w:pStyle w:val="Compact"/>
      </w:pPr>
      <w:r>
        <w:t xml:space="preserve">Coverage is retroactive to the date of the qualifying event if elected within the 60-day window.</w:t>
      </w:r>
    </w:p>
    <w:bookmarkEnd w:id="24"/>
    <w:bookmarkStart w:id="25" w:name="return-of-company-property"/>
    <w:p>
      <w:pPr>
        <w:pStyle w:val="Heading2"/>
      </w:pPr>
      <w:r>
        <w:t xml:space="preserve">6. Return of Company Property</w:t>
      </w:r>
    </w:p>
    <w:p>
      <w:pPr>
        <w:pStyle w:val="FirstParagraph"/>
      </w:pPr>
      <w:r>
        <w:t xml:space="preserve">All company property must be returned on or before the employee’s last day, including:</w:t>
      </w:r>
    </w:p>
    <w:p>
      <w:pPr>
        <w:numPr>
          <w:ilvl w:val="0"/>
          <w:numId w:val="1007"/>
        </w:numPr>
        <w:pStyle w:val="Compact"/>
      </w:pPr>
      <w:r>
        <w:t xml:space="preserve">Laptop and charger.</w:t>
      </w:r>
    </w:p>
    <w:p>
      <w:pPr>
        <w:numPr>
          <w:ilvl w:val="0"/>
          <w:numId w:val="1007"/>
        </w:numPr>
        <w:pStyle w:val="Compact"/>
      </w:pPr>
      <w:r>
        <w:t xml:space="preserve">Mobile devices.</w:t>
      </w:r>
    </w:p>
    <w:p>
      <w:pPr>
        <w:numPr>
          <w:ilvl w:val="0"/>
          <w:numId w:val="1007"/>
        </w:numPr>
        <w:pStyle w:val="Compact"/>
      </w:pPr>
      <w:r>
        <w:t xml:space="preserve">Access badges and keys.</w:t>
      </w:r>
    </w:p>
    <w:p>
      <w:pPr>
        <w:numPr>
          <w:ilvl w:val="0"/>
          <w:numId w:val="1007"/>
        </w:numPr>
        <w:pStyle w:val="Compact"/>
      </w:pPr>
      <w:r>
        <w:t xml:space="preserve">Physical documents and files.</w:t>
      </w:r>
    </w:p>
    <w:p>
      <w:pPr>
        <w:numPr>
          <w:ilvl w:val="0"/>
          <w:numId w:val="1007"/>
        </w:numPr>
        <w:pStyle w:val="Compact"/>
      </w:pPr>
      <w:r>
        <w:t xml:space="preserve">Any company data stored on personal devices (confirmed deleted per IT Security Policy).</w:t>
      </w:r>
    </w:p>
    <w:p>
      <w:pPr>
        <w:pStyle w:val="FirstParagraph"/>
      </w:pPr>
      <w:r>
        <w:t xml:space="preserve">Failure to return company property may result in deductions from the final paycheck where permitted by law, or collection action.</w:t>
      </w:r>
    </w:p>
    <w:bookmarkEnd w:id="25"/>
    <w:bookmarkStart w:id="26" w:name="system-access-revocation"/>
    <w:p>
      <w:pPr>
        <w:pStyle w:val="Heading2"/>
      </w:pPr>
      <w:r>
        <w:t xml:space="preserve">7. System Access Revocation</w:t>
      </w:r>
    </w:p>
    <w:p>
      <w:pPr>
        <w:pStyle w:val="FirstParagraph"/>
      </w:pPr>
      <w:r>
        <w:t xml:space="preserve">IT revokes the departing employee’s access to all company systems, including email, VPN, cloud applications, and code repositories, at the end of business on the employee’s last day. For involuntary terminations, access is revoked immediately upon notification.</w:t>
      </w:r>
    </w:p>
    <w:bookmarkEnd w:id="26"/>
    <w:bookmarkStart w:id="27" w:name="policy-governance"/>
    <w:p>
      <w:pPr>
        <w:pStyle w:val="Heading2"/>
      </w:pPr>
      <w:r>
        <w:t xml:space="preserve">8. Policy Governance</w:t>
      </w:r>
    </w:p>
    <w:p>
      <w:pPr>
        <w:pStyle w:val="FirstParagraph"/>
      </w:pPr>
      <w:r>
        <w:t xml:space="preserve">These procedures are administered by Human Resources. Questions should be directed to hr@acmecorp.com.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Termination Procedures</dc:title>
  <dc:creator/>
  <cp:category>HR</cp:category>
  <cp:keywords/>
  <dcterms:created xsi:type="dcterms:W3CDTF">2026-04-10T07:55:01Z</dcterms:created>
  <dcterms:modified xsi:type="dcterms:W3CDTF">2026-04-10T07:55:01Z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doc_type">
    <vt:lpwstr>procedure</vt:lpwstr>
  </property>
  <property fmtid="{D5CDD505-2E9C-101B-9397-08002B2CF9AE}" pid="4" name="last_updated">
    <vt:lpwstr>2023-03-01</vt:lpwstr>
  </property>
  <property fmtid="{D5CDD505-2E9C-101B-9397-08002B2CF9AE}" pid="5" name="owner">
    <vt:lpwstr>Human Resources</vt:lpwstr>
  </property>
</Properties>
</file>