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p>
    <w:p w:rsidR="00000000" w:rsidDel="00000000" w:rsidP="00000000" w:rsidRDefault="00000000" w:rsidRPr="00000000" w14:paraId="00000077">
      <w:pPr>
        <w:spacing w:after="2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Many controls need to be implemented to improve Botium Toy’s security posture. These include: Least Privilege, disaster recovery plans, password policies, separation of duties, an IDS, backups, ongoing legacy system management, encryption, and a password management system.</w:t>
      </w:r>
    </w:p>
    <w:p w:rsidR="00000000" w:rsidDel="00000000" w:rsidP="00000000" w:rsidRDefault="00000000" w:rsidRPr="00000000" w14:paraId="00000078">
      <w:pPr>
        <w:spacing w:after="2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To adhere with compliance best practices, Botium Toys has to implement controls such as Least Privilege, separation of duty and encryption. The company also needs to complete a proper classification of assets in order to successfully identify any additional controls that may need to be implemented to further strengthen the security posture and help better protect the sensitive data it stores.</w:t>
      </w:r>
    </w:p>
    <w:p w:rsidR="00000000" w:rsidDel="00000000" w:rsidP="00000000" w:rsidRDefault="00000000" w:rsidRPr="00000000" w14:paraId="00000079">
      <w:pPr>
        <w:spacing w:after="200" w:line="360" w:lineRule="auto"/>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