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-1948158858"/>
                <w:dropDownList w:lastValue="Escalated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hd w:fill="ffe5a0" w:val="clear"/>
                  </w:rPr>
                  <w:t xml:space="preserve">Escalated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alert detected that an employee downloaded and opened a malicious file from a</w:t>
            </w:r>
          </w:p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phishing email. There is an inconsistency between the sender’s email address</w:t>
            </w:r>
          </w:p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“76tguy6hh6tgftrt7tg.su’” the name used in the email body “Clyde West,” and the sender’s</w:t>
            </w:r>
          </w:p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name, “Def Communications.” The email body and subject line contained grammatical errors.</w:t>
            </w:r>
          </w:p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email’s body also contained a password-protected attachment, “bfsvc.exe,” which was</w:t>
            </w:r>
          </w:p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downloaded and opened on the affected machine. Having previously investigated the file</w:t>
            </w:r>
          </w:p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hash, it is confirmed to be a known malicious file. Furthermore, the alert severity is reported</w:t>
            </w:r>
          </w:p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 medium. With these findings, I chose to escalate this ticket to a level-two SOC analyst to</w:t>
            </w:r>
          </w:p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take further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