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68E6C" w14:textId="43500D71" w:rsidR="002C38E2" w:rsidRDefault="00FF522D" w:rsidP="00833D2A">
      <w:pPr>
        <w:spacing w:line="480" w:lineRule="auto"/>
      </w:pPr>
      <w:r>
        <w:t>20 January 2025</w:t>
      </w:r>
    </w:p>
    <w:p w14:paraId="13FA34D8" w14:textId="06DF5921" w:rsidR="007E06A4" w:rsidRPr="00232899" w:rsidRDefault="007E06A4" w:rsidP="00833D2A">
      <w:pPr>
        <w:spacing w:line="480" w:lineRule="auto"/>
      </w:pPr>
      <w:r w:rsidRPr="005B2C06">
        <w:t>RH: Diefenbach et al.</w:t>
      </w:r>
      <w:r w:rsidR="00445DBF" w:rsidRPr="005B2C06">
        <w:t xml:space="preserve"> </w:t>
      </w:r>
      <w:r w:rsidR="00445DBF" w:rsidRPr="00232899">
        <w:t xml:space="preserve">• </w:t>
      </w:r>
      <w:r w:rsidR="00232899" w:rsidRPr="00232899">
        <w:t xml:space="preserve">Turkey </w:t>
      </w:r>
      <w:r w:rsidR="00932D01">
        <w:t>p</w:t>
      </w:r>
      <w:r w:rsidR="00883178">
        <w:t>roductivity</w:t>
      </w:r>
      <w:r w:rsidR="00232899">
        <w:t xml:space="preserve"> </w:t>
      </w:r>
      <w:r w:rsidR="00932D01">
        <w:t>a</w:t>
      </w:r>
      <w:r w:rsidR="00232899">
        <w:t>nalysis</w:t>
      </w:r>
    </w:p>
    <w:p w14:paraId="56B5DAC6" w14:textId="23D73DD6" w:rsidR="003A6B23" w:rsidRPr="006754FB" w:rsidRDefault="006F2C15" w:rsidP="00833D2A">
      <w:pPr>
        <w:spacing w:line="480" w:lineRule="auto"/>
        <w:rPr>
          <w:b/>
          <w:bCs/>
        </w:rPr>
      </w:pPr>
      <w:r w:rsidRPr="006754FB">
        <w:rPr>
          <w:b/>
          <w:bCs/>
        </w:rPr>
        <w:t xml:space="preserve">A </w:t>
      </w:r>
      <w:r w:rsidR="00FD50F1">
        <w:rPr>
          <w:b/>
          <w:bCs/>
        </w:rPr>
        <w:t>framework for analyzing</w:t>
      </w:r>
      <w:r w:rsidR="00FD50F1" w:rsidRPr="006754FB">
        <w:rPr>
          <w:b/>
          <w:bCs/>
        </w:rPr>
        <w:t xml:space="preserve"> </w:t>
      </w:r>
      <w:r w:rsidR="00FD50F1">
        <w:rPr>
          <w:b/>
          <w:bCs/>
        </w:rPr>
        <w:t xml:space="preserve">wild </w:t>
      </w:r>
      <w:r w:rsidR="00FD50F1" w:rsidRPr="006754FB">
        <w:rPr>
          <w:b/>
          <w:bCs/>
        </w:rPr>
        <w:t xml:space="preserve">turkey summer sighting </w:t>
      </w:r>
      <w:r w:rsidR="00FD50F1">
        <w:rPr>
          <w:b/>
          <w:bCs/>
        </w:rPr>
        <w:t>data</w:t>
      </w:r>
    </w:p>
    <w:p w14:paraId="5F66C551" w14:textId="1FAF9398" w:rsidR="00D715D9" w:rsidRPr="006754FB" w:rsidRDefault="00D715D9" w:rsidP="00833D2A">
      <w:pPr>
        <w:spacing w:line="480" w:lineRule="auto"/>
        <w:ind w:left="720" w:hanging="720"/>
      </w:pPr>
      <w:r w:rsidRPr="006754FB">
        <w:t xml:space="preserve">Duane R. </w:t>
      </w:r>
      <w:r w:rsidR="006F2C15" w:rsidRPr="006754FB">
        <w:t xml:space="preserve">Diefenbach, </w:t>
      </w:r>
      <w:r w:rsidR="00775CFA" w:rsidRPr="006754FB">
        <w:t>U.S. Geological Survey, Pennsylvania Cooperative Fish and Wildlife Research Unit, Pennsylvania State University, University Park, PA 16802</w:t>
      </w:r>
      <w:r w:rsidR="00AC117F">
        <w:t>,</w:t>
      </w:r>
      <w:r w:rsidR="00775CFA" w:rsidRPr="006754FB">
        <w:t xml:space="preserve"> USA</w:t>
      </w:r>
    </w:p>
    <w:p w14:paraId="2ED98422" w14:textId="4CBD92A5" w:rsidR="006F2C15" w:rsidRPr="00605494" w:rsidRDefault="00D715D9" w:rsidP="00833D2A">
      <w:pPr>
        <w:spacing w:line="480" w:lineRule="auto"/>
        <w:ind w:left="720" w:hanging="720"/>
      </w:pPr>
      <w:r w:rsidRPr="006754FB">
        <w:t xml:space="preserve">Frances E. </w:t>
      </w:r>
      <w:r w:rsidR="006F2C15" w:rsidRPr="006754FB">
        <w:t>Buderman</w:t>
      </w:r>
      <w:r w:rsidR="00825631" w:rsidRPr="006754FB">
        <w:t xml:space="preserve">, Department of Ecosystem Science and Management, Pennsylvania State </w:t>
      </w:r>
      <w:r w:rsidR="00825631" w:rsidRPr="00605494">
        <w:t>University, University Park, PA 16802</w:t>
      </w:r>
      <w:r w:rsidR="00AC117F" w:rsidRPr="00605494">
        <w:t>,</w:t>
      </w:r>
      <w:r w:rsidR="00825631" w:rsidRPr="00605494">
        <w:t xml:space="preserve"> USA</w:t>
      </w:r>
    </w:p>
    <w:p w14:paraId="4920AC3D" w14:textId="1F4C49F2" w:rsidR="00B2339C" w:rsidRPr="00605494" w:rsidRDefault="00B2339C" w:rsidP="00833D2A">
      <w:pPr>
        <w:spacing w:line="480" w:lineRule="auto"/>
        <w:ind w:left="720" w:hanging="720"/>
      </w:pPr>
      <w:r w:rsidRPr="00605494">
        <w:t>Mary Jo Casalena, Pennsylvania Game Commission, Harrisburg, PA 17110</w:t>
      </w:r>
      <w:r w:rsidR="00AC117F" w:rsidRPr="00605494">
        <w:t>,</w:t>
      </w:r>
      <w:r w:rsidRPr="00605494">
        <w:t xml:space="preserve"> USA</w:t>
      </w:r>
    </w:p>
    <w:p w14:paraId="298E7AC9" w14:textId="0DDAD5E4" w:rsidR="00A24CD0" w:rsidRPr="00605494" w:rsidRDefault="00A24CD0" w:rsidP="00833D2A">
      <w:pPr>
        <w:spacing w:line="480" w:lineRule="auto"/>
        <w:ind w:left="720" w:hanging="720"/>
      </w:pPr>
      <w:r w:rsidRPr="00605494">
        <w:t xml:space="preserve">Michael Dye, </w:t>
      </w:r>
      <w:r w:rsidR="00BE1B08" w:rsidRPr="00605494">
        <w:t>Virginia Department of Wildlife Resources,</w:t>
      </w:r>
      <w:r w:rsidR="00690B0C" w:rsidRPr="00605494">
        <w:t xml:space="preserve"> Verona, VA 24482</w:t>
      </w:r>
      <w:r w:rsidR="00AC117F" w:rsidRPr="00605494">
        <w:t>,</w:t>
      </w:r>
      <w:r w:rsidR="00690B0C" w:rsidRPr="00605494">
        <w:t xml:space="preserve"> USA</w:t>
      </w:r>
    </w:p>
    <w:p w14:paraId="3DDEBF05" w14:textId="1663CDCC" w:rsidR="00A63D94" w:rsidRPr="00605494" w:rsidRDefault="00A63D94" w:rsidP="00833D2A">
      <w:pPr>
        <w:spacing w:line="480" w:lineRule="auto"/>
        <w:ind w:left="720" w:hanging="720"/>
      </w:pPr>
      <w:r w:rsidRPr="00605494">
        <w:t xml:space="preserve">Robert Gates, </w:t>
      </w:r>
      <w:r w:rsidR="004429EB" w:rsidRPr="00605494">
        <w:t>School of Environment and Natural Resources, Ohio State University, Columbus, OH 43210</w:t>
      </w:r>
      <w:r w:rsidR="00AC117F" w:rsidRPr="00605494">
        <w:t>,</w:t>
      </w:r>
      <w:r w:rsidR="004429EB" w:rsidRPr="00605494">
        <w:t xml:space="preserve"> USA</w:t>
      </w:r>
    </w:p>
    <w:p w14:paraId="14B8DF5A" w14:textId="10339F3A" w:rsidR="00775CFA" w:rsidRPr="00605494" w:rsidRDefault="00775CFA" w:rsidP="00833D2A">
      <w:pPr>
        <w:spacing w:line="480" w:lineRule="auto"/>
        <w:ind w:left="720" w:hanging="720"/>
      </w:pPr>
      <w:r w:rsidRPr="00605494">
        <w:t xml:space="preserve">Laura </w:t>
      </w:r>
      <w:r w:rsidR="00542E93" w:rsidRPr="00605494">
        <w:t xml:space="preserve">C. </w:t>
      </w:r>
      <w:r w:rsidRPr="00605494">
        <w:t xml:space="preserve">Gigliotti, U.S. Geological Survey, West Virginia Cooperative Fish and Wildlife Research Unit, Morgantown, WV </w:t>
      </w:r>
      <w:r w:rsidR="00A667C8" w:rsidRPr="00605494">
        <w:t>26506</w:t>
      </w:r>
      <w:r w:rsidR="00542E93" w:rsidRPr="00605494">
        <w:t>,</w:t>
      </w:r>
      <w:r w:rsidRPr="00605494">
        <w:t xml:space="preserve"> USA</w:t>
      </w:r>
    </w:p>
    <w:p w14:paraId="15ED51E0" w14:textId="1857934B" w:rsidR="000A77E5" w:rsidRPr="00605494" w:rsidRDefault="002661D6" w:rsidP="00833D2A">
      <w:pPr>
        <w:spacing w:line="480" w:lineRule="auto"/>
        <w:ind w:left="720" w:hanging="720"/>
      </w:pPr>
      <w:r w:rsidRPr="00605494">
        <w:t>C. Robert</w:t>
      </w:r>
      <w:r w:rsidR="00A3314D" w:rsidRPr="00605494">
        <w:t xml:space="preserve"> Long, Maryland Department of Natural Resources, Wildlife and Heritage Service</w:t>
      </w:r>
      <w:r w:rsidR="00EC19AA" w:rsidRPr="00605494">
        <w:t>,</w:t>
      </w:r>
      <w:r w:rsidR="00A3314D" w:rsidRPr="00605494">
        <w:t xml:space="preserve"> Cambridge, </w:t>
      </w:r>
      <w:r w:rsidR="009D0873" w:rsidRPr="00605494">
        <w:t xml:space="preserve">MD </w:t>
      </w:r>
      <w:r w:rsidR="00A3314D" w:rsidRPr="00605494">
        <w:t>21613</w:t>
      </w:r>
      <w:r w:rsidR="00AC117F" w:rsidRPr="00605494">
        <w:t>,</w:t>
      </w:r>
      <w:r w:rsidR="00A3314D" w:rsidRPr="00605494">
        <w:t xml:space="preserve"> USA</w:t>
      </w:r>
    </w:p>
    <w:p w14:paraId="100DE112" w14:textId="653BAE8A" w:rsidR="00E679BD" w:rsidRPr="00605494" w:rsidRDefault="00E679BD" w:rsidP="00833D2A">
      <w:pPr>
        <w:spacing w:line="480" w:lineRule="auto"/>
        <w:ind w:left="720" w:hanging="720"/>
      </w:pPr>
      <w:r w:rsidRPr="00605494">
        <w:t>Katherine Martin, Virginia Department of Wildlife Resources, Forest, VA 24551</w:t>
      </w:r>
      <w:r w:rsidR="00AC117F" w:rsidRPr="00605494">
        <w:t>,</w:t>
      </w:r>
      <w:r w:rsidR="00BE1B08" w:rsidRPr="00605494">
        <w:t xml:space="preserve"> USA</w:t>
      </w:r>
    </w:p>
    <w:p w14:paraId="17A0803C" w14:textId="4E71223F" w:rsidR="008D022D" w:rsidRPr="00605494" w:rsidRDefault="008D022D" w:rsidP="00833D2A">
      <w:pPr>
        <w:spacing w:line="480" w:lineRule="auto"/>
        <w:ind w:left="720" w:hanging="720"/>
      </w:pPr>
      <w:r w:rsidRPr="00605494">
        <w:t>Michael Muthersbaugh, New York State Department of Environmental Conservation, Division of Fish and Wildlife, Albany, NY 12233</w:t>
      </w:r>
      <w:r w:rsidR="00AC117F" w:rsidRPr="00605494">
        <w:t>,</w:t>
      </w:r>
      <w:r w:rsidRPr="00605494">
        <w:t xml:space="preserve"> USA</w:t>
      </w:r>
    </w:p>
    <w:p w14:paraId="4A18BD51" w14:textId="1434F394" w:rsidR="00D06594" w:rsidRPr="006754FB" w:rsidRDefault="00D06594" w:rsidP="00833D2A">
      <w:pPr>
        <w:spacing w:line="480" w:lineRule="auto"/>
        <w:ind w:left="720" w:hanging="720"/>
      </w:pPr>
      <w:r w:rsidRPr="00605494">
        <w:t>Michael L. Peters, West</w:t>
      </w:r>
      <w:r w:rsidRPr="006754FB">
        <w:t xml:space="preserve"> Virginia Division of Natural Resources</w:t>
      </w:r>
      <w:r w:rsidR="00A90ED0" w:rsidRPr="006754FB">
        <w:t xml:space="preserve">, </w:t>
      </w:r>
      <w:r w:rsidRPr="006754FB">
        <w:t>Farmington, WV 26571</w:t>
      </w:r>
      <w:r w:rsidR="00AC117F">
        <w:t>,</w:t>
      </w:r>
      <w:r w:rsidR="00A90ED0" w:rsidRPr="006754FB">
        <w:t xml:space="preserve"> USA</w:t>
      </w:r>
    </w:p>
    <w:p w14:paraId="5891C652" w14:textId="1F9437FF" w:rsidR="00755EAF" w:rsidRPr="00605494" w:rsidRDefault="00755EAF" w:rsidP="00833D2A">
      <w:pPr>
        <w:spacing w:line="480" w:lineRule="auto"/>
        <w:ind w:left="720" w:hanging="720"/>
      </w:pPr>
      <w:r w:rsidRPr="00605494">
        <w:lastRenderedPageBreak/>
        <w:t xml:space="preserve">James Sloan, </w:t>
      </w:r>
      <w:r w:rsidR="00886558" w:rsidRPr="00605494">
        <w:t xml:space="preserve">New Jersey Department </w:t>
      </w:r>
      <w:r w:rsidR="00BE1B08" w:rsidRPr="00605494">
        <w:t>o</w:t>
      </w:r>
      <w:r w:rsidR="00886558" w:rsidRPr="00605494">
        <w:t>f Environmental Protection, Fish and Wildlife</w:t>
      </w:r>
      <w:r w:rsidR="00775CFA" w:rsidRPr="00605494">
        <w:t>, Trenton, NJ 08625</w:t>
      </w:r>
      <w:r w:rsidR="00AC117F" w:rsidRPr="00605494">
        <w:t>,</w:t>
      </w:r>
      <w:r w:rsidR="00775CFA" w:rsidRPr="00605494">
        <w:t xml:space="preserve"> USA</w:t>
      </w:r>
    </w:p>
    <w:p w14:paraId="4D85EBF7" w14:textId="67B7D5E7" w:rsidR="009710A9" w:rsidRPr="00605494" w:rsidRDefault="009710A9" w:rsidP="00833D2A">
      <w:pPr>
        <w:spacing w:line="480" w:lineRule="auto"/>
        <w:ind w:left="720" w:hanging="720"/>
      </w:pPr>
      <w:r w:rsidRPr="00605494">
        <w:t xml:space="preserve">Joshua Stiller, </w:t>
      </w:r>
      <w:r w:rsidR="00497393" w:rsidRPr="00605494">
        <w:t>New York State Department of Environmental Conservation, Division of Fish and Wildlife, Albany, NY 12233</w:t>
      </w:r>
      <w:r w:rsidR="00AC117F" w:rsidRPr="00605494">
        <w:t>,</w:t>
      </w:r>
      <w:r w:rsidR="00497393" w:rsidRPr="00605494">
        <w:t xml:space="preserve"> USA</w:t>
      </w:r>
    </w:p>
    <w:p w14:paraId="01849D98" w14:textId="1296003F" w:rsidR="00A63D94" w:rsidRPr="006754FB" w:rsidRDefault="00A63D94" w:rsidP="00833D2A">
      <w:pPr>
        <w:spacing w:line="480" w:lineRule="auto"/>
        <w:ind w:left="720" w:hanging="720"/>
      </w:pPr>
      <w:r w:rsidRPr="00605494">
        <w:t>Mark Wiley, Ohio</w:t>
      </w:r>
      <w:r w:rsidRPr="006754FB">
        <w:t xml:space="preserve"> Department of Natural Resources, Division of Wildlife, Columbus, OH 43229</w:t>
      </w:r>
      <w:r w:rsidR="00AC117F">
        <w:t>,</w:t>
      </w:r>
      <w:r w:rsidRPr="006754FB">
        <w:t xml:space="preserve"> USA</w:t>
      </w:r>
    </w:p>
    <w:p w14:paraId="28E1F51A" w14:textId="4C9375EE" w:rsidR="006F2C15" w:rsidRPr="006754FB" w:rsidRDefault="0099751B" w:rsidP="00833D2A">
      <w:pPr>
        <w:spacing w:line="480" w:lineRule="auto"/>
      </w:pPr>
      <w:r w:rsidRPr="002113F8">
        <w:rPr>
          <w:b/>
          <w:bCs/>
        </w:rPr>
        <w:t>Correspondence:</w:t>
      </w:r>
      <w:r>
        <w:t xml:space="preserve"> </w:t>
      </w:r>
      <w:r w:rsidR="00034155">
        <w:t>Duane R. Diefenbach, 466 Bigler Rd</w:t>
      </w:r>
      <w:r w:rsidR="00153DB7" w:rsidRPr="006754FB">
        <w:t>, Pennsylvania State University, University Park, PA 16802</w:t>
      </w:r>
      <w:r w:rsidR="00153DB7">
        <w:t>,</w:t>
      </w:r>
      <w:r w:rsidR="00153DB7" w:rsidRPr="006754FB">
        <w:t xml:space="preserve"> USA</w:t>
      </w:r>
      <w:r w:rsidR="00AB5AEB">
        <w:t>.</w:t>
      </w:r>
      <w:r w:rsidR="00034155">
        <w:t xml:space="preserve"> Email: </w:t>
      </w:r>
      <w:hyperlink r:id="rId10" w:history="1">
        <w:r w:rsidR="00034155" w:rsidRPr="00B557A9">
          <w:rPr>
            <w:rStyle w:val="Hyperlink"/>
          </w:rPr>
          <w:t>DRD11@psu.edu</w:t>
        </w:r>
      </w:hyperlink>
      <w:r w:rsidR="00034155">
        <w:t xml:space="preserve"> </w:t>
      </w:r>
    </w:p>
    <w:p w14:paraId="471AF4FB" w14:textId="77777777" w:rsidR="002113F8" w:rsidRDefault="002113F8" w:rsidP="00833D2A">
      <w:pPr>
        <w:spacing w:line="480" w:lineRule="auto"/>
        <w:rPr>
          <w:b/>
          <w:bCs/>
        </w:rPr>
      </w:pPr>
      <w:r>
        <w:rPr>
          <w:b/>
          <w:bCs/>
        </w:rPr>
        <w:br w:type="page"/>
      </w:r>
    </w:p>
    <w:p w14:paraId="46C3F5D6" w14:textId="5B26FE5E" w:rsidR="0079031B" w:rsidRPr="006754FB" w:rsidRDefault="00034155" w:rsidP="005B09D0">
      <w:pPr>
        <w:spacing w:line="480" w:lineRule="auto"/>
      </w:pPr>
      <w:r w:rsidRPr="006754FB">
        <w:rPr>
          <w:b/>
          <w:bCs/>
        </w:rPr>
        <w:lastRenderedPageBreak/>
        <w:t>ABSTRACT</w:t>
      </w:r>
      <w:r w:rsidR="00AB5AEB">
        <w:t xml:space="preserve"> </w:t>
      </w:r>
      <w:r w:rsidR="00253789">
        <w:t>W</w:t>
      </w:r>
      <w:r w:rsidR="00BE1750">
        <w:t xml:space="preserve">ildlife agencies collect data on </w:t>
      </w:r>
      <w:r w:rsidR="00A03476">
        <w:t xml:space="preserve">productivity </w:t>
      </w:r>
      <w:r w:rsidR="009D2EE4">
        <w:t xml:space="preserve">(e.g., </w:t>
      </w:r>
      <w:r w:rsidR="00A566A2">
        <w:t>proportion</w:t>
      </w:r>
      <w:r w:rsidR="009D2EE4">
        <w:t xml:space="preserve"> of hens with </w:t>
      </w:r>
      <w:r w:rsidR="00E87E3E">
        <w:t>poult</w:t>
      </w:r>
      <w:r w:rsidR="009D2EE4">
        <w:t xml:space="preserve">s and number of poults per hen) </w:t>
      </w:r>
      <w:r w:rsidR="00A03476">
        <w:t xml:space="preserve">of </w:t>
      </w:r>
      <w:r w:rsidR="00BE1750">
        <w:t xml:space="preserve">wild turkey </w:t>
      </w:r>
      <w:r w:rsidR="00B461FB">
        <w:t>(</w:t>
      </w:r>
      <w:r w:rsidR="00B461FB" w:rsidRPr="001164C5">
        <w:rPr>
          <w:i/>
          <w:iCs/>
        </w:rPr>
        <w:t>Meleagris gall</w:t>
      </w:r>
      <w:r w:rsidR="007F26D1">
        <w:rPr>
          <w:i/>
          <w:iCs/>
        </w:rPr>
        <w:t>o</w:t>
      </w:r>
      <w:r w:rsidR="00B461FB" w:rsidRPr="001164C5">
        <w:rPr>
          <w:i/>
          <w:iCs/>
        </w:rPr>
        <w:t>pavo</w:t>
      </w:r>
      <w:r w:rsidR="00B461FB">
        <w:t xml:space="preserve">) </w:t>
      </w:r>
      <w:r w:rsidR="00BE1750">
        <w:t>to monitor</w:t>
      </w:r>
      <w:r w:rsidR="00B461FB">
        <w:t xml:space="preserve"> population status and trends</w:t>
      </w:r>
      <w:r w:rsidR="00EF645A">
        <w:t>. However, sampling protocol</w:t>
      </w:r>
      <w:r w:rsidR="00E544B1">
        <w:t>s</w:t>
      </w:r>
      <w:r w:rsidR="00EF645A">
        <w:t xml:space="preserve"> to collect productivity</w:t>
      </w:r>
      <w:r w:rsidR="0081411C">
        <w:t xml:space="preserve"> data </w:t>
      </w:r>
      <w:r w:rsidR="00EF645A">
        <w:t>rel</w:t>
      </w:r>
      <w:r w:rsidR="00E544B1">
        <w:t>y</w:t>
      </w:r>
      <w:r w:rsidR="00EF645A">
        <w:t xml:space="preserve"> on </w:t>
      </w:r>
      <w:r w:rsidR="0081411C">
        <w:t xml:space="preserve">opportunistic observations reported by </w:t>
      </w:r>
      <w:r w:rsidR="00B54E35">
        <w:t xml:space="preserve">wildlife </w:t>
      </w:r>
      <w:r w:rsidR="0081411C">
        <w:t>agency personnel and the publi</w:t>
      </w:r>
      <w:r w:rsidR="008311EE">
        <w:t>c</w:t>
      </w:r>
      <w:r w:rsidR="00F3319C">
        <w:t xml:space="preserve"> and </w:t>
      </w:r>
      <w:r w:rsidR="000155BB">
        <w:t>have changed over time and differ</w:t>
      </w:r>
      <w:r w:rsidR="00AB5AEB">
        <w:t>ed</w:t>
      </w:r>
      <w:r w:rsidR="000155BB">
        <w:t xml:space="preserve"> among agencies. </w:t>
      </w:r>
      <w:r w:rsidR="00B63CE8">
        <w:t>A p</w:t>
      </w:r>
      <w:r w:rsidR="000155BB">
        <w:t>rotocol to standardize</w:t>
      </w:r>
      <w:r w:rsidR="00182CE6">
        <w:t xml:space="preserve"> data collection </w:t>
      </w:r>
      <w:r w:rsidR="00846317">
        <w:t>w</w:t>
      </w:r>
      <w:r w:rsidR="00485D50">
        <w:t>as</w:t>
      </w:r>
      <w:r w:rsidR="00182CE6">
        <w:t xml:space="preserve"> </w:t>
      </w:r>
      <w:r w:rsidR="0026450A">
        <w:t>adopted</w:t>
      </w:r>
      <w:r w:rsidR="00182CE6">
        <w:t xml:space="preserve"> </w:t>
      </w:r>
      <w:r w:rsidR="004F3A1B">
        <w:t xml:space="preserve">by most state wildlife agencies </w:t>
      </w:r>
      <w:r w:rsidR="00846317">
        <w:t>in 2019</w:t>
      </w:r>
      <w:r w:rsidR="00121862">
        <w:t>,</w:t>
      </w:r>
      <w:r w:rsidR="00846317">
        <w:t xml:space="preserve"> </w:t>
      </w:r>
      <w:r w:rsidR="00182CE6">
        <w:t xml:space="preserve">but </w:t>
      </w:r>
      <w:r w:rsidR="00BF16D7">
        <w:t xml:space="preserve">long-term </w:t>
      </w:r>
      <w:r w:rsidR="00846317">
        <w:t>historical datasets exist</w:t>
      </w:r>
      <w:r w:rsidR="00BF16D7">
        <w:t xml:space="preserve"> that </w:t>
      </w:r>
      <w:r w:rsidR="004F512D">
        <w:t xml:space="preserve">cannot be analyzed </w:t>
      </w:r>
      <w:r w:rsidR="00485D50">
        <w:t xml:space="preserve">readily </w:t>
      </w:r>
      <w:r w:rsidR="004F512D">
        <w:t xml:space="preserve">to </w:t>
      </w:r>
      <w:r w:rsidR="00DF64DC">
        <w:t>make</w:t>
      </w:r>
      <w:r w:rsidR="004F512D">
        <w:t xml:space="preserve"> inferences about </w:t>
      </w:r>
      <w:r w:rsidR="00BF16D7">
        <w:t xml:space="preserve">spatial and temporal patterns </w:t>
      </w:r>
      <w:r w:rsidR="004F512D">
        <w:t xml:space="preserve">in wild turkey </w:t>
      </w:r>
      <w:r w:rsidR="009967EE">
        <w:t>productivity</w:t>
      </w:r>
      <w:r w:rsidR="00C643C0">
        <w:t xml:space="preserve">. </w:t>
      </w:r>
      <w:r w:rsidR="0079031B">
        <w:t>W</w:t>
      </w:r>
      <w:r w:rsidR="0079031B" w:rsidRPr="006754FB">
        <w:t xml:space="preserve">e developed </w:t>
      </w:r>
      <w:r w:rsidR="00B67EEF">
        <w:t xml:space="preserve">statistical models </w:t>
      </w:r>
      <w:r w:rsidR="0079031B" w:rsidRPr="006754FB">
        <w:t xml:space="preserve">to </w:t>
      </w:r>
      <w:r w:rsidR="0079031B">
        <w:t xml:space="preserve">allow comparisons </w:t>
      </w:r>
      <w:r w:rsidR="00E75F5D">
        <w:t xml:space="preserve">and model trends </w:t>
      </w:r>
      <w:r w:rsidR="0079031B">
        <w:t xml:space="preserve">in </w:t>
      </w:r>
      <w:r w:rsidR="009967EE">
        <w:t>productivity</w:t>
      </w:r>
      <w:r w:rsidR="0079031B">
        <w:t xml:space="preserve"> among and within states </w:t>
      </w:r>
      <w:r w:rsidR="00D56CB8">
        <w:t xml:space="preserve">even </w:t>
      </w:r>
      <w:r w:rsidR="000D4E46">
        <w:t>though</w:t>
      </w:r>
      <w:r w:rsidR="0079031B">
        <w:t xml:space="preserve"> data collection </w:t>
      </w:r>
      <w:r w:rsidR="006F7A27">
        <w:t xml:space="preserve">protocols </w:t>
      </w:r>
      <w:r w:rsidR="00B67EEF">
        <w:t>change</w:t>
      </w:r>
      <w:r w:rsidR="00D56CB8">
        <w:t>d</w:t>
      </w:r>
      <w:r w:rsidR="00B67EEF">
        <w:t xml:space="preserve"> </w:t>
      </w:r>
      <w:r w:rsidR="00DE1552">
        <w:t xml:space="preserve">over </w:t>
      </w:r>
      <w:r w:rsidR="009967EE">
        <w:t>time</w:t>
      </w:r>
      <w:r w:rsidR="006F7A27">
        <w:t xml:space="preserve"> and differ</w:t>
      </w:r>
      <w:r w:rsidR="007502E7">
        <w:t>ed</w:t>
      </w:r>
      <w:r w:rsidR="006F7A27">
        <w:t xml:space="preserve"> </w:t>
      </w:r>
      <w:r w:rsidR="00B63CE8">
        <w:t>among states</w:t>
      </w:r>
      <w:r w:rsidR="0079031B">
        <w:t xml:space="preserve">. </w:t>
      </w:r>
      <w:r w:rsidR="00CA5190">
        <w:t xml:space="preserve">We found greater spatial variation in the proportion of hens with </w:t>
      </w:r>
      <w:r w:rsidR="00E87E3E">
        <w:t>poult</w:t>
      </w:r>
      <w:r w:rsidR="00CA5190">
        <w:t>s than number of poults per brood</w:t>
      </w:r>
      <w:r w:rsidR="000F028B">
        <w:t xml:space="preserve">, which may </w:t>
      </w:r>
      <w:r w:rsidR="0033465C">
        <w:t>reflect</w:t>
      </w:r>
      <w:r w:rsidR="003B6518">
        <w:t xml:space="preserve"> how environmental factors influence wild turkey productivity.</w:t>
      </w:r>
      <w:r w:rsidR="00CA5190">
        <w:t xml:space="preserve"> </w:t>
      </w:r>
      <w:r w:rsidR="00AF048E">
        <w:t xml:space="preserve">Our </w:t>
      </w:r>
      <w:r w:rsidR="00CA5190">
        <w:t xml:space="preserve">models </w:t>
      </w:r>
      <w:r w:rsidR="003B6518">
        <w:t xml:space="preserve">can </w:t>
      </w:r>
      <w:r w:rsidR="00AF048E">
        <w:t xml:space="preserve">also </w:t>
      </w:r>
      <w:r w:rsidR="001A4789">
        <w:t xml:space="preserve">provide </w:t>
      </w:r>
      <w:r w:rsidR="00CA5190">
        <w:t xml:space="preserve">inferences about </w:t>
      </w:r>
      <w:r w:rsidR="000328C2">
        <w:t>productivity</w:t>
      </w:r>
      <w:r w:rsidR="00CA5190">
        <w:t xml:space="preserve"> when data are limited or </w:t>
      </w:r>
      <w:r w:rsidR="001A4789">
        <w:t xml:space="preserve">temporally discontinuous </w:t>
      </w:r>
      <w:r w:rsidR="00CA5190">
        <w:t xml:space="preserve">for some spatial units. </w:t>
      </w:r>
      <w:r w:rsidR="00BB3A93">
        <w:t>Additionally, w</w:t>
      </w:r>
      <w:r w:rsidR="002870A0">
        <w:t>e found that</w:t>
      </w:r>
      <w:r w:rsidR="000858ED">
        <w:t xml:space="preserve"> temporal </w:t>
      </w:r>
      <w:r w:rsidR="005F6720">
        <w:t xml:space="preserve">and spatial </w:t>
      </w:r>
      <w:r w:rsidR="000858ED">
        <w:t>variation in data collection</w:t>
      </w:r>
      <w:r w:rsidR="005F6720">
        <w:t xml:space="preserve"> </w:t>
      </w:r>
      <w:r w:rsidR="00DE1552">
        <w:t xml:space="preserve">even </w:t>
      </w:r>
      <w:r w:rsidR="005F6720">
        <w:t>under the new protocol</w:t>
      </w:r>
      <w:r w:rsidR="000858ED">
        <w:t xml:space="preserve"> can affect inferences about </w:t>
      </w:r>
      <w:r w:rsidR="005F6720">
        <w:t xml:space="preserve">trends in </w:t>
      </w:r>
      <w:r w:rsidR="00CA5190">
        <w:t>productivity</w:t>
      </w:r>
      <w:r w:rsidR="000858ED">
        <w:t xml:space="preserve">. </w:t>
      </w:r>
      <w:r w:rsidR="003F628A">
        <w:t xml:space="preserve">The statistical models we developed </w:t>
      </w:r>
      <w:r w:rsidR="00C42CA3">
        <w:t xml:space="preserve">address the uncontrolled nature of when and where data are collected </w:t>
      </w:r>
      <w:r w:rsidR="00A24CA2">
        <w:t xml:space="preserve">and </w:t>
      </w:r>
      <w:r w:rsidR="009675EA" w:rsidRPr="001F69E1">
        <w:t>offer the ability to investigate long-term patterns of productivity in relation to factors such as changing climate or habitat conditions</w:t>
      </w:r>
      <w:r w:rsidR="009675EA">
        <w:t>.</w:t>
      </w:r>
    </w:p>
    <w:p w14:paraId="4B1BDDB3" w14:textId="053BAAA2" w:rsidR="00F8646A" w:rsidRPr="00034155" w:rsidRDefault="00034155" w:rsidP="00833D2A">
      <w:pPr>
        <w:spacing w:line="480" w:lineRule="auto"/>
      </w:pPr>
      <w:r w:rsidRPr="00034155">
        <w:rPr>
          <w:b/>
          <w:bCs/>
        </w:rPr>
        <w:t>KEYWORDS</w:t>
      </w:r>
      <w:r>
        <w:t xml:space="preserve"> </w:t>
      </w:r>
      <w:r w:rsidRPr="00EC2958">
        <w:rPr>
          <w:i/>
          <w:iCs/>
        </w:rPr>
        <w:t>Meleagris gall</w:t>
      </w:r>
      <w:r w:rsidR="007F26D1">
        <w:rPr>
          <w:i/>
          <w:iCs/>
        </w:rPr>
        <w:t>o</w:t>
      </w:r>
      <w:r w:rsidRPr="00EC2958">
        <w:rPr>
          <w:i/>
          <w:iCs/>
        </w:rPr>
        <w:t>pavo</w:t>
      </w:r>
      <w:r w:rsidR="00EC2958">
        <w:t xml:space="preserve">, poults per brood, </w:t>
      </w:r>
      <w:r w:rsidR="005F5B78">
        <w:t xml:space="preserve">poults per hen, </w:t>
      </w:r>
      <w:r w:rsidR="000328C2">
        <w:t xml:space="preserve">productivity, </w:t>
      </w:r>
      <w:r w:rsidR="00EC2958">
        <w:t>recruitment</w:t>
      </w:r>
      <w:r w:rsidR="00FA5F02">
        <w:t xml:space="preserve">, </w:t>
      </w:r>
      <w:r w:rsidR="00AA3B58">
        <w:t xml:space="preserve">summer sighting survey, </w:t>
      </w:r>
      <w:r w:rsidR="00FA5F02">
        <w:t>wild turkey</w:t>
      </w:r>
    </w:p>
    <w:p w14:paraId="7020C55C" w14:textId="6B74F197" w:rsidR="0012117C" w:rsidRDefault="00122D98" w:rsidP="009B4E9F">
      <w:pPr>
        <w:spacing w:after="0" w:line="480" w:lineRule="auto"/>
      </w:pPr>
      <w:r w:rsidRPr="006754FB">
        <w:t>Many state wildlife agencies</w:t>
      </w:r>
      <w:r w:rsidR="003F2391" w:rsidRPr="006754FB">
        <w:t xml:space="preserve"> collect data on </w:t>
      </w:r>
      <w:r w:rsidR="001164C5">
        <w:t xml:space="preserve">wild </w:t>
      </w:r>
      <w:r w:rsidR="003F2391" w:rsidRPr="006754FB">
        <w:t xml:space="preserve">turkey </w:t>
      </w:r>
      <w:r w:rsidR="001164C5">
        <w:t>(</w:t>
      </w:r>
      <w:r w:rsidR="001164C5" w:rsidRPr="001164C5">
        <w:rPr>
          <w:i/>
          <w:iCs/>
        </w:rPr>
        <w:t>Meleagris gall</w:t>
      </w:r>
      <w:r w:rsidR="007A551E">
        <w:rPr>
          <w:i/>
          <w:iCs/>
        </w:rPr>
        <w:t>o</w:t>
      </w:r>
      <w:r w:rsidR="001164C5" w:rsidRPr="001164C5">
        <w:rPr>
          <w:i/>
          <w:iCs/>
        </w:rPr>
        <w:t>pavo</w:t>
      </w:r>
      <w:r w:rsidR="001164C5">
        <w:t xml:space="preserve">) </w:t>
      </w:r>
      <w:r w:rsidR="000955C8">
        <w:t>productivity</w:t>
      </w:r>
      <w:r w:rsidR="00856FF5" w:rsidRPr="006754FB">
        <w:t xml:space="preserve"> where sightings</w:t>
      </w:r>
      <w:r w:rsidR="0082423B" w:rsidRPr="006754FB">
        <w:t xml:space="preserve"> </w:t>
      </w:r>
      <w:r w:rsidR="00856FF5" w:rsidRPr="006754FB">
        <w:t>of hens and poults</w:t>
      </w:r>
      <w:r w:rsidR="00DE4D11" w:rsidRPr="006754FB">
        <w:t xml:space="preserve"> are </w:t>
      </w:r>
      <w:r w:rsidR="00BA1ED3">
        <w:t xml:space="preserve">used to calculate </w:t>
      </w:r>
      <w:r w:rsidR="00AB5AEB">
        <w:t>metrics of</w:t>
      </w:r>
      <w:r w:rsidR="000A7441" w:rsidRPr="006754FB">
        <w:t xml:space="preserve"> reproductive success (e.g.</w:t>
      </w:r>
      <w:r w:rsidR="00B94BF1">
        <w:t>,</w:t>
      </w:r>
      <w:r w:rsidR="000A7441" w:rsidRPr="006754FB">
        <w:t xml:space="preserve"> poults per hen)</w:t>
      </w:r>
      <w:r w:rsidR="00070F07" w:rsidRPr="006754FB">
        <w:t xml:space="preserve"> to </w:t>
      </w:r>
      <w:r w:rsidR="00190D99" w:rsidRPr="006754FB">
        <w:t>monitor</w:t>
      </w:r>
      <w:r w:rsidR="00F636C4" w:rsidRPr="006754FB">
        <w:t xml:space="preserve"> </w:t>
      </w:r>
      <w:r w:rsidR="00D95351" w:rsidRPr="006754FB">
        <w:t xml:space="preserve">wild turkey </w:t>
      </w:r>
      <w:r w:rsidR="00190D99" w:rsidRPr="006754FB">
        <w:t>population</w:t>
      </w:r>
      <w:r w:rsidR="007D474A" w:rsidRPr="006754FB">
        <w:t xml:space="preserve"> trends</w:t>
      </w:r>
      <w:r w:rsidR="00CC7662">
        <w:t xml:space="preserve"> (</w:t>
      </w:r>
      <w:r w:rsidR="00917247">
        <w:t xml:space="preserve">Byrne et al. 2015, </w:t>
      </w:r>
      <w:r w:rsidR="00CC7662">
        <w:t xml:space="preserve">Wakeling et al. </w:t>
      </w:r>
      <w:r w:rsidR="00C84D34">
        <w:t>202</w:t>
      </w:r>
      <w:r w:rsidR="005F4110">
        <w:t>2</w:t>
      </w:r>
      <w:r w:rsidR="00C84D34">
        <w:t>)</w:t>
      </w:r>
      <w:r w:rsidR="00D95351" w:rsidRPr="006754FB">
        <w:t>.</w:t>
      </w:r>
      <w:r w:rsidR="00F636C4" w:rsidRPr="006754FB">
        <w:t xml:space="preserve"> </w:t>
      </w:r>
      <w:r w:rsidR="00AB5AEB">
        <w:t>S</w:t>
      </w:r>
      <w:r w:rsidR="00603127" w:rsidRPr="006754FB">
        <w:t xml:space="preserve">urvey </w:t>
      </w:r>
      <w:r w:rsidR="00830898" w:rsidRPr="006754FB">
        <w:t xml:space="preserve">data are </w:t>
      </w:r>
      <w:r w:rsidR="00376435" w:rsidRPr="006754FB">
        <w:t>opportunistic</w:t>
      </w:r>
      <w:r w:rsidR="00603127" w:rsidRPr="006754FB">
        <w:t xml:space="preserve"> observations of turkeys </w:t>
      </w:r>
      <w:r w:rsidR="00830898" w:rsidRPr="006754FB">
        <w:t xml:space="preserve">that may be </w:t>
      </w:r>
      <w:r w:rsidR="00603127" w:rsidRPr="006754FB">
        <w:t xml:space="preserve">reported by both </w:t>
      </w:r>
      <w:r w:rsidR="00603127" w:rsidRPr="006754FB">
        <w:lastRenderedPageBreak/>
        <w:t>agency personnel and the public</w:t>
      </w:r>
      <w:r w:rsidR="00730A4A" w:rsidRPr="006754FB">
        <w:t>.</w:t>
      </w:r>
      <w:r w:rsidR="00554D1E" w:rsidRPr="006754FB">
        <w:t xml:space="preserve"> Therefore, statistics derived from these data are </w:t>
      </w:r>
      <w:r w:rsidR="00AC35C0" w:rsidRPr="006754FB">
        <w:t xml:space="preserve">an index to turkey </w:t>
      </w:r>
      <w:r w:rsidR="000955C8">
        <w:t>productivity</w:t>
      </w:r>
      <w:r w:rsidR="00AC35C0" w:rsidRPr="006754FB">
        <w:t xml:space="preserve"> because </w:t>
      </w:r>
      <w:r w:rsidR="000B5043">
        <w:t>the survey methodology</w:t>
      </w:r>
      <w:r w:rsidR="00AC35C0" w:rsidRPr="006754FB">
        <w:t xml:space="preserve"> do</w:t>
      </w:r>
      <w:r w:rsidR="00BB7734">
        <w:t>es</w:t>
      </w:r>
      <w:r w:rsidR="00AC35C0" w:rsidRPr="006754FB">
        <w:t xml:space="preserve"> not </w:t>
      </w:r>
      <w:r w:rsidR="00BB7734">
        <w:t xml:space="preserve">provide the ability to </w:t>
      </w:r>
      <w:r w:rsidR="00AC35C0" w:rsidRPr="006754FB">
        <w:t>account for factors that could influence the number of turkeys</w:t>
      </w:r>
      <w:r w:rsidR="00AB5AEB">
        <w:t xml:space="preserve"> or poults</w:t>
      </w:r>
      <w:r w:rsidR="00AC35C0" w:rsidRPr="006754FB">
        <w:t xml:space="preserve"> observed</w:t>
      </w:r>
      <w:r w:rsidR="000E4E75">
        <w:t xml:space="preserve"> (</w:t>
      </w:r>
      <w:r w:rsidR="00DD4241">
        <w:t>i.e., detection probability</w:t>
      </w:r>
      <w:r w:rsidR="00933899">
        <w:t xml:space="preserve">, </w:t>
      </w:r>
      <w:r w:rsidR="000E4E75">
        <w:t xml:space="preserve">Williams et al. </w:t>
      </w:r>
      <w:r w:rsidR="002B7C2B">
        <w:t>20</w:t>
      </w:r>
      <w:r w:rsidR="0097594E">
        <w:t>01).</w:t>
      </w:r>
      <w:r w:rsidR="004B731B">
        <w:t xml:space="preserve"> Wakeling et al. (202</w:t>
      </w:r>
      <w:r w:rsidR="005F4110">
        <w:t>2</w:t>
      </w:r>
      <w:r w:rsidR="004B731B">
        <w:t xml:space="preserve">) noted that </w:t>
      </w:r>
      <w:r w:rsidR="00546EF0">
        <w:t xml:space="preserve">summer </w:t>
      </w:r>
      <w:r w:rsidR="00E87E3E">
        <w:t>sighting</w:t>
      </w:r>
      <w:r w:rsidR="00546EF0">
        <w:t xml:space="preserve"> surveys lacked statistical power to detect changes</w:t>
      </w:r>
      <w:r w:rsidR="00670E59">
        <w:t xml:space="preserve"> and comparisons among regions were difficult</w:t>
      </w:r>
      <w:r w:rsidR="00D05FFF">
        <w:t>.</w:t>
      </w:r>
      <w:r w:rsidR="00395DD0">
        <w:t xml:space="preserve"> Byrne et al. (2015) encountered difficulty in </w:t>
      </w:r>
      <w:r w:rsidR="00024B13">
        <w:t xml:space="preserve">conducting a regional analysis of wild turkey </w:t>
      </w:r>
      <w:r w:rsidR="00E427EA">
        <w:t>productivity</w:t>
      </w:r>
      <w:r w:rsidR="00024B13">
        <w:t xml:space="preserve"> </w:t>
      </w:r>
      <w:r w:rsidR="007D0286">
        <w:t xml:space="preserve">because of </w:t>
      </w:r>
      <w:r w:rsidR="000A70F1">
        <w:t xml:space="preserve">a lack of </w:t>
      </w:r>
      <w:r w:rsidR="00131744">
        <w:t xml:space="preserve">a </w:t>
      </w:r>
      <w:r w:rsidR="000A70F1">
        <w:t>standardized protocol</w:t>
      </w:r>
      <w:r w:rsidR="00247EC1">
        <w:t xml:space="preserve"> and a mismatch in </w:t>
      </w:r>
      <w:r w:rsidR="0002383C">
        <w:t xml:space="preserve">the timing of </w:t>
      </w:r>
      <w:r w:rsidR="00247EC1">
        <w:t>data collection</w:t>
      </w:r>
      <w:r w:rsidR="0002383C">
        <w:t xml:space="preserve"> among</w:t>
      </w:r>
      <w:r w:rsidR="004C6747">
        <w:t>,</w:t>
      </w:r>
      <w:r w:rsidR="0002383C">
        <w:t xml:space="preserve"> </w:t>
      </w:r>
      <w:r w:rsidR="004C6747">
        <w:t xml:space="preserve">and even within, </w:t>
      </w:r>
      <w:r w:rsidR="0002383C">
        <w:t>states</w:t>
      </w:r>
      <w:r w:rsidR="000A70F1">
        <w:t>.</w:t>
      </w:r>
    </w:p>
    <w:p w14:paraId="30D832E1" w14:textId="0AF8A6A6" w:rsidR="006F2C15" w:rsidRPr="006754FB" w:rsidRDefault="007B2F0A" w:rsidP="009B4E9F">
      <w:pPr>
        <w:spacing w:after="0" w:line="480" w:lineRule="auto"/>
        <w:ind w:firstLine="720"/>
      </w:pPr>
      <w:r>
        <w:t xml:space="preserve">Recognizing </w:t>
      </w:r>
      <w:r w:rsidR="009F16E3">
        <w:t xml:space="preserve">potential </w:t>
      </w:r>
      <w:r>
        <w:t xml:space="preserve">benefits of a standardized, repeatable </w:t>
      </w:r>
      <w:r w:rsidR="00E87E3E">
        <w:t>sighting</w:t>
      </w:r>
      <w:r w:rsidR="00B75ECA">
        <w:t xml:space="preserve"> survey, the National Wild Turkey Federation (NWTF)</w:t>
      </w:r>
      <w:r w:rsidR="005260B2">
        <w:t xml:space="preserve"> Technical Committee </w:t>
      </w:r>
      <w:r w:rsidR="00747F7C">
        <w:t>adopted</w:t>
      </w:r>
      <w:r w:rsidR="005260B2">
        <w:t xml:space="preserve"> a</w:t>
      </w:r>
      <w:r w:rsidR="00B75ECA">
        <w:t xml:space="preserve"> </w:t>
      </w:r>
      <w:r w:rsidR="003536E3" w:rsidRPr="006754FB">
        <w:t xml:space="preserve">standardized </w:t>
      </w:r>
      <w:r w:rsidR="00DE1552">
        <w:t xml:space="preserve">sighting </w:t>
      </w:r>
      <w:r w:rsidR="003536E3" w:rsidRPr="006754FB">
        <w:t xml:space="preserve">protocol </w:t>
      </w:r>
      <w:r w:rsidR="005260B2">
        <w:t>(NWTF Technical Committee 2019</w:t>
      </w:r>
      <w:r w:rsidR="005260B2" w:rsidRPr="006754FB">
        <w:t>)</w:t>
      </w:r>
      <w:r w:rsidR="00C32279">
        <w:t xml:space="preserve">. </w:t>
      </w:r>
      <w:r w:rsidR="003077C4">
        <w:t>Thirty-three</w:t>
      </w:r>
      <w:r w:rsidR="003077C4" w:rsidRPr="006754FB">
        <w:t xml:space="preserve"> </w:t>
      </w:r>
      <w:r w:rsidR="003536E3" w:rsidRPr="006754FB">
        <w:t>state</w:t>
      </w:r>
      <w:r w:rsidR="000805B2">
        <w:t xml:space="preserve"> wildlife agencies</w:t>
      </w:r>
      <w:r w:rsidR="003536E3" w:rsidRPr="006754FB">
        <w:t xml:space="preserve"> </w:t>
      </w:r>
      <w:r w:rsidR="00AB5AEB">
        <w:t xml:space="preserve">adopted </w:t>
      </w:r>
      <w:r w:rsidR="00CB64D9">
        <w:t>the NWTF protocol</w:t>
      </w:r>
      <w:r w:rsidR="003536E3" w:rsidRPr="006754FB">
        <w:t xml:space="preserve"> </w:t>
      </w:r>
      <w:r w:rsidR="00C839E1">
        <w:t xml:space="preserve">with the objective </w:t>
      </w:r>
      <w:r w:rsidR="00C653AF">
        <w:t>to</w:t>
      </w:r>
      <w:r w:rsidR="008C0950" w:rsidRPr="006754FB">
        <w:t xml:space="preserve"> ensur</w:t>
      </w:r>
      <w:r w:rsidR="00C653AF">
        <w:t>e</w:t>
      </w:r>
      <w:r w:rsidR="00C839E1">
        <w:t xml:space="preserve"> </w:t>
      </w:r>
      <w:r w:rsidR="00551BB9" w:rsidRPr="006754FB">
        <w:t>consisten</w:t>
      </w:r>
      <w:r w:rsidR="00294EE8">
        <w:t>t</w:t>
      </w:r>
      <w:r w:rsidR="00551BB9" w:rsidRPr="006754FB">
        <w:t xml:space="preserve"> </w:t>
      </w:r>
      <w:r w:rsidR="005C6B9E">
        <w:t xml:space="preserve">methods of </w:t>
      </w:r>
      <w:r w:rsidR="00551BB9" w:rsidRPr="006754FB">
        <w:t xml:space="preserve">data </w:t>
      </w:r>
      <w:r w:rsidR="008544BE">
        <w:t xml:space="preserve">collection </w:t>
      </w:r>
      <w:r w:rsidR="00175180">
        <w:t>and</w:t>
      </w:r>
      <w:r w:rsidR="00551BB9" w:rsidRPr="006754FB">
        <w:t xml:space="preserve"> </w:t>
      </w:r>
      <w:r w:rsidR="00C72579">
        <w:t>analys</w:t>
      </w:r>
      <w:r w:rsidR="00DE1552">
        <w:t>i</w:t>
      </w:r>
      <w:r w:rsidR="00C72579">
        <w:t xml:space="preserve">s to </w:t>
      </w:r>
      <w:r w:rsidR="00557309" w:rsidRPr="006754FB">
        <w:t>improv</w:t>
      </w:r>
      <w:r w:rsidR="00C72579">
        <w:t>e</w:t>
      </w:r>
      <w:r w:rsidR="00557309" w:rsidRPr="006754FB">
        <w:t xml:space="preserve"> </w:t>
      </w:r>
      <w:r w:rsidR="0092534A" w:rsidRPr="006754FB">
        <w:t xml:space="preserve">insights into trends </w:t>
      </w:r>
      <w:r w:rsidR="00AB5AEB">
        <w:t xml:space="preserve">of </w:t>
      </w:r>
      <w:r w:rsidR="002029E2">
        <w:t>productivity</w:t>
      </w:r>
      <w:r w:rsidR="00E90CCE">
        <w:t xml:space="preserve"> </w:t>
      </w:r>
      <w:r w:rsidR="00E6700A" w:rsidRPr="006754FB">
        <w:t>over larger spatial areas</w:t>
      </w:r>
      <w:r w:rsidR="003536E3" w:rsidRPr="006754FB">
        <w:t>.</w:t>
      </w:r>
      <w:r w:rsidR="005B7B44">
        <w:t xml:space="preserve"> However, there remain differences among state agencies in their </w:t>
      </w:r>
      <w:r w:rsidR="00D56178">
        <w:t>data collection</w:t>
      </w:r>
      <w:r w:rsidR="00F450C9">
        <w:t xml:space="preserve"> methods</w:t>
      </w:r>
      <w:r w:rsidR="00D56178">
        <w:t xml:space="preserve">. For example, </w:t>
      </w:r>
      <w:r w:rsidR="00832EF4">
        <w:t xml:space="preserve">even </w:t>
      </w:r>
      <w:r w:rsidR="001A6454">
        <w:t>after</w:t>
      </w:r>
      <w:r w:rsidR="00832EF4">
        <w:t xml:space="preserve"> 2019, </w:t>
      </w:r>
      <w:r w:rsidR="00E14DE0">
        <w:t>survey period</w:t>
      </w:r>
      <w:r w:rsidR="00AB5AEB">
        <w:t xml:space="preserve"> length</w:t>
      </w:r>
      <w:r w:rsidR="00E14DE0">
        <w:t xml:space="preserve"> </w:t>
      </w:r>
      <w:r w:rsidR="0036331E">
        <w:t>differ</w:t>
      </w:r>
      <w:r w:rsidR="00DE1552">
        <w:t>ed</w:t>
      </w:r>
      <w:r w:rsidR="0036331E">
        <w:t xml:space="preserve"> among states</w:t>
      </w:r>
      <w:r w:rsidR="00CC07C7">
        <w:t xml:space="preserve"> and </w:t>
      </w:r>
      <w:r w:rsidR="005C22EB">
        <w:t xml:space="preserve">location </w:t>
      </w:r>
      <w:r w:rsidR="00C9316A">
        <w:t>data</w:t>
      </w:r>
      <w:r w:rsidR="008F4748" w:rsidRPr="008F4748">
        <w:t xml:space="preserve"> </w:t>
      </w:r>
      <w:r w:rsidR="001A6454">
        <w:t xml:space="preserve">for </w:t>
      </w:r>
      <w:r w:rsidR="008F4748">
        <w:t>each sighting</w:t>
      </w:r>
      <w:r w:rsidR="001A6454">
        <w:t xml:space="preserve"> </w:t>
      </w:r>
      <w:r w:rsidR="00DE1552">
        <w:t xml:space="preserve">was recorded at </w:t>
      </w:r>
      <w:r w:rsidR="001A6454">
        <w:t xml:space="preserve">different spatial resolutions, such </w:t>
      </w:r>
      <w:r w:rsidR="00C9316A">
        <w:t xml:space="preserve">as </w:t>
      </w:r>
      <w:r w:rsidR="001A6454">
        <w:t xml:space="preserve">geographic </w:t>
      </w:r>
      <w:r w:rsidR="00D56178">
        <w:t>coordinates</w:t>
      </w:r>
      <w:r w:rsidR="009E4538">
        <w:t xml:space="preserve">, </w:t>
      </w:r>
      <w:r w:rsidR="007B627B">
        <w:t>county</w:t>
      </w:r>
      <w:r w:rsidR="006A5167">
        <w:t>,</w:t>
      </w:r>
      <w:r w:rsidR="007B627B">
        <w:t xml:space="preserve"> township</w:t>
      </w:r>
      <w:r w:rsidR="00AB5AEB">
        <w:t>,</w:t>
      </w:r>
      <w:r w:rsidR="006A5167">
        <w:t xml:space="preserve"> </w:t>
      </w:r>
      <w:r w:rsidR="001A6454">
        <w:t xml:space="preserve">or </w:t>
      </w:r>
      <w:r w:rsidR="006A5167">
        <w:t>management unit</w:t>
      </w:r>
      <w:r w:rsidR="00787C44">
        <w:t xml:space="preserve"> (MU)</w:t>
      </w:r>
      <w:r w:rsidR="002F6C30">
        <w:t xml:space="preserve">. </w:t>
      </w:r>
    </w:p>
    <w:p w14:paraId="58A94BCA" w14:textId="5E7CCEB5" w:rsidR="0092534A" w:rsidRPr="006754FB" w:rsidRDefault="00040E32" w:rsidP="009B4E9F">
      <w:pPr>
        <w:spacing w:after="0" w:line="480" w:lineRule="auto"/>
        <w:ind w:firstLine="720"/>
      </w:pPr>
      <w:r>
        <w:t>The s</w:t>
      </w:r>
      <w:r w:rsidR="008321E2" w:rsidRPr="006754FB">
        <w:t xml:space="preserve">tandardized protocol </w:t>
      </w:r>
      <w:r w:rsidR="007963FF">
        <w:t xml:space="preserve">adopted by the NWTF Technical Committee </w:t>
      </w:r>
      <w:r w:rsidR="00F375EE">
        <w:t xml:space="preserve">(2019) </w:t>
      </w:r>
      <w:r w:rsidR="008321E2" w:rsidRPr="006754FB">
        <w:t xml:space="preserve">may </w:t>
      </w:r>
      <w:r w:rsidR="00AA6110" w:rsidRPr="006754FB">
        <w:t xml:space="preserve">improve </w:t>
      </w:r>
      <w:r w:rsidR="00AB5AEB">
        <w:t xml:space="preserve">future </w:t>
      </w:r>
      <w:r w:rsidR="00AA6110" w:rsidRPr="006754FB">
        <w:t xml:space="preserve">monitoring of </w:t>
      </w:r>
      <w:r w:rsidR="00B5603B">
        <w:t xml:space="preserve">wild </w:t>
      </w:r>
      <w:r w:rsidR="00AA6110" w:rsidRPr="006754FB">
        <w:t xml:space="preserve">turkey </w:t>
      </w:r>
      <w:r w:rsidR="00E427EA">
        <w:t>productivity</w:t>
      </w:r>
      <w:r w:rsidR="00AA6110" w:rsidRPr="006754FB">
        <w:t xml:space="preserve">, but there </w:t>
      </w:r>
      <w:r w:rsidR="00DE1552">
        <w:t xml:space="preserve">also </w:t>
      </w:r>
      <w:r w:rsidR="00D17B9B">
        <w:t xml:space="preserve">exist </w:t>
      </w:r>
      <w:r w:rsidR="00AA6110" w:rsidRPr="006754FB">
        <w:t>decades of survey data</w:t>
      </w:r>
      <w:r w:rsidR="0038341D" w:rsidRPr="006754FB">
        <w:t xml:space="preserve"> that could provide insights into turkey population dynamics. </w:t>
      </w:r>
      <w:r w:rsidR="00BA06FE">
        <w:t xml:space="preserve">For example, </w:t>
      </w:r>
      <w:r w:rsidR="00347131">
        <w:t>West Virginia</w:t>
      </w:r>
      <w:r w:rsidR="006C1C65">
        <w:t>, USA,</w:t>
      </w:r>
      <w:r w:rsidR="00347131">
        <w:t xml:space="preserve"> has </w:t>
      </w:r>
      <w:r w:rsidR="00435070">
        <w:t xml:space="preserve">collected turkey sightings since </w:t>
      </w:r>
      <w:proofErr w:type="gramStart"/>
      <w:r w:rsidR="00F75405">
        <w:t>1967</w:t>
      </w:r>
      <w:r w:rsidR="006C1C65">
        <w:t>;</w:t>
      </w:r>
      <w:r w:rsidR="00B30053">
        <w:t xml:space="preserve"> </w:t>
      </w:r>
      <w:r w:rsidR="006C1C65">
        <w:t xml:space="preserve"> </w:t>
      </w:r>
      <w:r w:rsidR="00435070">
        <w:t>many</w:t>
      </w:r>
      <w:proofErr w:type="gramEnd"/>
      <w:r w:rsidR="00435070">
        <w:t xml:space="preserve"> states have time series </w:t>
      </w:r>
      <w:r w:rsidR="00741AA3">
        <w:t>of &gt;20 years</w:t>
      </w:r>
      <w:r w:rsidR="00DE1552">
        <w:t xml:space="preserve"> of sighting data</w:t>
      </w:r>
      <w:r w:rsidR="005C398D">
        <w:t xml:space="preserve">. </w:t>
      </w:r>
      <w:r w:rsidR="005A40BB">
        <w:t>S</w:t>
      </w:r>
      <w:r w:rsidR="00D46255">
        <w:t xml:space="preserve">urvey protocols </w:t>
      </w:r>
      <w:r w:rsidR="00F375EE">
        <w:t>have</w:t>
      </w:r>
      <w:r w:rsidR="00D46255">
        <w:t xml:space="preserve"> change</w:t>
      </w:r>
      <w:r w:rsidR="00F375EE">
        <w:t>d</w:t>
      </w:r>
      <w:r w:rsidR="00D46255">
        <w:t xml:space="preserve"> over time for individual states, which </w:t>
      </w:r>
      <w:r w:rsidR="00207324">
        <w:t xml:space="preserve">has limited </w:t>
      </w:r>
      <w:r w:rsidR="0098697D">
        <w:t xml:space="preserve">inference about temporal changes in </w:t>
      </w:r>
      <w:r w:rsidR="00A12ADB">
        <w:t>productivity</w:t>
      </w:r>
      <w:r w:rsidR="00207324">
        <w:t xml:space="preserve"> </w:t>
      </w:r>
      <w:r w:rsidR="000B4CEE">
        <w:t>within</w:t>
      </w:r>
      <w:r w:rsidR="00207324">
        <w:t xml:space="preserve"> region</w:t>
      </w:r>
      <w:r w:rsidR="006C1C65">
        <w:t>s</w:t>
      </w:r>
      <w:r w:rsidR="00C55420">
        <w:t xml:space="preserve"> (</w:t>
      </w:r>
      <w:r w:rsidR="00C55420" w:rsidRPr="009C6459">
        <w:rPr>
          <w:i/>
        </w:rPr>
        <w:t>cf</w:t>
      </w:r>
      <w:r w:rsidR="00C55420">
        <w:t>. Byrne et al. 2015)</w:t>
      </w:r>
      <w:r w:rsidR="00515B69">
        <w:t>.</w:t>
      </w:r>
      <w:r w:rsidR="009C4C0C">
        <w:t xml:space="preserve"> In </w:t>
      </w:r>
      <w:r w:rsidR="009C4C0C">
        <w:lastRenderedPageBreak/>
        <w:t xml:space="preserve">addition, even though surveys now follow a standardized protocol, </w:t>
      </w:r>
      <w:r w:rsidR="00430B30">
        <w:t xml:space="preserve">turkey </w:t>
      </w:r>
      <w:r w:rsidR="009C4C0C">
        <w:t xml:space="preserve">sighting </w:t>
      </w:r>
      <w:r w:rsidR="006C1C65">
        <w:t xml:space="preserve">data </w:t>
      </w:r>
      <w:r w:rsidR="009C4C0C">
        <w:t>are still collected according to an unstructured sampling process.</w:t>
      </w:r>
    </w:p>
    <w:p w14:paraId="746DAB68" w14:textId="7512EBEA" w:rsidR="00D63DEC" w:rsidRPr="006754FB" w:rsidRDefault="005556A3" w:rsidP="009B4E9F">
      <w:pPr>
        <w:spacing w:after="0" w:line="480" w:lineRule="auto"/>
        <w:ind w:firstLine="720"/>
      </w:pPr>
      <w:r w:rsidRPr="006754FB">
        <w:t>Our objective</w:t>
      </w:r>
      <w:r w:rsidR="005873C9" w:rsidRPr="006754FB">
        <w:t xml:space="preserve"> w</w:t>
      </w:r>
      <w:r w:rsidR="00606A01">
        <w:t>as</w:t>
      </w:r>
      <w:r w:rsidRPr="006754FB">
        <w:t xml:space="preserve"> to </w:t>
      </w:r>
      <w:r w:rsidR="00606A01">
        <w:t xml:space="preserve">develop statistical </w:t>
      </w:r>
      <w:r w:rsidR="000D5DFD">
        <w:t xml:space="preserve">models </w:t>
      </w:r>
      <w:r w:rsidR="00606A01">
        <w:t>t</w:t>
      </w:r>
      <w:r w:rsidR="00AF57FF">
        <w:t>hat could</w:t>
      </w:r>
      <w:r w:rsidR="00606A01">
        <w:t xml:space="preserve"> </w:t>
      </w:r>
      <w:r w:rsidR="00AC41CA">
        <w:t>use</w:t>
      </w:r>
      <w:r w:rsidR="00AC41CA" w:rsidRPr="006754FB">
        <w:t xml:space="preserve"> </w:t>
      </w:r>
      <w:r w:rsidR="00C30E98">
        <w:t xml:space="preserve">historical </w:t>
      </w:r>
      <w:r w:rsidR="00E8780B">
        <w:t xml:space="preserve">data </w:t>
      </w:r>
      <w:r w:rsidR="00981A9A">
        <w:t xml:space="preserve">from summer wild turkey surveys </w:t>
      </w:r>
      <w:r w:rsidR="007A48AE" w:rsidRPr="006754FB">
        <w:t>collected by wildlife agencies in the mid-Atlantic region of the United States (Maryland, New Jersey, New York, Ohio, Pennsylvania, Virginia, and West Virginia</w:t>
      </w:r>
      <w:r w:rsidR="00C81BF6">
        <w:t>)</w:t>
      </w:r>
      <w:r w:rsidR="00C81BF6" w:rsidRPr="00C81BF6">
        <w:t xml:space="preserve"> </w:t>
      </w:r>
      <w:r w:rsidR="003D5992">
        <w:t xml:space="preserve">even </w:t>
      </w:r>
      <w:r w:rsidR="00C81BF6">
        <w:t>when sampling protocols changed over time</w:t>
      </w:r>
      <w:r w:rsidR="0074730B">
        <w:t xml:space="preserve"> and</w:t>
      </w:r>
      <w:r w:rsidR="00C81BF6" w:rsidRPr="00C81BF6">
        <w:t xml:space="preserve"> </w:t>
      </w:r>
      <w:r w:rsidR="00C81BF6">
        <w:t>differed among states</w:t>
      </w:r>
      <w:r w:rsidR="00606A01">
        <w:t xml:space="preserve">. </w:t>
      </w:r>
      <w:r w:rsidR="005D7904">
        <w:t xml:space="preserve">Observations include information on the </w:t>
      </w:r>
      <w:r w:rsidR="00430B30">
        <w:t>proportion</w:t>
      </w:r>
      <w:r w:rsidR="005D7904">
        <w:t xml:space="preserve"> of hens with poults (HWP) and the number of poults per brood (PPB). </w:t>
      </w:r>
      <w:r w:rsidR="002B3E2C">
        <w:t xml:space="preserve">We incorporated information on the date that observations were collected to account for </w:t>
      </w:r>
      <w:r w:rsidR="001265B7">
        <w:t xml:space="preserve">temporal differences in data collection </w:t>
      </w:r>
      <w:r w:rsidR="002847DF">
        <w:t xml:space="preserve">without having to </w:t>
      </w:r>
      <w:r w:rsidR="00DE1552">
        <w:t xml:space="preserve">limit data to </w:t>
      </w:r>
      <w:r w:rsidR="001265B7">
        <w:t xml:space="preserve">common </w:t>
      </w:r>
      <w:r w:rsidR="00DE1552">
        <w:t xml:space="preserve">survey </w:t>
      </w:r>
      <w:r w:rsidR="002847DF">
        <w:t xml:space="preserve">dates </w:t>
      </w:r>
      <w:r w:rsidR="000B4CEE">
        <w:t>among</w:t>
      </w:r>
      <w:r w:rsidR="001265B7">
        <w:t xml:space="preserve"> </w:t>
      </w:r>
      <w:r w:rsidR="00241E4E">
        <w:t>differing protocols</w:t>
      </w:r>
      <w:r w:rsidR="001265B7">
        <w:t xml:space="preserve">. We used </w:t>
      </w:r>
      <w:r w:rsidR="00BB7E05">
        <w:t xml:space="preserve">mixed-effects models with </w:t>
      </w:r>
      <w:r w:rsidR="00E7503C">
        <w:t xml:space="preserve">spatial and temporal </w:t>
      </w:r>
      <w:r w:rsidR="001265B7">
        <w:t xml:space="preserve">random effects </w:t>
      </w:r>
      <w:r w:rsidR="00BD5E7A">
        <w:t xml:space="preserve">to </w:t>
      </w:r>
      <w:r w:rsidR="004634C5">
        <w:t xml:space="preserve">permit </w:t>
      </w:r>
      <w:r w:rsidR="00BD5E7A">
        <w:t xml:space="preserve">inferences about productivity even when sample sizes were </w:t>
      </w:r>
      <w:r w:rsidR="00DD6D40">
        <w:t>small</w:t>
      </w:r>
      <w:r w:rsidR="00BD5E7A">
        <w:t xml:space="preserve"> or data were missing. </w:t>
      </w:r>
      <w:r w:rsidR="00BD655D">
        <w:t xml:space="preserve">Also, we </w:t>
      </w:r>
      <w:r w:rsidR="00BC436E">
        <w:t>used</w:t>
      </w:r>
      <w:r w:rsidR="00BD655D">
        <w:t xml:space="preserve"> mixed-effects models</w:t>
      </w:r>
      <w:r w:rsidR="00317A37">
        <w:t xml:space="preserve"> </w:t>
      </w:r>
      <w:r w:rsidR="00780D9D">
        <w:t xml:space="preserve">to </w:t>
      </w:r>
      <w:r w:rsidR="00BC436E">
        <w:t xml:space="preserve">demonstrate how to </w:t>
      </w:r>
      <w:r w:rsidR="00250845" w:rsidRPr="006754FB">
        <w:t xml:space="preserve">estimate </w:t>
      </w:r>
      <w:r w:rsidR="004E6702">
        <w:t xml:space="preserve">temporal </w:t>
      </w:r>
      <w:r w:rsidR="00250845" w:rsidRPr="006754FB">
        <w:t xml:space="preserve">trends in </w:t>
      </w:r>
      <w:r w:rsidR="00A12ADB">
        <w:t>productivity</w:t>
      </w:r>
      <w:r w:rsidR="00250845" w:rsidRPr="006754FB">
        <w:t xml:space="preserve"> </w:t>
      </w:r>
      <w:r w:rsidR="00892A9A">
        <w:t xml:space="preserve">that </w:t>
      </w:r>
      <w:r w:rsidR="004E6702">
        <w:t xml:space="preserve">are </w:t>
      </w:r>
      <w:r w:rsidR="00BC436E">
        <w:t xml:space="preserve">less </w:t>
      </w:r>
      <w:r w:rsidR="004E6702">
        <w:t xml:space="preserve">likely </w:t>
      </w:r>
      <w:r w:rsidR="00BC436E">
        <w:t xml:space="preserve">to be </w:t>
      </w:r>
      <w:r w:rsidR="004E6702">
        <w:t>confounded</w:t>
      </w:r>
      <w:r w:rsidR="00892A9A">
        <w:t xml:space="preserve"> </w:t>
      </w:r>
      <w:r w:rsidR="00857B24">
        <w:t xml:space="preserve">by </w:t>
      </w:r>
      <w:r w:rsidR="00332599">
        <w:t xml:space="preserve">factors related to </w:t>
      </w:r>
      <w:r w:rsidR="00857B24">
        <w:t xml:space="preserve">the uncontrolled nature of how </w:t>
      </w:r>
      <w:r w:rsidR="00BF28F4">
        <w:t xml:space="preserve">turkey sighting data </w:t>
      </w:r>
      <w:r w:rsidR="00857B24">
        <w:t>are collected</w:t>
      </w:r>
      <w:r w:rsidR="006B36A6">
        <w:t xml:space="preserve">. </w:t>
      </w:r>
      <w:r w:rsidR="00317A37">
        <w:t>Finally</w:t>
      </w:r>
      <w:r w:rsidR="006B36A6">
        <w:t xml:space="preserve">, we </w:t>
      </w:r>
      <w:r w:rsidR="003F2DC3">
        <w:t>investigated whether</w:t>
      </w:r>
      <w:r w:rsidR="006B36A6">
        <w:t xml:space="preserve"> the current </w:t>
      </w:r>
      <w:r w:rsidR="00960641">
        <w:t xml:space="preserve">NWTF </w:t>
      </w:r>
      <w:r w:rsidR="006B36A6">
        <w:t>sampling protocol</w:t>
      </w:r>
      <w:r w:rsidR="00F519F3">
        <w:t xml:space="preserve">, which has been adopted </w:t>
      </w:r>
      <w:r w:rsidR="008972FD">
        <w:t>by many state agencies,</w:t>
      </w:r>
      <w:r w:rsidR="006B36A6">
        <w:t xml:space="preserve"> </w:t>
      </w:r>
      <w:r w:rsidR="008972FD">
        <w:t xml:space="preserve">remains </w:t>
      </w:r>
      <w:r w:rsidR="009762FA">
        <w:t xml:space="preserve">confounded </w:t>
      </w:r>
      <w:r w:rsidR="00A03C16">
        <w:t xml:space="preserve">by </w:t>
      </w:r>
      <w:r w:rsidR="00960641">
        <w:t xml:space="preserve">temporal and spatial sampling </w:t>
      </w:r>
      <w:r w:rsidR="007F5CAD">
        <w:t xml:space="preserve">problems </w:t>
      </w:r>
      <w:r w:rsidR="008972FD">
        <w:t xml:space="preserve">that can be addressed with </w:t>
      </w:r>
      <w:r w:rsidR="00317A37">
        <w:t>the models we developed</w:t>
      </w:r>
      <w:r w:rsidR="005B4A45" w:rsidRPr="006754FB">
        <w:t>.</w:t>
      </w:r>
      <w:r w:rsidR="008444F0" w:rsidRPr="006754FB">
        <w:t xml:space="preserve"> </w:t>
      </w:r>
    </w:p>
    <w:p w14:paraId="42EC2692" w14:textId="7092A6BF" w:rsidR="006F2C15" w:rsidRPr="006754FB" w:rsidRDefault="00EF2035" w:rsidP="009B4E9F">
      <w:pPr>
        <w:spacing w:after="0" w:line="480" w:lineRule="auto"/>
        <w:rPr>
          <w:b/>
          <w:bCs/>
        </w:rPr>
      </w:pPr>
      <w:r w:rsidRPr="006754FB">
        <w:rPr>
          <w:b/>
          <w:bCs/>
        </w:rPr>
        <w:t>STUDY AREA</w:t>
      </w:r>
    </w:p>
    <w:p w14:paraId="2305F01B" w14:textId="71F15B01" w:rsidR="001D3063" w:rsidRPr="006754FB" w:rsidRDefault="001D3063" w:rsidP="009B4E9F">
      <w:pPr>
        <w:spacing w:after="0" w:line="480" w:lineRule="auto"/>
      </w:pPr>
      <w:r w:rsidRPr="006754FB">
        <w:t xml:space="preserve">The study area included the states of Maryland, New Jersey, New York, Ohio, Pennsylvania, </w:t>
      </w:r>
      <w:r w:rsidR="000F0606" w:rsidRPr="006754FB">
        <w:t>Virginia, and West Virginia</w:t>
      </w:r>
      <w:r w:rsidR="00C4332E" w:rsidRPr="006754FB">
        <w:t xml:space="preserve">. </w:t>
      </w:r>
      <w:r w:rsidR="00FF4949">
        <w:t>T</w:t>
      </w:r>
      <w:r w:rsidR="0033227C" w:rsidRPr="006754FB">
        <w:t xml:space="preserve">he </w:t>
      </w:r>
      <w:r w:rsidR="00FF4949">
        <w:t xml:space="preserve">easternmost </w:t>
      </w:r>
      <w:r w:rsidR="00C4332E" w:rsidRPr="006754FB">
        <w:t xml:space="preserve">physiographic </w:t>
      </w:r>
      <w:r w:rsidR="00841C00" w:rsidRPr="006754FB">
        <w:t xml:space="preserve">province </w:t>
      </w:r>
      <w:r w:rsidR="005B0891">
        <w:t>wa</w:t>
      </w:r>
      <w:r w:rsidR="00FF4949">
        <w:t xml:space="preserve">s </w:t>
      </w:r>
      <w:r w:rsidR="00ED2523" w:rsidRPr="006754FB">
        <w:t>the</w:t>
      </w:r>
      <w:r w:rsidR="00C4332E" w:rsidRPr="006754FB">
        <w:t xml:space="preserve"> </w:t>
      </w:r>
      <w:r w:rsidR="00715BE7">
        <w:t xml:space="preserve">Atlantic </w:t>
      </w:r>
      <w:r w:rsidR="005F3C5C" w:rsidRPr="006754FB">
        <w:t>C</w:t>
      </w:r>
      <w:r w:rsidR="00852866" w:rsidRPr="006754FB">
        <w:t xml:space="preserve">oastal </w:t>
      </w:r>
      <w:r w:rsidR="005F3C5C" w:rsidRPr="006754FB">
        <w:t>P</w:t>
      </w:r>
      <w:r w:rsidR="00852866" w:rsidRPr="006754FB">
        <w:t xml:space="preserve">lain </w:t>
      </w:r>
      <w:r w:rsidR="00AA5F5C">
        <w:t xml:space="preserve">and </w:t>
      </w:r>
      <w:r w:rsidR="00BD0453">
        <w:t xml:space="preserve">included </w:t>
      </w:r>
      <w:r w:rsidR="00AA5F5C">
        <w:t>Long Island</w:t>
      </w:r>
      <w:r w:rsidR="00BD0453">
        <w:t>, New York</w:t>
      </w:r>
      <w:r w:rsidR="00017DE3">
        <w:t xml:space="preserve">. To the west </w:t>
      </w:r>
      <w:r w:rsidR="005B0891">
        <w:t>w</w:t>
      </w:r>
      <w:r w:rsidR="00BD0453">
        <w:t>as</w:t>
      </w:r>
      <w:r w:rsidR="005B0891">
        <w:t xml:space="preserve"> </w:t>
      </w:r>
      <w:r w:rsidR="00421301" w:rsidRPr="006754FB">
        <w:t xml:space="preserve">the </w:t>
      </w:r>
      <w:r w:rsidR="005F3C5C" w:rsidRPr="006754FB">
        <w:t>P</w:t>
      </w:r>
      <w:r w:rsidR="00421301" w:rsidRPr="006754FB">
        <w:t xml:space="preserve">iedmont </w:t>
      </w:r>
      <w:r w:rsidR="00806E8F">
        <w:t xml:space="preserve">that </w:t>
      </w:r>
      <w:r w:rsidR="00C42FE1">
        <w:t xml:space="preserve">adjoined </w:t>
      </w:r>
      <w:r w:rsidR="00421301" w:rsidRPr="006754FB">
        <w:t xml:space="preserve">the Ridge and Valley </w:t>
      </w:r>
      <w:r w:rsidR="005F3C5C" w:rsidRPr="006754FB">
        <w:t>province</w:t>
      </w:r>
      <w:r w:rsidR="00366AFD" w:rsidRPr="006754FB">
        <w:t>s</w:t>
      </w:r>
      <w:r w:rsidR="00B04C7B" w:rsidRPr="006754FB">
        <w:t xml:space="preserve"> and Appalachian Mountains</w:t>
      </w:r>
      <w:r w:rsidR="001C7F82" w:rsidRPr="006754FB">
        <w:t xml:space="preserve"> and Allegheny </w:t>
      </w:r>
      <w:r w:rsidR="00CD5359" w:rsidRPr="006754FB">
        <w:t>p</w:t>
      </w:r>
      <w:r w:rsidR="001C7F82" w:rsidRPr="006754FB">
        <w:t>lateaus.</w:t>
      </w:r>
      <w:r w:rsidR="00776413" w:rsidRPr="006754FB">
        <w:t xml:space="preserve"> Further west into Ohio</w:t>
      </w:r>
      <w:r w:rsidR="00A25E54" w:rsidRPr="006754FB">
        <w:t xml:space="preserve">, northwestern Pennsylvania, and western New York </w:t>
      </w:r>
      <w:r w:rsidR="00F66200">
        <w:t xml:space="preserve">occurred </w:t>
      </w:r>
      <w:r w:rsidR="00A25E54" w:rsidRPr="006754FB">
        <w:t xml:space="preserve">the </w:t>
      </w:r>
      <w:r w:rsidR="005B729E" w:rsidRPr="006754FB">
        <w:t xml:space="preserve">Great Lake </w:t>
      </w:r>
      <w:r w:rsidR="00CD5359" w:rsidRPr="006754FB">
        <w:t>p</w:t>
      </w:r>
      <w:r w:rsidR="005B729E" w:rsidRPr="006754FB">
        <w:t>lains</w:t>
      </w:r>
      <w:r w:rsidR="008427DF" w:rsidRPr="006754FB">
        <w:t xml:space="preserve"> </w:t>
      </w:r>
      <w:r w:rsidR="008427DF" w:rsidRPr="006754FB">
        <w:lastRenderedPageBreak/>
        <w:t xml:space="preserve">(and </w:t>
      </w:r>
      <w:r w:rsidR="00BA06FE">
        <w:t>t</w:t>
      </w:r>
      <w:r w:rsidR="008427DF" w:rsidRPr="006754FB">
        <w:t xml:space="preserve">ill </w:t>
      </w:r>
      <w:r w:rsidR="00CD5359" w:rsidRPr="006754FB">
        <w:t>p</w:t>
      </w:r>
      <w:r w:rsidR="008427DF" w:rsidRPr="006754FB">
        <w:t>lains of Ohio). To the north in New York</w:t>
      </w:r>
      <w:r w:rsidR="00BA06FE">
        <w:t>,</w:t>
      </w:r>
      <w:r w:rsidR="008427DF" w:rsidRPr="006754FB">
        <w:t xml:space="preserve"> </w:t>
      </w:r>
      <w:r w:rsidR="004C66CD" w:rsidRPr="006754FB">
        <w:t xml:space="preserve">the physiographic provinces </w:t>
      </w:r>
      <w:r w:rsidR="008427DF" w:rsidRPr="006754FB">
        <w:t xml:space="preserve">included the </w:t>
      </w:r>
      <w:r w:rsidR="00EB113C" w:rsidRPr="006754FB">
        <w:t xml:space="preserve">Catskill and Adirondack </w:t>
      </w:r>
      <w:r w:rsidR="00CD5359" w:rsidRPr="006754FB">
        <w:t>m</w:t>
      </w:r>
      <w:r w:rsidR="00EB113C" w:rsidRPr="006754FB">
        <w:t>ountains</w:t>
      </w:r>
      <w:r w:rsidR="0060293F" w:rsidRPr="006754FB">
        <w:t xml:space="preserve"> and Hudson, Champlain, and St. Laurence </w:t>
      </w:r>
      <w:r w:rsidR="00CD5359" w:rsidRPr="006754FB">
        <w:t>l</w:t>
      </w:r>
      <w:r w:rsidR="0060293F" w:rsidRPr="006754FB">
        <w:t>owlands</w:t>
      </w:r>
      <w:r w:rsidR="005B0086" w:rsidRPr="006754FB">
        <w:t xml:space="preserve">. </w:t>
      </w:r>
      <w:r w:rsidR="00102627">
        <w:t xml:space="preserve">The </w:t>
      </w:r>
      <w:r w:rsidR="000C7259">
        <w:t xml:space="preserve">mid-Atlantic region </w:t>
      </w:r>
      <w:r w:rsidR="00E574CC" w:rsidRPr="006754FB">
        <w:t>contain</w:t>
      </w:r>
      <w:r w:rsidR="00F66200">
        <w:t>ed</w:t>
      </w:r>
      <w:r w:rsidR="00E574CC" w:rsidRPr="006754FB">
        <w:t xml:space="preserve"> a diverse range of natural and human-dominated landscapes</w:t>
      </w:r>
      <w:r w:rsidR="00D23CDD">
        <w:t xml:space="preserve"> where wild turkey</w:t>
      </w:r>
      <w:r w:rsidR="00BA06FE">
        <w:t>s</w:t>
      </w:r>
      <w:r w:rsidR="00D23CDD">
        <w:t xml:space="preserve"> occurred</w:t>
      </w:r>
      <w:r w:rsidR="00E574CC" w:rsidRPr="006754FB">
        <w:t xml:space="preserve">, </w:t>
      </w:r>
      <w:r w:rsidR="005B0086" w:rsidRPr="006754FB">
        <w:t>includ</w:t>
      </w:r>
      <w:r w:rsidR="00E574CC" w:rsidRPr="006754FB">
        <w:t>ing</w:t>
      </w:r>
      <w:r w:rsidR="005B0086" w:rsidRPr="006754FB">
        <w:t xml:space="preserve"> </w:t>
      </w:r>
      <w:r w:rsidR="00887166" w:rsidRPr="006754FB">
        <w:t xml:space="preserve">cities </w:t>
      </w:r>
      <w:r w:rsidR="008368CE" w:rsidRPr="006754FB">
        <w:t xml:space="preserve">with millions of </w:t>
      </w:r>
      <w:r w:rsidR="001838AF" w:rsidRPr="006754FB">
        <w:t>inhabitants</w:t>
      </w:r>
      <w:r w:rsidR="00887166" w:rsidRPr="006754FB">
        <w:t xml:space="preserve">, </w:t>
      </w:r>
      <w:r w:rsidR="00FA666D">
        <w:t xml:space="preserve">suburban </w:t>
      </w:r>
      <w:r w:rsidR="00081734">
        <w:t>development</w:t>
      </w:r>
      <w:r w:rsidR="001F54BA">
        <w:t xml:space="preserve">, </w:t>
      </w:r>
      <w:r w:rsidR="00E64C52" w:rsidRPr="006754FB">
        <w:t xml:space="preserve">fragmented forest </w:t>
      </w:r>
      <w:r w:rsidR="00225AF7">
        <w:t>interspersed with</w:t>
      </w:r>
      <w:r w:rsidR="00E64C52" w:rsidRPr="006754FB">
        <w:t xml:space="preserve"> human development, </w:t>
      </w:r>
      <w:r w:rsidR="00887166" w:rsidRPr="006754FB">
        <w:t>contiguous forest</w:t>
      </w:r>
      <w:r w:rsidR="00C70714" w:rsidRPr="006754FB">
        <w:t>s</w:t>
      </w:r>
      <w:r w:rsidR="00887166" w:rsidRPr="006754FB">
        <w:t xml:space="preserve">, and </w:t>
      </w:r>
      <w:r w:rsidR="00C70714" w:rsidRPr="006754FB">
        <w:t xml:space="preserve">expansive </w:t>
      </w:r>
      <w:r w:rsidR="00BC5329" w:rsidRPr="006754FB">
        <w:t xml:space="preserve">areas of </w:t>
      </w:r>
      <w:r w:rsidR="00C70714" w:rsidRPr="006754FB">
        <w:t>cropland</w:t>
      </w:r>
      <w:r w:rsidR="001838AF" w:rsidRPr="006754FB">
        <w:t>.</w:t>
      </w:r>
    </w:p>
    <w:p w14:paraId="1F0AA25C" w14:textId="16CEF940" w:rsidR="001838AF" w:rsidRDefault="001838AF" w:rsidP="009B4E9F">
      <w:pPr>
        <w:spacing w:after="0" w:line="480" w:lineRule="auto"/>
      </w:pPr>
      <w:r w:rsidRPr="006754FB">
        <w:tab/>
        <w:t>Each state wildlife agency manage</w:t>
      </w:r>
      <w:r w:rsidR="00A336A3">
        <w:t>d</w:t>
      </w:r>
      <w:r w:rsidRPr="006754FB">
        <w:t xml:space="preserve"> wild turkey </w:t>
      </w:r>
      <w:r w:rsidR="003400CC">
        <w:t xml:space="preserve">harvest </w:t>
      </w:r>
      <w:r w:rsidRPr="006754FB">
        <w:t xml:space="preserve">based on </w:t>
      </w:r>
      <w:r w:rsidR="009C5895">
        <w:t>MU</w:t>
      </w:r>
      <w:r w:rsidR="003400CC">
        <w:t xml:space="preserve"> boundarie</w:t>
      </w:r>
      <w:r w:rsidR="009C5895">
        <w:t>s</w:t>
      </w:r>
      <w:r w:rsidR="0091019B" w:rsidRPr="006754FB">
        <w:t xml:space="preserve"> </w:t>
      </w:r>
      <w:r w:rsidR="00586463">
        <w:t xml:space="preserve">defined using </w:t>
      </w:r>
      <w:r w:rsidR="0091019B" w:rsidRPr="006754FB">
        <w:t>political or some combination of physiographic and political boundaries</w:t>
      </w:r>
      <w:r w:rsidR="002D5A95" w:rsidRPr="006754FB">
        <w:t xml:space="preserve">. </w:t>
      </w:r>
      <w:r w:rsidR="00DA454E" w:rsidRPr="006754FB">
        <w:t xml:space="preserve">For </w:t>
      </w:r>
      <w:r w:rsidR="004D6E1E" w:rsidRPr="006754FB">
        <w:t>most states</w:t>
      </w:r>
      <w:r w:rsidR="00BC5329" w:rsidRPr="006754FB">
        <w:t>,</w:t>
      </w:r>
      <w:r w:rsidR="004D6E1E" w:rsidRPr="006754FB">
        <w:t xml:space="preserve"> we consolidated </w:t>
      </w:r>
      <w:r w:rsidR="009C5895">
        <w:t>MUs</w:t>
      </w:r>
      <w:r w:rsidR="004D6E1E" w:rsidRPr="006754FB">
        <w:t xml:space="preserve"> </w:t>
      </w:r>
      <w:r w:rsidR="00E7158C" w:rsidRPr="006754FB">
        <w:t xml:space="preserve">into larger units that </w:t>
      </w:r>
      <w:r w:rsidR="00B16ACA" w:rsidRPr="006754FB">
        <w:t xml:space="preserve">likely had </w:t>
      </w:r>
      <w:r w:rsidR="00740D5D" w:rsidRPr="006754FB">
        <w:t>similar</w:t>
      </w:r>
      <w:r w:rsidR="00B16ACA" w:rsidRPr="006754FB">
        <w:t xml:space="preserve"> turkey population characteristics and ensured sufficient sample sizes by </w:t>
      </w:r>
      <w:r w:rsidR="009C5895">
        <w:t>MU</w:t>
      </w:r>
      <w:r w:rsidR="0094287D" w:rsidRPr="006754FB">
        <w:t xml:space="preserve">. </w:t>
      </w:r>
      <w:r w:rsidR="00CC613B">
        <w:t>W</w:t>
      </w:r>
      <w:r w:rsidR="00DA454E" w:rsidRPr="006754FB">
        <w:t xml:space="preserve">e used the </w:t>
      </w:r>
      <w:r w:rsidR="00C9399A" w:rsidRPr="006754FB">
        <w:t xml:space="preserve">5 </w:t>
      </w:r>
      <w:r w:rsidR="009C5895">
        <w:t>MUs</w:t>
      </w:r>
      <w:r w:rsidR="00C9399A" w:rsidRPr="006754FB">
        <w:t xml:space="preserve"> </w:t>
      </w:r>
      <w:r w:rsidR="00BA06FE" w:rsidRPr="006754FB">
        <w:t>Maryland and Ohio</w:t>
      </w:r>
      <w:r w:rsidR="00BA06FE" w:rsidRPr="006754FB" w:rsidDel="00BA06FE">
        <w:t xml:space="preserve"> </w:t>
      </w:r>
      <w:r w:rsidR="00C9399A" w:rsidRPr="006754FB">
        <w:t>delineated for wild turkey.</w:t>
      </w:r>
      <w:r w:rsidR="009A697B" w:rsidRPr="006754FB">
        <w:t xml:space="preserve"> New York has </w:t>
      </w:r>
      <w:r w:rsidR="00A4772E" w:rsidRPr="006754FB">
        <w:t xml:space="preserve">23 </w:t>
      </w:r>
      <w:r w:rsidR="009C5895">
        <w:t>MUs</w:t>
      </w:r>
      <w:r w:rsidR="00A4772E" w:rsidRPr="006754FB">
        <w:t xml:space="preserve"> for wild turkey</w:t>
      </w:r>
      <w:r w:rsidR="009304B4" w:rsidRPr="006754FB">
        <w:t xml:space="preserve"> that </w:t>
      </w:r>
      <w:r w:rsidR="00A4772E" w:rsidRPr="006754FB">
        <w:t xml:space="preserve">we consolidated into </w:t>
      </w:r>
      <w:r w:rsidR="00B51758" w:rsidRPr="006754FB">
        <w:t xml:space="preserve">4 </w:t>
      </w:r>
      <w:r w:rsidR="002A2BE3">
        <w:t>units</w:t>
      </w:r>
      <w:r w:rsidR="00721C8E">
        <w:t xml:space="preserve"> based on physiographic regions and </w:t>
      </w:r>
      <w:r w:rsidR="005133CA">
        <w:t xml:space="preserve">similar </w:t>
      </w:r>
      <w:r w:rsidR="00721C8E">
        <w:t>wild turkey population characteristics</w:t>
      </w:r>
      <w:r w:rsidR="009304B4" w:rsidRPr="006754FB">
        <w:t xml:space="preserve">, except we </w:t>
      </w:r>
      <w:r w:rsidR="00B51758" w:rsidRPr="006754FB">
        <w:t xml:space="preserve">excluded </w:t>
      </w:r>
      <w:r w:rsidR="002B63B4" w:rsidRPr="006754FB">
        <w:t xml:space="preserve">the western portion of Long Island that included </w:t>
      </w:r>
      <w:r w:rsidR="00B51758" w:rsidRPr="006754FB">
        <w:t>New York City.</w:t>
      </w:r>
      <w:r w:rsidR="00D81EB8" w:rsidRPr="006754FB">
        <w:t xml:space="preserve"> </w:t>
      </w:r>
      <w:r w:rsidR="00CC613B">
        <w:t>For Pennsylvania, w</w:t>
      </w:r>
      <w:r w:rsidR="00D81EB8" w:rsidRPr="006754FB">
        <w:t xml:space="preserve">e consolidated 22 </w:t>
      </w:r>
      <w:r w:rsidR="009C5895">
        <w:t>MUs</w:t>
      </w:r>
      <w:r w:rsidR="00D81EB8" w:rsidRPr="006754FB">
        <w:t xml:space="preserve"> </w:t>
      </w:r>
      <w:r w:rsidR="008A1AA3" w:rsidRPr="006754FB">
        <w:t>into 10 units</w:t>
      </w:r>
      <w:r w:rsidR="00B05A38">
        <w:t xml:space="preserve"> </w:t>
      </w:r>
      <w:r w:rsidR="005133CA">
        <w:t>with simi</w:t>
      </w:r>
      <w:r w:rsidR="00F72122">
        <w:t xml:space="preserve">lar </w:t>
      </w:r>
      <w:r w:rsidR="00CA7FA5">
        <w:t xml:space="preserve">turkey </w:t>
      </w:r>
      <w:r w:rsidR="00F72122">
        <w:t>population densities</w:t>
      </w:r>
      <w:r w:rsidR="00BA06FE">
        <w:t xml:space="preserve">. </w:t>
      </w:r>
      <w:r w:rsidR="00CC613B" w:rsidRPr="006754FB">
        <w:t>New Jersey</w:t>
      </w:r>
      <w:r w:rsidR="00CC613B">
        <w:t xml:space="preserve"> has </w:t>
      </w:r>
      <w:r w:rsidR="00C6639A">
        <w:t>18</w:t>
      </w:r>
      <w:r w:rsidR="007332E6" w:rsidRPr="006754FB">
        <w:t xml:space="preserve"> </w:t>
      </w:r>
      <w:r w:rsidR="002A2BE3">
        <w:t>M</w:t>
      </w:r>
      <w:r w:rsidR="00CC613B">
        <w:t>U</w:t>
      </w:r>
      <w:r w:rsidR="002A2BE3">
        <w:t>s</w:t>
      </w:r>
      <w:r w:rsidR="00CC613B">
        <w:t>, which we consolidated</w:t>
      </w:r>
      <w:r w:rsidR="002A2BE3">
        <w:t xml:space="preserve"> </w:t>
      </w:r>
      <w:r w:rsidR="007332E6" w:rsidRPr="006754FB">
        <w:t>into 3 units</w:t>
      </w:r>
      <w:r w:rsidR="000F3267">
        <w:t xml:space="preserve"> with similar landscape and turkey population characteristics</w:t>
      </w:r>
      <w:r w:rsidR="007332E6" w:rsidRPr="006754FB">
        <w:t xml:space="preserve">. </w:t>
      </w:r>
      <w:r w:rsidR="008A1AA3" w:rsidRPr="006754FB">
        <w:t>Both Virginia and West Virginia use</w:t>
      </w:r>
      <w:r w:rsidR="00E11788">
        <w:t>d</w:t>
      </w:r>
      <w:r w:rsidR="008A1AA3" w:rsidRPr="006754FB">
        <w:t xml:space="preserve"> counties as their </w:t>
      </w:r>
      <w:r w:rsidR="002A2BE3">
        <w:t>M</w:t>
      </w:r>
      <w:r w:rsidR="00D57DBD">
        <w:t>U</w:t>
      </w:r>
      <w:r w:rsidR="002A2BE3">
        <w:t>s</w:t>
      </w:r>
      <w:r w:rsidR="00D57DBD">
        <w:t>,</w:t>
      </w:r>
      <w:r w:rsidR="002A2BE3">
        <w:t xml:space="preserve"> </w:t>
      </w:r>
      <w:r w:rsidR="008A1AA3" w:rsidRPr="006754FB">
        <w:t xml:space="preserve">so we consolidated </w:t>
      </w:r>
      <w:r w:rsidR="000549EC" w:rsidRPr="006754FB">
        <w:t xml:space="preserve">data </w:t>
      </w:r>
      <w:r w:rsidR="00D5596E" w:rsidRPr="006754FB">
        <w:t xml:space="preserve">into </w:t>
      </w:r>
      <w:r w:rsidR="00912B67" w:rsidRPr="006754FB">
        <w:t xml:space="preserve">4 physiographic regions in West Virginia </w:t>
      </w:r>
      <w:r w:rsidR="00A80801">
        <w:t xml:space="preserve">and </w:t>
      </w:r>
      <w:r w:rsidR="005C4E0A" w:rsidRPr="006754FB">
        <w:t>5 physiographic regions</w:t>
      </w:r>
      <w:r w:rsidR="003B64D6">
        <w:t xml:space="preserve"> </w:t>
      </w:r>
      <w:r w:rsidR="00BA06FE">
        <w:t>in Virginia</w:t>
      </w:r>
      <w:r w:rsidR="008D7417" w:rsidRPr="006754FB">
        <w:t>.</w:t>
      </w:r>
    </w:p>
    <w:p w14:paraId="27D59E9B" w14:textId="47601FB4" w:rsidR="006F2C15" w:rsidRPr="006754FB" w:rsidRDefault="00EF2035" w:rsidP="009B4E9F">
      <w:pPr>
        <w:spacing w:after="0" w:line="480" w:lineRule="auto"/>
        <w:rPr>
          <w:b/>
          <w:bCs/>
        </w:rPr>
      </w:pPr>
      <w:r w:rsidRPr="006754FB">
        <w:rPr>
          <w:b/>
          <w:bCs/>
        </w:rPr>
        <w:t>METHODS</w:t>
      </w:r>
    </w:p>
    <w:p w14:paraId="327BA337" w14:textId="3017D8B3" w:rsidR="00EF604F" w:rsidRPr="00FB7F70" w:rsidRDefault="00EF604F" w:rsidP="009B4E9F">
      <w:pPr>
        <w:spacing w:after="0" w:line="480" w:lineRule="auto"/>
        <w:rPr>
          <w:b/>
          <w:bCs/>
        </w:rPr>
      </w:pPr>
      <w:r w:rsidRPr="00FB7F70">
        <w:rPr>
          <w:b/>
          <w:bCs/>
        </w:rPr>
        <w:t>Data collection</w:t>
      </w:r>
    </w:p>
    <w:p w14:paraId="5D21DB6C" w14:textId="5028D4D8" w:rsidR="00F40A3A" w:rsidRDefault="00C804B8" w:rsidP="009B4E9F">
      <w:pPr>
        <w:spacing w:after="0" w:line="480" w:lineRule="auto"/>
      </w:pPr>
      <w:r>
        <w:t xml:space="preserve">State wildlife agencies conducted </w:t>
      </w:r>
      <w:r w:rsidR="00BA06FE">
        <w:t xml:space="preserve">wild turkey production </w:t>
      </w:r>
      <w:r w:rsidR="002814C6">
        <w:t xml:space="preserve">surveys </w:t>
      </w:r>
      <w:r w:rsidR="00D34669">
        <w:t>during summer</w:t>
      </w:r>
      <w:r w:rsidR="00BA06FE">
        <w:t xml:space="preserve">. </w:t>
      </w:r>
      <w:r w:rsidR="00D57DBD">
        <w:t xml:space="preserve">Survey </w:t>
      </w:r>
      <w:r w:rsidR="008C145A">
        <w:t xml:space="preserve">timing </w:t>
      </w:r>
      <w:r w:rsidR="00D34669">
        <w:t xml:space="preserve">varied among states and years, such that </w:t>
      </w:r>
      <w:r w:rsidR="0012334C">
        <w:t xml:space="preserve">data </w:t>
      </w:r>
      <w:r w:rsidR="005E7187">
        <w:t>were</w:t>
      </w:r>
      <w:r w:rsidR="00936EB0">
        <w:t xml:space="preserve"> </w:t>
      </w:r>
      <w:r w:rsidR="0012334C">
        <w:t xml:space="preserve">collected </w:t>
      </w:r>
      <w:r w:rsidR="00936EB0">
        <w:t xml:space="preserve">sometime during </w:t>
      </w:r>
      <w:r w:rsidR="0012334C">
        <w:t>June–September</w:t>
      </w:r>
      <w:r w:rsidR="00936EB0">
        <w:t xml:space="preserve">. </w:t>
      </w:r>
      <w:r w:rsidR="000C1615">
        <w:t>O</w:t>
      </w:r>
      <w:r w:rsidR="00B067B9">
        <w:t xml:space="preserve">pportunistic sightings of </w:t>
      </w:r>
      <w:r w:rsidR="002C2B00">
        <w:t xml:space="preserve">a wild turkey, or group of turkeys, </w:t>
      </w:r>
      <w:r w:rsidR="001404D4">
        <w:t xml:space="preserve">during the survey period </w:t>
      </w:r>
      <w:r w:rsidR="002C2B00">
        <w:t>were recorded</w:t>
      </w:r>
      <w:r w:rsidR="0007282B">
        <w:t xml:space="preserve"> with </w:t>
      </w:r>
      <w:r w:rsidR="00451880">
        <w:t>e</w:t>
      </w:r>
      <w:r w:rsidR="0024427F">
        <w:t xml:space="preserve">ach sighting event </w:t>
      </w:r>
      <w:r w:rsidR="00451880">
        <w:t xml:space="preserve">treated as </w:t>
      </w:r>
      <w:r w:rsidR="0024427F">
        <w:t>an observation</w:t>
      </w:r>
      <w:r w:rsidR="00451880">
        <w:t xml:space="preserve">. At a minimum, </w:t>
      </w:r>
      <w:r w:rsidR="001D6AD5">
        <w:t>observer</w:t>
      </w:r>
      <w:r w:rsidR="00EA511D">
        <w:t>s</w:t>
      </w:r>
      <w:r w:rsidR="001D6AD5">
        <w:t xml:space="preserve"> recorded </w:t>
      </w:r>
      <w:r w:rsidR="001D6AD5">
        <w:lastRenderedPageBreak/>
        <w:t xml:space="preserve">date, county, number of hens observed, </w:t>
      </w:r>
      <w:r w:rsidR="001A4562">
        <w:t>number of poults observed, number of males observed</w:t>
      </w:r>
      <w:r w:rsidR="008F57E1">
        <w:t>, number of turkeys that could not be identified to sex or age,</w:t>
      </w:r>
      <w:r w:rsidR="00FF2E20">
        <w:t xml:space="preserve"> and</w:t>
      </w:r>
      <w:r w:rsidR="008F57E1">
        <w:t xml:space="preserve"> whether</w:t>
      </w:r>
      <w:r w:rsidR="00974E2E">
        <w:t xml:space="preserve"> the observer believe</w:t>
      </w:r>
      <w:r w:rsidR="00813504">
        <w:t>d</w:t>
      </w:r>
      <w:r w:rsidR="00974E2E">
        <w:t xml:space="preserve"> they previously recorded the turkey</w:t>
      </w:r>
      <w:r w:rsidR="00FF2E20">
        <w:t>s observed.</w:t>
      </w:r>
      <w:r w:rsidR="00AE1BE9">
        <w:t xml:space="preserve"> </w:t>
      </w:r>
      <w:r w:rsidR="0037126C">
        <w:t xml:space="preserve">Maryland, New York, and Virginia </w:t>
      </w:r>
      <w:r w:rsidR="00AE1BE9">
        <w:t xml:space="preserve">instructed observers not to record </w:t>
      </w:r>
      <w:r w:rsidR="00370F05">
        <w:t xml:space="preserve">observations of </w:t>
      </w:r>
      <w:r w:rsidR="00AE1BE9">
        <w:t xml:space="preserve">turkeys </w:t>
      </w:r>
      <w:r w:rsidR="001578BF">
        <w:t xml:space="preserve">that </w:t>
      </w:r>
      <w:r w:rsidR="00AE1BE9">
        <w:t>they believe</w:t>
      </w:r>
      <w:r w:rsidR="00CD7828">
        <w:t>d</w:t>
      </w:r>
      <w:r w:rsidR="00AE1BE9">
        <w:t xml:space="preserve"> </w:t>
      </w:r>
      <w:r w:rsidR="00CD7828">
        <w:t xml:space="preserve">were </w:t>
      </w:r>
      <w:r w:rsidR="00AE1BE9">
        <w:t>previously recorded</w:t>
      </w:r>
      <w:r w:rsidR="00370F05">
        <w:t xml:space="preserve">. </w:t>
      </w:r>
      <w:r w:rsidR="00C43B52">
        <w:t xml:space="preserve">A </w:t>
      </w:r>
      <w:r w:rsidR="0061124B">
        <w:t xml:space="preserve">definition of a repeat observation was </w:t>
      </w:r>
      <w:r w:rsidR="00C43B52">
        <w:t xml:space="preserve">not </w:t>
      </w:r>
      <w:r w:rsidR="0061124B">
        <w:t xml:space="preserve">provided </w:t>
      </w:r>
      <w:r w:rsidR="00C43B52">
        <w:t xml:space="preserve">to observers </w:t>
      </w:r>
      <w:r w:rsidR="0061124B">
        <w:t xml:space="preserve">and </w:t>
      </w:r>
      <w:r w:rsidR="00C43B52">
        <w:t>repeat observations were not linked to previous observations</w:t>
      </w:r>
      <w:r w:rsidR="00EF0122">
        <w:t xml:space="preserve"> in the database</w:t>
      </w:r>
      <w:r w:rsidR="00C43B52">
        <w:t xml:space="preserve">. </w:t>
      </w:r>
      <w:r w:rsidR="007B539E">
        <w:t xml:space="preserve">All states recorded the </w:t>
      </w:r>
      <w:r w:rsidR="00990265">
        <w:t>MU</w:t>
      </w:r>
      <w:r w:rsidR="007B539E">
        <w:t xml:space="preserve"> where the observation occurred. </w:t>
      </w:r>
      <w:r w:rsidR="00370F05">
        <w:t xml:space="preserve">In addition, some states recorded </w:t>
      </w:r>
      <w:r w:rsidR="003A74C5">
        <w:t xml:space="preserve">physiographic </w:t>
      </w:r>
      <w:r w:rsidR="00B60933">
        <w:t xml:space="preserve">province (West Virginia), </w:t>
      </w:r>
      <w:r w:rsidR="00B02705">
        <w:t xml:space="preserve">county and </w:t>
      </w:r>
      <w:r w:rsidR="00370F05">
        <w:t>township</w:t>
      </w:r>
      <w:r w:rsidR="009B477A">
        <w:t xml:space="preserve"> (Pennsylvania</w:t>
      </w:r>
      <w:r w:rsidR="00B60933">
        <w:t xml:space="preserve"> and Virginia</w:t>
      </w:r>
      <w:r w:rsidR="009B477A">
        <w:t>)</w:t>
      </w:r>
      <w:r w:rsidR="00370F05">
        <w:t xml:space="preserve">, </w:t>
      </w:r>
      <w:r w:rsidR="003C420E">
        <w:t xml:space="preserve">and </w:t>
      </w:r>
      <w:r w:rsidR="007B539E">
        <w:t>latitude and longitude</w:t>
      </w:r>
      <w:r w:rsidR="00CC51F4">
        <w:t xml:space="preserve"> (New Jersey, New York, </w:t>
      </w:r>
      <w:r w:rsidR="00405E26">
        <w:t xml:space="preserve">Ohio, and </w:t>
      </w:r>
      <w:r w:rsidR="00CC51F4">
        <w:t>Pennsylvania</w:t>
      </w:r>
      <w:r w:rsidR="00405E26">
        <w:t>)</w:t>
      </w:r>
      <w:r w:rsidR="0077542A">
        <w:t xml:space="preserve">. </w:t>
      </w:r>
      <w:r w:rsidR="00721F3F">
        <w:t xml:space="preserve">Observers </w:t>
      </w:r>
      <w:r w:rsidR="00A165C4">
        <w:t>were state wildlife agency personnel and the public</w:t>
      </w:r>
      <w:r w:rsidR="00CA4E19">
        <w:t xml:space="preserve">, except </w:t>
      </w:r>
      <w:r w:rsidR="002B154F">
        <w:t>in West Virginia and Virginia</w:t>
      </w:r>
      <w:r w:rsidR="00D57DBD">
        <w:t xml:space="preserve"> where only agency personnel and cooperators provided </w:t>
      </w:r>
      <w:r w:rsidR="00D57DBD" w:rsidRPr="008C0EC2">
        <w:t>observations</w:t>
      </w:r>
      <w:r w:rsidR="00A165C4" w:rsidRPr="008C0EC2">
        <w:t>.</w:t>
      </w:r>
    </w:p>
    <w:p w14:paraId="2CC06AD1" w14:textId="4C88D589" w:rsidR="008C145A" w:rsidRDefault="00613B17" w:rsidP="009B4E9F">
      <w:pPr>
        <w:spacing w:after="0" w:line="480" w:lineRule="auto"/>
        <w:ind w:firstLine="360"/>
      </w:pPr>
      <w:r>
        <w:t>A</w:t>
      </w:r>
      <w:r w:rsidR="008C145A">
        <w:t>ll states followed</w:t>
      </w:r>
      <w:r w:rsidR="00E50951">
        <w:t xml:space="preserve"> the NWTF Technical Committee (2019) protocol</w:t>
      </w:r>
      <w:r>
        <w:t xml:space="preserve"> after 2019</w:t>
      </w:r>
      <w:r w:rsidR="00E50951">
        <w:t xml:space="preserve">, except New York only collected observations during </w:t>
      </w:r>
      <w:r w:rsidR="008A37EA">
        <w:t>August.</w:t>
      </w:r>
      <w:r w:rsidR="009A10C6">
        <w:t xml:space="preserve"> </w:t>
      </w:r>
      <w:r w:rsidR="00E01369">
        <w:t>The NWTF protocol was similar to what was described heretofore but restricted observations to July and August</w:t>
      </w:r>
      <w:r w:rsidR="008120E1">
        <w:t xml:space="preserve"> and </w:t>
      </w:r>
      <w:r w:rsidR="009A10C6">
        <w:t xml:space="preserve">excluded </w:t>
      </w:r>
      <w:r w:rsidR="007F4539">
        <w:t xml:space="preserve">observations </w:t>
      </w:r>
      <w:r w:rsidR="009A10C6">
        <w:t>whe</w:t>
      </w:r>
      <w:r w:rsidR="001C1C55">
        <w:t>n</w:t>
      </w:r>
      <w:r w:rsidR="009A10C6">
        <w:t xml:space="preserve"> </w:t>
      </w:r>
      <w:r w:rsidR="00E66B11">
        <w:t xml:space="preserve">&gt;25% of the turkeys could not </w:t>
      </w:r>
      <w:r w:rsidR="00C534C4">
        <w:t xml:space="preserve">be </w:t>
      </w:r>
      <w:r w:rsidR="00E66B11">
        <w:t xml:space="preserve">identified to age or sex, </w:t>
      </w:r>
      <w:r w:rsidR="006E11CF">
        <w:t>≥8 hens were observed with no poults, poults were observed with no hens</w:t>
      </w:r>
      <w:r w:rsidR="00733129">
        <w:t xml:space="preserve">, the </w:t>
      </w:r>
      <w:proofErr w:type="spellStart"/>
      <w:r w:rsidR="00733129">
        <w:t>poult:hen</w:t>
      </w:r>
      <w:proofErr w:type="spellEnd"/>
      <w:r w:rsidR="00733129">
        <w:t xml:space="preserve"> ratio was &gt;16</w:t>
      </w:r>
      <w:r w:rsidR="007A504D">
        <w:t xml:space="preserve">, and </w:t>
      </w:r>
      <w:r w:rsidR="00363190">
        <w:t>observations</w:t>
      </w:r>
      <w:r w:rsidR="007A504D">
        <w:t xml:space="preserve"> w</w:t>
      </w:r>
      <w:r w:rsidR="00FF1D0E">
        <w:t>ere</w:t>
      </w:r>
      <w:r w:rsidR="007A504D">
        <w:t xml:space="preserve"> reported to be of turkeys</w:t>
      </w:r>
      <w:r w:rsidR="00FF1D0E">
        <w:t xml:space="preserve"> that were</w:t>
      </w:r>
      <w:r w:rsidR="007A504D">
        <w:t xml:space="preserve"> previously </w:t>
      </w:r>
      <w:r w:rsidR="00550673">
        <w:t>recorded</w:t>
      </w:r>
      <w:r w:rsidR="007A504D">
        <w:t>.</w:t>
      </w:r>
    </w:p>
    <w:p w14:paraId="5CA0A952" w14:textId="60014CED" w:rsidR="00F40A3A" w:rsidRDefault="007063C0" w:rsidP="009B4E9F">
      <w:pPr>
        <w:spacing w:after="0" w:line="480" w:lineRule="auto"/>
      </w:pPr>
      <w:r>
        <w:tab/>
        <w:t>We defined</w:t>
      </w:r>
      <w:r w:rsidR="00E72635">
        <w:t xml:space="preserve"> </w:t>
      </w:r>
      <w:r w:rsidR="005D7904">
        <w:t>HWP</w:t>
      </w:r>
      <w:r w:rsidR="00E72635">
        <w:t xml:space="preserve"> as the proportion of hens observed with </w:t>
      </w:r>
      <w:r w:rsidR="0030303E">
        <w:t>poults</w:t>
      </w:r>
      <w:r w:rsidR="00E72635">
        <w:t xml:space="preserve">. If </w:t>
      </w:r>
      <w:r w:rsidR="000B2FFB">
        <w:t xml:space="preserve">multiple hens </w:t>
      </w:r>
      <w:r w:rsidR="005307B3">
        <w:t>were observed</w:t>
      </w:r>
      <w:r w:rsidR="00937660">
        <w:t>,</w:t>
      </w:r>
      <w:r w:rsidR="00D13314">
        <w:t xml:space="preserve"> we </w:t>
      </w:r>
      <w:r w:rsidR="00396E90">
        <w:t xml:space="preserve">treated each hen </w:t>
      </w:r>
      <w:r w:rsidR="00741162">
        <w:t>as an independent observation</w:t>
      </w:r>
      <w:r w:rsidR="00396E90">
        <w:t>.</w:t>
      </w:r>
      <w:r w:rsidR="00E131B1">
        <w:t xml:space="preserve"> For example, 3 hens observed with </w:t>
      </w:r>
      <w:r w:rsidR="000B703B">
        <w:t>poults</w:t>
      </w:r>
      <w:r w:rsidR="00E131B1">
        <w:t xml:space="preserve"> were treated as 3 observations of hens with </w:t>
      </w:r>
      <w:r w:rsidR="000B703B">
        <w:t xml:space="preserve">poults </w:t>
      </w:r>
      <w:r w:rsidR="008E377E">
        <w:t>and 2 hens observed with no poults were treated as 2 observations of hens without poults</w:t>
      </w:r>
      <w:r w:rsidR="00E131B1">
        <w:t>.</w:t>
      </w:r>
      <w:r w:rsidR="00937061">
        <w:t xml:space="preserve"> </w:t>
      </w:r>
      <w:r w:rsidR="00B90F72">
        <w:t>When hens with p</w:t>
      </w:r>
      <w:r w:rsidR="00937061">
        <w:t xml:space="preserve">oults </w:t>
      </w:r>
      <w:r w:rsidR="00F73179">
        <w:t xml:space="preserve">were observed, we calculated </w:t>
      </w:r>
      <w:r w:rsidR="005D7904">
        <w:t>PPB</w:t>
      </w:r>
      <w:r w:rsidR="00937061">
        <w:t xml:space="preserve"> </w:t>
      </w:r>
      <w:r w:rsidR="00F73179">
        <w:t xml:space="preserve">as </w:t>
      </w:r>
      <w:r w:rsidR="00937061">
        <w:t xml:space="preserve">the number of </w:t>
      </w:r>
      <w:r w:rsidR="00DA4D70">
        <w:t xml:space="preserve">poults </w:t>
      </w:r>
      <w:r w:rsidR="00277007">
        <w:t>divided by the number of hens</w:t>
      </w:r>
      <w:r w:rsidR="002C6854">
        <w:t xml:space="preserve"> and treated each hen as an </w:t>
      </w:r>
      <w:r w:rsidR="002C6854">
        <w:lastRenderedPageBreak/>
        <w:t>independent observation</w:t>
      </w:r>
      <w:r w:rsidR="00893661">
        <w:t>.</w:t>
      </w:r>
      <w:r w:rsidR="00207324">
        <w:t xml:space="preserve"> The product of HWP and PPB yield</w:t>
      </w:r>
      <w:r w:rsidR="00430B30">
        <w:t>s</w:t>
      </w:r>
      <w:r w:rsidR="00207324">
        <w:t xml:space="preserve"> the average number of poults per hen</w:t>
      </w:r>
      <w:r w:rsidR="006D3879">
        <w:t xml:space="preserve"> (PPH)</w:t>
      </w:r>
      <w:r w:rsidR="00207324">
        <w:t>.</w:t>
      </w:r>
    </w:p>
    <w:p w14:paraId="38F3CEF4" w14:textId="2CF10D45" w:rsidR="00F40A3A" w:rsidRPr="00FB7F70" w:rsidRDefault="00FB7F70" w:rsidP="009B4E9F">
      <w:pPr>
        <w:spacing w:after="0" w:line="480" w:lineRule="auto"/>
        <w:rPr>
          <w:b/>
          <w:bCs/>
        </w:rPr>
      </w:pPr>
      <w:r w:rsidRPr="00FB7F70">
        <w:rPr>
          <w:b/>
          <w:bCs/>
        </w:rPr>
        <w:t xml:space="preserve">Data </w:t>
      </w:r>
      <w:r w:rsidR="00CC613B">
        <w:rPr>
          <w:b/>
          <w:bCs/>
        </w:rPr>
        <w:t>filtering</w:t>
      </w:r>
      <w:r w:rsidR="005D7904">
        <w:rPr>
          <w:b/>
          <w:bCs/>
        </w:rPr>
        <w:t xml:space="preserve"> and survey timing variation</w:t>
      </w:r>
    </w:p>
    <w:p w14:paraId="6B2F2C46" w14:textId="497A3D0F" w:rsidR="00FB7F70" w:rsidRDefault="00A97E36" w:rsidP="009B4E9F">
      <w:pPr>
        <w:spacing w:after="0" w:line="480" w:lineRule="auto"/>
      </w:pPr>
      <w:r>
        <w:t xml:space="preserve">We </w:t>
      </w:r>
      <w:r w:rsidR="004F03F4">
        <w:t xml:space="preserve">examined how </w:t>
      </w:r>
      <w:r w:rsidR="00A4181F">
        <w:t>data filtering (e.g., excluding repeat observations)</w:t>
      </w:r>
      <w:r w:rsidR="00364BDA">
        <w:t xml:space="preserve"> </w:t>
      </w:r>
      <w:r w:rsidR="004F03F4">
        <w:t xml:space="preserve">reduced </w:t>
      </w:r>
      <w:r w:rsidR="00364BDA">
        <w:t>sample size</w:t>
      </w:r>
      <w:r w:rsidR="005D7904">
        <w:t xml:space="preserve"> by calculating the number of observations that would be lost due to the different NWTF recommended data filters. </w:t>
      </w:r>
      <w:r w:rsidR="00D57DBD">
        <w:t>In addition</w:t>
      </w:r>
      <w:r w:rsidR="00430B30">
        <w:t>, w</w:t>
      </w:r>
      <w:r w:rsidR="005D7904">
        <w:t xml:space="preserve">e </w:t>
      </w:r>
      <w:r w:rsidR="006B69F3">
        <w:t xml:space="preserve">examined how dates </w:t>
      </w:r>
      <w:r w:rsidR="00285CAC">
        <w:t>when</w:t>
      </w:r>
      <w:r w:rsidR="00341B20">
        <w:t xml:space="preserve"> </w:t>
      </w:r>
      <w:r w:rsidR="006B69F3">
        <w:t xml:space="preserve">observations </w:t>
      </w:r>
      <w:r w:rsidR="00285CAC">
        <w:t xml:space="preserve">were reported </w:t>
      </w:r>
      <w:r w:rsidR="006B69F3">
        <w:t xml:space="preserve">differed among states </w:t>
      </w:r>
      <w:r w:rsidR="00A244D6">
        <w:t xml:space="preserve">and </w:t>
      </w:r>
      <w:r w:rsidR="006B69F3">
        <w:t>over time</w:t>
      </w:r>
      <w:r w:rsidR="008405DC">
        <w:t xml:space="preserve"> </w:t>
      </w:r>
      <w:r w:rsidR="00AC4A73">
        <w:t>within state</w:t>
      </w:r>
      <w:r w:rsidR="000A7ED4">
        <w:t>s</w:t>
      </w:r>
      <w:r w:rsidR="005D7904">
        <w:t>, which may limit the ability to use data from multiple states to conduct regional analyses</w:t>
      </w:r>
      <w:r w:rsidR="00C51BB1">
        <w:t>.</w:t>
      </w:r>
    </w:p>
    <w:p w14:paraId="308751F7" w14:textId="23091CBA" w:rsidR="00390FA4" w:rsidRPr="009466D2" w:rsidRDefault="00965E1F" w:rsidP="009B4E9F">
      <w:pPr>
        <w:spacing w:after="0" w:line="480" w:lineRule="auto"/>
        <w:rPr>
          <w:b/>
          <w:bCs/>
        </w:rPr>
      </w:pPr>
      <w:r w:rsidRPr="009466D2">
        <w:rPr>
          <w:b/>
          <w:bCs/>
        </w:rPr>
        <w:t>Date of observation effect</w:t>
      </w:r>
      <w:r w:rsidR="009457E8" w:rsidRPr="009466D2">
        <w:rPr>
          <w:b/>
          <w:bCs/>
        </w:rPr>
        <w:tab/>
      </w:r>
    </w:p>
    <w:p w14:paraId="59B08BBD" w14:textId="38D6BC05" w:rsidR="00BE110C" w:rsidRDefault="00BE110C" w:rsidP="009B4E9F">
      <w:pPr>
        <w:spacing w:after="0" w:line="480" w:lineRule="auto"/>
      </w:pPr>
      <w:r>
        <w:t xml:space="preserve">The first set of </w:t>
      </w:r>
      <w:r w:rsidR="00D57DBD">
        <w:t xml:space="preserve">developed </w:t>
      </w:r>
      <w:r w:rsidR="005D7904">
        <w:t>hierarchical</w:t>
      </w:r>
      <w:r>
        <w:t xml:space="preserve"> models </w:t>
      </w:r>
      <w:r w:rsidR="00604F9B">
        <w:t>was</w:t>
      </w:r>
      <w:r>
        <w:t xml:space="preserve"> to address the problem with data being collected over different dates </w:t>
      </w:r>
      <w:r w:rsidR="003262D7">
        <w:t xml:space="preserve">among states and </w:t>
      </w:r>
      <w:r>
        <w:t>within states over time</w:t>
      </w:r>
      <w:r w:rsidR="003262D7">
        <w:t xml:space="preserve">. </w:t>
      </w:r>
      <w:r w:rsidR="00604F9B">
        <w:t>W</w:t>
      </w:r>
      <w:r w:rsidR="008C56B0">
        <w:t xml:space="preserve">e included </w:t>
      </w:r>
      <w:r w:rsidR="005E423E">
        <w:t xml:space="preserve">calendar day </w:t>
      </w:r>
      <w:r w:rsidR="00561217">
        <w:t xml:space="preserve">(DOY) </w:t>
      </w:r>
      <w:r w:rsidR="005E423E">
        <w:t>of the observation as a</w:t>
      </w:r>
      <w:r w:rsidR="00604F9B">
        <w:t xml:space="preserve"> potential</w:t>
      </w:r>
      <w:r w:rsidR="005E423E">
        <w:t xml:space="preserve"> covariate</w:t>
      </w:r>
      <w:r w:rsidR="00285BFC">
        <w:t>, which</w:t>
      </w:r>
      <w:r w:rsidR="00A961F3">
        <w:t xml:space="preserve"> </w:t>
      </w:r>
      <w:r w:rsidR="00604F9B">
        <w:t>would allow</w:t>
      </w:r>
      <w:r w:rsidR="00A961F3">
        <w:t xml:space="preserve"> us to estimate HWP </w:t>
      </w:r>
      <w:r w:rsidR="002978FD">
        <w:t>and</w:t>
      </w:r>
      <w:r w:rsidR="00A961F3">
        <w:t xml:space="preserve"> PPB </w:t>
      </w:r>
      <w:r w:rsidR="002978FD">
        <w:t xml:space="preserve">for </w:t>
      </w:r>
      <w:r w:rsidR="00A961F3">
        <w:t>31 August, which was a common date of data collection for all states</w:t>
      </w:r>
      <w:r w:rsidR="00BF271F">
        <w:t xml:space="preserve">. </w:t>
      </w:r>
      <w:r w:rsidR="002162B3">
        <w:t xml:space="preserve">We describe the models below assuming a quadratic effect of DOY.  </w:t>
      </w:r>
      <w:r w:rsidR="00160E10">
        <w:t xml:space="preserve">To illustrate more complex models that can </w:t>
      </w:r>
      <w:r w:rsidR="002162B3">
        <w:t xml:space="preserve">be used to </w:t>
      </w:r>
      <w:r w:rsidR="00160E10">
        <w:t xml:space="preserve">partition the </w:t>
      </w:r>
      <w:proofErr w:type="spellStart"/>
      <w:r w:rsidR="00160E10">
        <w:t>spatio</w:t>
      </w:r>
      <w:proofErr w:type="spellEnd"/>
      <w:r w:rsidR="00160E10">
        <w:t>-temporal variation in HW</w:t>
      </w:r>
      <w:r w:rsidR="008D17BA">
        <w:t>P</w:t>
      </w:r>
      <w:r w:rsidR="00160E10">
        <w:t xml:space="preserve"> and PPB, w</w:t>
      </w:r>
      <w:r w:rsidR="00E0448C">
        <w:t>e developed models that included</w:t>
      </w:r>
      <w:r w:rsidR="00BF271F">
        <w:t xml:space="preserve"> </w:t>
      </w:r>
      <w:r w:rsidR="00160E10">
        <w:t>random intercepts for</w:t>
      </w:r>
      <w:r w:rsidR="000E7924">
        <w:t xml:space="preserve"> </w:t>
      </w:r>
      <w:r w:rsidR="008209CD">
        <w:t xml:space="preserve">MU or </w:t>
      </w:r>
      <w:r w:rsidR="000E7924">
        <w:t xml:space="preserve">a random effect </w:t>
      </w:r>
      <w:r w:rsidR="005D7904">
        <w:t>that allowed variation by</w:t>
      </w:r>
      <w:r w:rsidR="000E7924">
        <w:t xml:space="preserve"> both year and </w:t>
      </w:r>
      <w:r w:rsidR="008209CD">
        <w:t>MU</w:t>
      </w:r>
      <w:r w:rsidR="00164F08">
        <w:t>.</w:t>
      </w:r>
      <w:r w:rsidR="00160E10">
        <w:t xml:space="preserve"> </w:t>
      </w:r>
    </w:p>
    <w:p w14:paraId="15E8EE9F" w14:textId="7379F381" w:rsidR="005B2301" w:rsidRPr="0015410B" w:rsidRDefault="00803045" w:rsidP="009466D2">
      <w:pPr>
        <w:spacing w:after="0" w:line="480" w:lineRule="auto"/>
        <w:ind w:firstLine="720"/>
      </w:pPr>
      <w:r>
        <w:t xml:space="preserve">For the </w:t>
      </w:r>
      <w:r w:rsidR="00387204">
        <w:t>HWP</w:t>
      </w:r>
      <w:r>
        <w:t xml:space="preserve"> model</w:t>
      </w:r>
      <w:r w:rsidR="002B154F">
        <w:t>,</w:t>
      </w:r>
      <w:r>
        <w:t xml:space="preserve"> we </w:t>
      </w:r>
      <w:r w:rsidR="00C42B21">
        <w:t xml:space="preserve">developed </w:t>
      </w:r>
      <w:r>
        <w:t>a</w:t>
      </w:r>
      <w:r w:rsidR="00C42B21">
        <w:t xml:space="preserve"> </w:t>
      </w:r>
      <w:r w:rsidR="005D7904">
        <w:t xml:space="preserve">hierarchical </w:t>
      </w:r>
      <w:r w:rsidR="00C42B21">
        <w:t>generalized</w:t>
      </w:r>
      <w:r>
        <w:t xml:space="preserve"> </w:t>
      </w:r>
      <w:r w:rsidR="00E510BD">
        <w:t>linear</w:t>
      </w:r>
      <w:r w:rsidR="00C42B21">
        <w:t xml:space="preserve"> mixed</w:t>
      </w:r>
      <w:r w:rsidR="00E510BD">
        <w:t xml:space="preserve"> model </w:t>
      </w:r>
      <w:r w:rsidR="005661E1">
        <w:t xml:space="preserve">with a </w:t>
      </w:r>
      <w:r w:rsidR="000011D6">
        <w:t xml:space="preserve">binomial distribution and </w:t>
      </w:r>
      <w:r w:rsidR="005661E1">
        <w:t xml:space="preserve">logit link function </w:t>
      </w:r>
      <w:r w:rsidR="00940398">
        <w:t xml:space="preserve">to </w:t>
      </w:r>
      <w:r w:rsidR="00086288">
        <w:t xml:space="preserve">estimate the probability </w:t>
      </w:r>
      <w:r w:rsidR="00940398">
        <w:t>a hen has poults</w:t>
      </w:r>
      <w:r w:rsidR="00B27362">
        <w:t xml:space="preserve"> (</w:t>
      </w:r>
      <w:proofErr w:type="spellStart"/>
      <w:r w:rsidR="00387204">
        <w:t>HWP</w:t>
      </w:r>
      <w:r w:rsidR="00773737" w:rsidRPr="00773737">
        <w:rPr>
          <w:vertAlign w:val="subscript"/>
        </w:rPr>
        <w:t>i</w:t>
      </w:r>
      <w:proofErr w:type="spellEnd"/>
      <w:r w:rsidR="00773737">
        <w:t xml:space="preserve"> = 1 if poults present</w:t>
      </w:r>
      <w:r w:rsidR="005D7904">
        <w:t xml:space="preserve"> during observation </w:t>
      </w:r>
      <w:proofErr w:type="spellStart"/>
      <w:r w:rsidR="005D7904" w:rsidRPr="009466D2">
        <w:rPr>
          <w:i/>
          <w:iCs/>
        </w:rPr>
        <w:t>i</w:t>
      </w:r>
      <w:proofErr w:type="spellEnd"/>
      <w:r w:rsidR="00773737">
        <w:t>, 0 otherwise</w:t>
      </w:r>
      <w:r w:rsidR="00B27362">
        <w:t>)</w:t>
      </w:r>
      <w:r w:rsidR="009E48CE">
        <w:t xml:space="preserve">. </w:t>
      </w:r>
      <w:r w:rsidR="009E48CE">
        <w:rPr>
          <w:rFonts w:eastAsiaTheme="minorEastAsia"/>
        </w:rPr>
        <w:t xml:space="preserve">The first model was a random-intercept model where the </w:t>
      </w:r>
      <w:r w:rsidR="005D7904">
        <w:rPr>
          <w:rFonts w:eastAsiaTheme="minorEastAsia"/>
        </w:rPr>
        <w:t xml:space="preserve">random </w:t>
      </w:r>
      <w:r w:rsidR="009E48CE">
        <w:rPr>
          <w:rFonts w:eastAsiaTheme="minorEastAsia"/>
        </w:rPr>
        <w:t xml:space="preserve">effect of MU </w:t>
      </w:r>
      <w:r w:rsidR="00D6306F">
        <w:rPr>
          <w:rFonts w:eastAsiaTheme="minorEastAsia"/>
        </w:rPr>
        <w:t>(</w:t>
      </w:r>
      <m:oMath>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oMath>
      <w:r w:rsidR="00D6306F">
        <w:rPr>
          <w:rFonts w:eastAsiaTheme="minorEastAsia"/>
        </w:rPr>
        <w:t xml:space="preserve"> </w:t>
      </w:r>
      <w:r w:rsidR="009E48CE">
        <w:rPr>
          <w:rFonts w:eastAsiaTheme="minorEastAsia"/>
        </w:rPr>
        <w:t xml:space="preserve">was constant </w:t>
      </w:r>
      <w:r w:rsidR="000B4CEE">
        <w:rPr>
          <w:rFonts w:eastAsiaTheme="minorEastAsia"/>
        </w:rPr>
        <w:t xml:space="preserve">among </w:t>
      </w:r>
      <w:r w:rsidR="009E48CE">
        <w:rPr>
          <w:rFonts w:eastAsiaTheme="minorEastAsia"/>
        </w:rPr>
        <w:t>years</w:t>
      </w:r>
      <w:r w:rsidR="0036186A">
        <w:rPr>
          <w:rFonts w:eastAsiaTheme="minorEastAsia"/>
        </w:rPr>
        <w:t>:</w:t>
      </w:r>
    </w:p>
    <w:p w14:paraId="0F7FD62D" w14:textId="744C5C2F" w:rsidR="00091FA5" w:rsidRDefault="00000000" w:rsidP="009B4E9F">
      <w:pPr>
        <w:spacing w:after="0" w:line="480" w:lineRule="auto"/>
        <w:jc w:val="cente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k[i]</m:t>
                </m:r>
              </m:sub>
            </m:sSub>
          </m:e>
        </m:d>
        <m:r>
          <w:rPr>
            <w:rFonts w:ascii="Cambria Math" w:hAnsi="Cambria Math"/>
          </w:rPr>
          <m:t xml:space="preserve">, </m:t>
        </m:r>
      </m:oMath>
      <w:r w:rsidR="00F17881">
        <w:rPr>
          <w:rFonts w:eastAsiaTheme="minorEastAsia"/>
        </w:rPr>
        <w:tab/>
        <w:t>(1)</w:t>
      </w:r>
    </w:p>
    <w:p w14:paraId="5DB9903B" w14:textId="3D3843AE" w:rsidR="00E85FE7" w:rsidRDefault="007D60FF" w:rsidP="009B4E9F">
      <w:pPr>
        <w:spacing w:after="0" w:line="480" w:lineRule="auto"/>
        <w:rPr>
          <w:rFonts w:eastAsiaTheme="minorEastAsia"/>
        </w:rPr>
      </w:pPr>
      <w:r>
        <w:lastRenderedPageBreak/>
        <w:t>w</w:t>
      </w:r>
      <w:r w:rsidR="00A46747">
        <w:t>here</w:t>
      </w:r>
      <w:r w:rsidR="006142AE">
        <w:t xml:space="preserve"> </w:t>
      </w:r>
      <w:proofErr w:type="spellStart"/>
      <w:r w:rsidR="006142AE" w:rsidRPr="007D60FF">
        <w:rPr>
          <w:i/>
          <w:iCs/>
        </w:rPr>
        <w:t>i</w:t>
      </w:r>
      <w:proofErr w:type="spellEnd"/>
      <w:r w:rsidR="006142AE">
        <w:t xml:space="preserve"> indexes</w:t>
      </w:r>
      <w:r w:rsidR="00D87952">
        <w:t xml:space="preserve"> </w:t>
      </w:r>
      <w:r w:rsidR="00D87952" w:rsidRPr="007D60FF">
        <w:rPr>
          <w:i/>
          <w:iCs/>
        </w:rPr>
        <w:t>n</w:t>
      </w:r>
      <w:r w:rsidR="00D87952">
        <w:t xml:space="preserve"> observations, </w:t>
      </w:r>
      <w:r w:rsidR="00D87952" w:rsidRPr="007D60FF">
        <w:rPr>
          <w:i/>
          <w:iCs/>
        </w:rPr>
        <w:t>j</w:t>
      </w:r>
      <w:r w:rsidR="00D87952">
        <w:t xml:space="preserve"> indexes </w:t>
      </w:r>
      <w:r w:rsidR="00D87952" w:rsidRPr="007D60FF">
        <w:rPr>
          <w:i/>
          <w:iCs/>
        </w:rPr>
        <w:t>J</w:t>
      </w:r>
      <w:r w:rsidR="00D87952">
        <w:t xml:space="preserve"> years,</w:t>
      </w:r>
      <w:r w:rsidR="00D706E8">
        <w:t xml:space="preserve"> </w:t>
      </w:r>
      <w:r w:rsidR="00D706E8">
        <w:rPr>
          <w:rFonts w:eastAsiaTheme="minorEastAsia"/>
          <w:i/>
          <w:iCs/>
        </w:rPr>
        <w:t xml:space="preserve">k </w:t>
      </w:r>
      <w:r w:rsidR="00D706E8">
        <w:rPr>
          <w:rFonts w:eastAsiaTheme="minorEastAsia"/>
        </w:rPr>
        <w:t xml:space="preserve">indexes </w:t>
      </w:r>
      <w:r w:rsidR="00D706E8" w:rsidRPr="00D706E8">
        <w:rPr>
          <w:rFonts w:eastAsiaTheme="minorEastAsia"/>
          <w:i/>
          <w:iCs/>
        </w:rPr>
        <w:t>K</w:t>
      </w:r>
      <w:r w:rsidR="00D706E8">
        <w:rPr>
          <w:rFonts w:eastAsiaTheme="minorEastAsia"/>
        </w:rPr>
        <w:t xml:space="preserve"> MUs,</w:t>
      </w:r>
      <w:r w:rsidR="00F8459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j[i]</m:t>
            </m:r>
          </m:sub>
        </m:sSub>
      </m:oMath>
      <w:r w:rsidR="00F84595">
        <w:rPr>
          <w:rFonts w:eastAsiaTheme="minorEastAsia"/>
        </w:rPr>
        <w:t xml:space="preserve"> is the corresponding </w:t>
      </w:r>
      <w:r w:rsidR="00AB7604">
        <w:rPr>
          <w:rFonts w:eastAsiaTheme="minorEastAsia"/>
        </w:rPr>
        <w:t xml:space="preserve">year </w:t>
      </w:r>
      <w:r w:rsidR="00F84595">
        <w:rPr>
          <w:rFonts w:eastAsiaTheme="minorEastAsia"/>
        </w:rPr>
        <w:t>intercept</w:t>
      </w:r>
      <w:r w:rsidR="005D7904">
        <w:rPr>
          <w:rFonts w:eastAsiaTheme="minorEastAsia"/>
        </w:rPr>
        <w:t xml:space="preserve"> (i.e., fixed effect of year)</w:t>
      </w:r>
      <w:r w:rsidR="00F84595">
        <w:rPr>
          <w:rFonts w:eastAsiaTheme="minorEastAsia"/>
        </w:rPr>
        <w:t xml:space="preserve"> for </w:t>
      </w:r>
      <w:r w:rsidR="004F625E" w:rsidRPr="004E6994">
        <w:rPr>
          <w:rFonts w:eastAsiaTheme="minorEastAsia"/>
        </w:rPr>
        <w:t>observation</w:t>
      </w:r>
      <w:r w:rsidR="00F84595" w:rsidRPr="004E6994">
        <w:rPr>
          <w:rFonts w:eastAsiaTheme="minorEastAsia"/>
        </w:rPr>
        <w:t xml:space="preserve"> </w:t>
      </w:r>
      <w:proofErr w:type="spellStart"/>
      <w:r w:rsidR="004F625E" w:rsidRPr="004E6994">
        <w:rPr>
          <w:rFonts w:eastAsiaTheme="minorEastAsia"/>
          <w:i/>
          <w:iCs/>
        </w:rPr>
        <w:t>i</w:t>
      </w:r>
      <w:proofErr w:type="spellEnd"/>
      <w:r w:rsidR="00814176" w:rsidRPr="004E6994">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2D3599" w:rsidRPr="004E6994">
        <w:rPr>
          <w:rFonts w:eastAsiaTheme="minorEastAsia"/>
        </w:rPr>
        <w:t xml:space="preserve"> and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2D3599" w:rsidRPr="004E6994">
        <w:rPr>
          <w:rFonts w:eastAsiaTheme="minorEastAsia"/>
        </w:rPr>
        <w:t xml:space="preserve"> are coefficients</w:t>
      </w:r>
      <w:r w:rsidR="002D3599">
        <w:rPr>
          <w:rFonts w:eastAsiaTheme="minorEastAsia"/>
        </w:rPr>
        <w:t xml:space="preserve"> for the </w:t>
      </w:r>
      <w:r w:rsidR="00ED1C3A">
        <w:rPr>
          <w:rFonts w:eastAsiaTheme="minorEastAsia"/>
        </w:rPr>
        <w:t xml:space="preserve">DOY </w:t>
      </w:r>
      <w:r w:rsidR="005D7904">
        <w:rPr>
          <w:rFonts w:eastAsiaTheme="minorEastAsia"/>
        </w:rPr>
        <w:t xml:space="preserve">quadratic fixed </w:t>
      </w:r>
      <w:r w:rsidR="00ED1C3A">
        <w:rPr>
          <w:rFonts w:eastAsiaTheme="minorEastAsia"/>
        </w:rPr>
        <w:t xml:space="preserve">effect, </w:t>
      </w:r>
      <w:proofErr w:type="spellStart"/>
      <w:r w:rsidR="004443F8">
        <w:rPr>
          <w:rFonts w:eastAsiaTheme="minorEastAsia"/>
        </w:rPr>
        <w:t>DOY</w:t>
      </w:r>
      <w:r w:rsidR="007E4AD0" w:rsidRPr="007E4AD0">
        <w:rPr>
          <w:rFonts w:eastAsiaTheme="minorEastAsia"/>
          <w:i/>
          <w:iCs/>
          <w:vertAlign w:val="subscript"/>
        </w:rPr>
        <w:t>i</w:t>
      </w:r>
      <w:proofErr w:type="spellEnd"/>
      <w:r w:rsidR="004443F8">
        <w:rPr>
          <w:rFonts w:eastAsiaTheme="minorEastAsia"/>
        </w:rPr>
        <w:t xml:space="preserve"> is the calendar day</w:t>
      </w:r>
      <w:r w:rsidR="006C05F4" w:rsidRPr="006C05F4">
        <w:rPr>
          <w:rFonts w:eastAsiaTheme="minorEastAsia"/>
        </w:rPr>
        <w:t xml:space="preserve"> </w:t>
      </w:r>
      <w:r w:rsidR="00B1688C">
        <w:rPr>
          <w:rFonts w:eastAsiaTheme="minorEastAsia"/>
        </w:rPr>
        <w:t xml:space="preserve">of </w:t>
      </w:r>
      <w:r w:rsidR="006C05F4">
        <w:rPr>
          <w:rFonts w:eastAsiaTheme="minorEastAsia"/>
        </w:rPr>
        <w:t xml:space="preserve">observation </w:t>
      </w:r>
      <w:proofErr w:type="spellStart"/>
      <w:r w:rsidR="00A94875" w:rsidRPr="00A94875">
        <w:rPr>
          <w:rFonts w:eastAsiaTheme="minorEastAsia"/>
          <w:i/>
          <w:iCs/>
        </w:rPr>
        <w:t>i</w:t>
      </w:r>
      <w:proofErr w:type="spellEnd"/>
      <w:r w:rsidR="00A94875">
        <w:rPr>
          <w:rFonts w:eastAsiaTheme="minorEastAsia"/>
        </w:rPr>
        <w:t>,</w:t>
      </w:r>
      <w:r w:rsidR="005D7904">
        <w:rPr>
          <w:rFonts w:eastAsiaTheme="minorEastAsia"/>
        </w:rPr>
        <w:t xml:space="preserve"> and</w:t>
      </w:r>
      <w:r w:rsidR="00A94875">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k[i]</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616CC9">
        <w:rPr>
          <w:rFonts w:eastAsiaTheme="minorEastAsia"/>
        </w:rPr>
        <w:t>.</w:t>
      </w:r>
      <w:r w:rsidR="00E94A31">
        <w:rPr>
          <w:rFonts w:eastAsiaTheme="minorEastAsia"/>
        </w:rPr>
        <w:t xml:space="preserve"> </w:t>
      </w:r>
    </w:p>
    <w:p w14:paraId="79994DD8" w14:textId="4799DA89" w:rsidR="0027139B" w:rsidRDefault="00133A4A" w:rsidP="009B4E9F">
      <w:pPr>
        <w:spacing w:after="0" w:line="480" w:lineRule="auto"/>
        <w:ind w:firstLine="720"/>
        <w:rPr>
          <w:rFonts w:eastAsiaTheme="minorEastAsia"/>
        </w:rPr>
      </w:pPr>
      <w:r>
        <w:rPr>
          <w:rFonts w:eastAsiaTheme="minorEastAsia"/>
        </w:rPr>
        <w:t xml:space="preserve">We specified a second model that included a random </w:t>
      </w:r>
      <w:r w:rsidR="00FA5AAC">
        <w:rPr>
          <w:rFonts w:eastAsiaTheme="minorEastAsia"/>
        </w:rPr>
        <w:t xml:space="preserve">effect that varied by </w:t>
      </w:r>
      <w:r w:rsidR="006B5F03">
        <w:rPr>
          <w:rFonts w:eastAsiaTheme="minorEastAsia"/>
        </w:rPr>
        <w:t xml:space="preserve">MU and </w:t>
      </w:r>
      <w:r>
        <w:rPr>
          <w:rFonts w:eastAsiaTheme="minorEastAsia"/>
        </w:rPr>
        <w:t>year</w:t>
      </w:r>
    </w:p>
    <w:p w14:paraId="71861D0A" w14:textId="5D464667" w:rsidR="00BE2CAE" w:rsidRDefault="00000000" w:rsidP="009B4E9F">
      <w:pPr>
        <w:spacing w:after="0" w:line="480" w:lineRule="auto"/>
        <w:jc w:val="cente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j×k[i]</m:t>
                </m:r>
              </m:sub>
            </m:sSub>
          </m:e>
        </m:d>
        <m:r>
          <w:rPr>
            <w:rFonts w:ascii="Cambria Math" w:hAnsi="Cambria Math"/>
          </w:rPr>
          <m:t xml:space="preserve">, </m:t>
        </m:r>
      </m:oMath>
      <w:r w:rsidR="00BE2CAE">
        <w:rPr>
          <w:rFonts w:eastAsiaTheme="minorEastAsia"/>
        </w:rPr>
        <w:tab/>
        <w:t>(</w:t>
      </w:r>
      <w:r w:rsidR="00082BB6">
        <w:rPr>
          <w:rFonts w:eastAsiaTheme="minorEastAsia"/>
        </w:rPr>
        <w:t>2</w:t>
      </w:r>
      <w:r w:rsidR="00BE2CAE">
        <w:rPr>
          <w:rFonts w:eastAsiaTheme="minorEastAsia"/>
        </w:rPr>
        <w:t>)</w:t>
      </w:r>
    </w:p>
    <w:p w14:paraId="26FBCB6E" w14:textId="1DDB9072" w:rsidR="00F53422" w:rsidRDefault="00843B61" w:rsidP="009466D2">
      <w:pPr>
        <w:spacing w:after="0" w:line="480" w:lineRule="auto"/>
        <w:rPr>
          <w:rFonts w:eastAsiaTheme="minorEastAsia"/>
        </w:rPr>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j×k[i]</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r w:rsidR="00F22D7B">
        <w:rPr>
          <w:rFonts w:eastAsiaTheme="minorEastAsia"/>
        </w:rPr>
        <w:t xml:space="preserve"> </w:t>
      </w:r>
      <w:r w:rsidR="004764E7">
        <w:rPr>
          <w:rFonts w:eastAsiaTheme="minorEastAsia"/>
        </w:rPr>
        <w:t>such that</w:t>
      </w:r>
      <w:r w:rsidR="00306A08">
        <w:t xml:space="preserve"> </w:t>
      </w:r>
      <w:r w:rsidR="00306A08">
        <w:rPr>
          <w:rFonts w:eastAsiaTheme="minorEastAsia"/>
        </w:rPr>
        <w:t xml:space="preserve">the random effect varied by year and MU. </w:t>
      </w:r>
      <w:r w:rsidR="00735AF0">
        <w:rPr>
          <w:rFonts w:eastAsiaTheme="minorEastAsia"/>
        </w:rPr>
        <w:t xml:space="preserve"> </w:t>
      </w:r>
      <w:r w:rsidR="00604F9B">
        <w:rPr>
          <w:rFonts w:eastAsiaTheme="minorEastAsia"/>
        </w:rPr>
        <w:t>W</w:t>
      </w:r>
      <w:r w:rsidR="00F53422">
        <w:rPr>
          <w:rFonts w:eastAsiaTheme="minorEastAsia"/>
        </w:rPr>
        <w:t xml:space="preserve">e </w:t>
      </w:r>
      <w:r w:rsidR="007030F2">
        <w:rPr>
          <w:rFonts w:eastAsiaTheme="minorEastAsia"/>
        </w:rPr>
        <w:t xml:space="preserve">developed </w:t>
      </w:r>
      <w:r w:rsidR="00D63C9F">
        <w:rPr>
          <w:rFonts w:eastAsiaTheme="minorEastAsia"/>
        </w:rPr>
        <w:t xml:space="preserve">generalized </w:t>
      </w:r>
      <w:r w:rsidR="00585C01">
        <w:rPr>
          <w:rFonts w:eastAsiaTheme="minorEastAsia"/>
        </w:rPr>
        <w:t xml:space="preserve">linear </w:t>
      </w:r>
      <w:r w:rsidR="00D63C9F">
        <w:rPr>
          <w:rFonts w:eastAsiaTheme="minorEastAsia"/>
        </w:rPr>
        <w:t>mixed model</w:t>
      </w:r>
      <w:r w:rsidR="00F44F89">
        <w:rPr>
          <w:rFonts w:eastAsiaTheme="minorEastAsia"/>
        </w:rPr>
        <w:t>s</w:t>
      </w:r>
      <w:r w:rsidR="00D63C9F">
        <w:rPr>
          <w:rFonts w:eastAsiaTheme="minorEastAsia"/>
        </w:rPr>
        <w:t xml:space="preserve"> for </w:t>
      </w:r>
      <w:r w:rsidR="00694893">
        <w:rPr>
          <w:rFonts w:eastAsiaTheme="minorEastAsia"/>
        </w:rPr>
        <w:t xml:space="preserve">PPB </w:t>
      </w:r>
      <w:r w:rsidR="00604F9B">
        <w:rPr>
          <w:rFonts w:eastAsiaTheme="minorEastAsia"/>
        </w:rPr>
        <w:t xml:space="preserve">that are similar in structure to equations 1 and 2, but </w:t>
      </w:r>
      <w:r w:rsidR="00F10C54">
        <w:rPr>
          <w:rFonts w:eastAsiaTheme="minorEastAsia"/>
        </w:rPr>
        <w:t xml:space="preserve">using a </w:t>
      </w:r>
      <w:r w:rsidR="00083081">
        <w:rPr>
          <w:rFonts w:eastAsiaTheme="minorEastAsia"/>
        </w:rPr>
        <w:t xml:space="preserve">gamma </w:t>
      </w:r>
      <w:r w:rsidR="00F10C54">
        <w:rPr>
          <w:rFonts w:eastAsiaTheme="minorEastAsia"/>
        </w:rPr>
        <w:t xml:space="preserve">distribution </w:t>
      </w:r>
      <w:r w:rsidR="00083081">
        <w:rPr>
          <w:rFonts w:eastAsiaTheme="minorEastAsia"/>
        </w:rPr>
        <w:t>with an inverse link function</w:t>
      </w:r>
      <w:r w:rsidR="008F220A">
        <w:rPr>
          <w:rFonts w:eastAsiaTheme="minorEastAsia"/>
        </w:rPr>
        <w:t>:</w:t>
      </w:r>
    </w:p>
    <w:p w14:paraId="39E301A1" w14:textId="0C8B68F1" w:rsidR="002C3EB6" w:rsidRDefault="00000000" w:rsidP="009B4E9F">
      <w:pPr>
        <w:spacing w:after="0" w:line="480" w:lineRule="auto"/>
        <w:ind w:firstLine="360"/>
        <w:jc w:val="center"/>
      </w:pPr>
      <m:oMath>
        <m:sSub>
          <m:sSubPr>
            <m:ctrlPr>
              <w:rPr>
                <w:rFonts w:ascii="Cambria Math" w:hAnsi="Cambria Math"/>
                <w:i/>
              </w:rPr>
            </m:ctrlPr>
          </m:sSubPr>
          <m:e>
            <m:r>
              <w:rPr>
                <w:rFonts w:ascii="Cambria Math" w:hAnsi="Cambria Math"/>
              </w:rPr>
              <m:t>PPB</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k[i]</m:t>
                    </m:r>
                  </m:sub>
                </m:sSub>
              </m:e>
            </m:d>
          </m:e>
          <m:sup>
            <m:r>
              <w:rPr>
                <w:rFonts w:ascii="Cambria Math" w:hAnsi="Cambria Math"/>
              </w:rPr>
              <m:t>-1</m:t>
            </m:r>
          </m:sup>
        </m:sSup>
        <m:r>
          <w:rPr>
            <w:rFonts w:ascii="Cambria Math" w:hAnsi="Cambria Math"/>
          </w:rPr>
          <m:t xml:space="preserve">  </m:t>
        </m:r>
      </m:oMath>
      <w:r w:rsidR="00790334">
        <w:rPr>
          <w:rFonts w:eastAsiaTheme="minorEastAsia"/>
        </w:rPr>
        <w:tab/>
      </w:r>
      <w:proofErr w:type="gramStart"/>
      <w:r w:rsidR="008F220A">
        <w:rPr>
          <w:rFonts w:eastAsiaTheme="minorEastAsia"/>
        </w:rPr>
        <w:t>and</w:t>
      </w:r>
      <w:r w:rsidR="007C0E8C">
        <w:rPr>
          <w:rFonts w:eastAsiaTheme="minorEastAsia"/>
        </w:rPr>
        <w:tab/>
      </w:r>
      <w:r w:rsidR="00FF711C">
        <w:rPr>
          <w:rFonts w:eastAsiaTheme="minorEastAsia"/>
        </w:rPr>
        <w:tab/>
      </w:r>
      <w:r w:rsidR="00790334">
        <w:rPr>
          <w:rFonts w:eastAsiaTheme="minorEastAsia"/>
        </w:rPr>
        <w:t>(</w:t>
      </w:r>
      <w:proofErr w:type="gramEnd"/>
      <w:r w:rsidR="00082BB6">
        <w:rPr>
          <w:rFonts w:eastAsiaTheme="minorEastAsia"/>
        </w:rPr>
        <w:t>3</w:t>
      </w:r>
      <w:r w:rsidR="00790334">
        <w:rPr>
          <w:rFonts w:eastAsiaTheme="minorEastAsia"/>
        </w:rPr>
        <w:t>)</w:t>
      </w:r>
    </w:p>
    <w:p w14:paraId="1899985C" w14:textId="50F4FB4C" w:rsidR="00444279" w:rsidRDefault="00000000" w:rsidP="006F6F91">
      <w:pPr>
        <w:spacing w:after="0" w:line="480" w:lineRule="auto"/>
        <w:ind w:firstLine="360"/>
        <w:jc w:val="center"/>
      </w:pPr>
      <m:oMath>
        <m:sSub>
          <m:sSubPr>
            <m:ctrlPr>
              <w:rPr>
                <w:rFonts w:ascii="Cambria Math" w:hAnsi="Cambria Math"/>
                <w:i/>
              </w:rPr>
            </m:ctrlPr>
          </m:sSubPr>
          <m:e>
            <m:r>
              <w:rPr>
                <w:rFonts w:ascii="Cambria Math" w:hAnsi="Cambria Math"/>
              </w:rPr>
              <m:t>PPB</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j×k[i]</m:t>
                    </m:r>
                  </m:sub>
                </m:sSub>
              </m:e>
            </m:d>
          </m:e>
          <m:sup>
            <m:r>
              <w:rPr>
                <w:rFonts w:ascii="Cambria Math" w:hAnsi="Cambria Math"/>
              </w:rPr>
              <m:t>-1</m:t>
            </m:r>
          </m:sup>
        </m:sSup>
        <m:r>
          <w:rPr>
            <w:rFonts w:ascii="Cambria Math" w:hAnsi="Cambria Math"/>
          </w:rPr>
          <m:t xml:space="preserve"> </m:t>
        </m:r>
      </m:oMath>
      <w:r w:rsidR="008F220A">
        <w:rPr>
          <w:rFonts w:eastAsiaTheme="minorEastAsia"/>
        </w:rPr>
        <w:t>.</w:t>
      </w:r>
      <w:r w:rsidR="007C0E8C">
        <w:rPr>
          <w:rFonts w:eastAsiaTheme="minorEastAsia"/>
        </w:rPr>
        <w:tab/>
      </w:r>
      <w:r w:rsidR="00FF711C">
        <w:rPr>
          <w:rFonts w:eastAsiaTheme="minorEastAsia"/>
        </w:rPr>
        <w:tab/>
      </w:r>
      <w:r w:rsidR="00444279">
        <w:rPr>
          <w:rFonts w:eastAsiaTheme="minorEastAsia"/>
        </w:rPr>
        <w:t>(4)</w:t>
      </w:r>
    </w:p>
    <w:p w14:paraId="18429B32" w14:textId="77777777" w:rsidR="00735AF0" w:rsidRDefault="00735AF0" w:rsidP="00735AF0">
      <w:pPr>
        <w:spacing w:after="0" w:line="480" w:lineRule="auto"/>
        <w:rPr>
          <w:rFonts w:eastAsiaTheme="minorEastAsia"/>
        </w:rPr>
      </w:pPr>
      <w:r>
        <w:rPr>
          <w:rFonts w:eastAsiaTheme="minorEastAsia"/>
        </w:rPr>
        <w:t>We note that other specifications of the random effects in equations 2 and 4 could be developed that address different temporal and spatial correlations over time and space that may be of interest; we used equations 2 and 4 simply to show that more complex models can be used to capture variation in the observations among MU and time.</w:t>
      </w:r>
    </w:p>
    <w:p w14:paraId="7AD67D28" w14:textId="0C5C9DCF" w:rsidR="004C287B" w:rsidRPr="00AA1E57" w:rsidRDefault="00FB5FB1" w:rsidP="009466D2">
      <w:pPr>
        <w:spacing w:after="0" w:line="480" w:lineRule="auto"/>
        <w:rPr>
          <w:rFonts w:eastAsiaTheme="minorEastAsia"/>
        </w:rPr>
      </w:pPr>
      <w:r>
        <w:tab/>
      </w:r>
      <w:r w:rsidR="00232ECD">
        <w:rPr>
          <w:rFonts w:eastAsiaTheme="minorEastAsia"/>
        </w:rPr>
        <w:t>W</w:t>
      </w:r>
      <w:r w:rsidR="00232ECD">
        <w:t xml:space="preserve">e used Akaike’s </w:t>
      </w:r>
      <w:r w:rsidR="00735AF0">
        <w:t>I</w:t>
      </w:r>
      <w:r w:rsidR="00232ECD">
        <w:t xml:space="preserve">nformation </w:t>
      </w:r>
      <w:r w:rsidR="00735AF0">
        <w:t>C</w:t>
      </w:r>
      <w:r w:rsidR="00232ECD">
        <w:t>riterion (AIC) to identify the</w:t>
      </w:r>
      <w:r w:rsidR="00604F9B">
        <w:t xml:space="preserve"> most</w:t>
      </w:r>
      <w:r w:rsidR="00232ECD">
        <w:t xml:space="preserve"> </w:t>
      </w:r>
      <w:r w:rsidR="002B154F">
        <w:t xml:space="preserve">parsimonious </w:t>
      </w:r>
      <w:r w:rsidR="00232ECD">
        <w:t xml:space="preserve">model </w:t>
      </w:r>
      <w:r w:rsidR="00AC3851">
        <w:t>f</w:t>
      </w:r>
      <w:r w:rsidR="00631FCB">
        <w:t xml:space="preserve">or </w:t>
      </w:r>
      <w:r w:rsidR="00AC3851">
        <w:t xml:space="preserve">each of </w:t>
      </w:r>
      <w:r w:rsidR="00B9560C">
        <w:t xml:space="preserve">the </w:t>
      </w:r>
      <w:r w:rsidR="00387204">
        <w:t>HWP</w:t>
      </w:r>
      <w:r w:rsidR="00B9560C">
        <w:t xml:space="preserve"> and PPB </w:t>
      </w:r>
      <w:r w:rsidR="002A5594">
        <w:t>model</w:t>
      </w:r>
      <w:r w:rsidR="00AC3851">
        <w:t xml:space="preserve"> </w:t>
      </w:r>
      <w:r w:rsidR="002A5594">
        <w:t>s</w:t>
      </w:r>
      <w:r w:rsidR="00AC3851">
        <w:t>ets</w:t>
      </w:r>
      <w:r w:rsidR="00A30159">
        <w:t>.</w:t>
      </w:r>
      <w:r w:rsidR="00207324">
        <w:t xml:space="preserve"> Models with ΔAIC &gt;</w:t>
      </w:r>
      <w:r w:rsidR="005E3219">
        <w:t>2</w:t>
      </w:r>
      <w:r w:rsidR="00207324">
        <w:t xml:space="preserve"> were not considered competitive (Burnham and Anderson 2002).</w:t>
      </w:r>
      <w:r w:rsidR="001A5321">
        <w:t xml:space="preserve"> The candidate model set </w:t>
      </w:r>
      <w:r w:rsidR="00B82967">
        <w:t>included models without</w:t>
      </w:r>
      <w:r w:rsidR="007F75C8">
        <w:t xml:space="preserve"> </w:t>
      </w:r>
      <w:r w:rsidR="00EF3A8C">
        <w:t xml:space="preserve">an </w:t>
      </w:r>
      <w:r w:rsidR="007F75C8">
        <w:t>effect</w:t>
      </w:r>
      <w:r w:rsidR="00AD7432">
        <w:t xml:space="preserve"> of DOY</w:t>
      </w:r>
      <w:r w:rsidR="007F75C8">
        <w:t xml:space="preserve">, </w:t>
      </w:r>
      <w:r w:rsidR="002A5594">
        <w:t xml:space="preserve">a linear </w:t>
      </w:r>
      <w:r w:rsidR="007F75C8">
        <w:t>effect</w:t>
      </w:r>
      <w:r w:rsidR="00AD7432">
        <w:t xml:space="preserve"> of DOY</w:t>
      </w:r>
      <w:r w:rsidR="007F75C8">
        <w:t xml:space="preserve">, </w:t>
      </w:r>
      <w:r w:rsidR="002A5594">
        <w:t xml:space="preserve">or </w:t>
      </w:r>
      <w:r w:rsidR="007F75C8">
        <w:t xml:space="preserve">a </w:t>
      </w:r>
      <w:r w:rsidR="002A5594">
        <w:t xml:space="preserve">quadratic effect of </w:t>
      </w:r>
      <w:r w:rsidR="008752D5">
        <w:t>DOY</w:t>
      </w:r>
      <w:r w:rsidR="002162B3">
        <w:t xml:space="preserve">; each of these DOY models was fit in combination with the </w:t>
      </w:r>
      <w:r w:rsidR="000355F4">
        <w:t xml:space="preserve">constant or </w:t>
      </w:r>
      <w:proofErr w:type="spellStart"/>
      <w:r w:rsidR="00051235">
        <w:t>MU×</w:t>
      </w:r>
      <w:r w:rsidR="000355F4">
        <w:t>year</w:t>
      </w:r>
      <w:proofErr w:type="spellEnd"/>
      <w:r w:rsidR="000355F4">
        <w:t xml:space="preserve"> random effect</w:t>
      </w:r>
      <w:r w:rsidR="002162B3">
        <w:t xml:space="preserve"> for MU</w:t>
      </w:r>
      <w:r w:rsidR="00B9560C">
        <w:t>.</w:t>
      </w:r>
      <w:r w:rsidR="00C04401" w:rsidRPr="00C04401">
        <w:rPr>
          <w:rFonts w:eastAsiaTheme="minorEastAsia"/>
        </w:rPr>
        <w:t xml:space="preserve"> </w:t>
      </w:r>
      <w:r w:rsidR="00C04401">
        <w:rPr>
          <w:rFonts w:eastAsiaTheme="minorEastAsia"/>
        </w:rPr>
        <w:t xml:space="preserve">We used Program R (R Core Team 2024) and the package </w:t>
      </w:r>
      <w:proofErr w:type="spellStart"/>
      <w:r w:rsidR="00C04401" w:rsidRPr="006F6F91">
        <w:rPr>
          <w:rFonts w:eastAsiaTheme="minorEastAsia"/>
          <w:i/>
        </w:rPr>
        <w:t>glmmTMB</w:t>
      </w:r>
      <w:proofErr w:type="spellEnd"/>
      <w:r w:rsidR="00C04401">
        <w:rPr>
          <w:rFonts w:eastAsiaTheme="minorEastAsia"/>
        </w:rPr>
        <w:t xml:space="preserve"> to </w:t>
      </w:r>
      <w:r w:rsidR="002162B3">
        <w:rPr>
          <w:rFonts w:eastAsiaTheme="minorEastAsia"/>
        </w:rPr>
        <w:t>fit</w:t>
      </w:r>
      <w:r w:rsidR="00C04401">
        <w:rPr>
          <w:rFonts w:eastAsiaTheme="minorEastAsia"/>
        </w:rPr>
        <w:t xml:space="preserve"> </w:t>
      </w:r>
      <w:r w:rsidR="00CA130E">
        <w:rPr>
          <w:rFonts w:eastAsiaTheme="minorEastAsia"/>
        </w:rPr>
        <w:t>all</w:t>
      </w:r>
      <w:r w:rsidR="00C04401">
        <w:rPr>
          <w:rFonts w:eastAsiaTheme="minorEastAsia"/>
        </w:rPr>
        <w:t xml:space="preserve"> models </w:t>
      </w:r>
      <w:r w:rsidR="002B56DD">
        <w:rPr>
          <w:rFonts w:eastAsiaTheme="minorEastAsia"/>
        </w:rPr>
        <w:t>using maximum likelihood estimation (REML = F</w:t>
      </w:r>
      <w:r w:rsidR="00931B6D">
        <w:rPr>
          <w:rFonts w:eastAsiaTheme="minorEastAsia"/>
        </w:rPr>
        <w:t xml:space="preserve">) because we compared models with different fixed effects using AIC </w:t>
      </w:r>
      <w:r w:rsidR="00C04401">
        <w:rPr>
          <w:rFonts w:eastAsiaTheme="minorEastAsia"/>
        </w:rPr>
        <w:t>(Brooks et al. 2017).</w:t>
      </w:r>
    </w:p>
    <w:p w14:paraId="6D30591E" w14:textId="581EC3C6" w:rsidR="00AF7BF2" w:rsidRDefault="00735AF0" w:rsidP="002162B3">
      <w:pPr>
        <w:spacing w:after="0" w:line="480" w:lineRule="auto"/>
        <w:ind w:firstLine="720"/>
      </w:pPr>
      <w:r>
        <w:lastRenderedPageBreak/>
        <w:t>Finally</w:t>
      </w:r>
      <w:r w:rsidR="00051235">
        <w:t>, we</w:t>
      </w:r>
      <w:r w:rsidR="00604F9B">
        <w:t xml:space="preserve"> used the</w:t>
      </w:r>
      <w:r w:rsidR="00051235">
        <w:t xml:space="preserve"> best</w:t>
      </w:r>
      <w:r w:rsidR="00604F9B">
        <w:t xml:space="preserve"> model</w:t>
      </w:r>
      <w:r w:rsidR="00051235">
        <w:t xml:space="preserve"> in the previous analysis</w:t>
      </w:r>
      <w:r w:rsidR="00604F9B">
        <w:t xml:space="preserve"> to assess whether excluding repeat observations changed inferences about HWP and PPB </w:t>
      </w:r>
      <w:r w:rsidR="002162B3">
        <w:t xml:space="preserve">using data from Ohio, Pennsylvania, and West Virginia. </w:t>
      </w:r>
      <w:r w:rsidR="001A0A95">
        <w:t>We</w:t>
      </w:r>
      <w:r w:rsidR="002162B3">
        <w:t xml:space="preserve"> fit these models</w:t>
      </w:r>
      <w:r w:rsidR="001A0A95">
        <w:t xml:space="preserve"> us</w:t>
      </w:r>
      <w:r w:rsidR="002162B3">
        <w:t>ing</w:t>
      </w:r>
      <w:r w:rsidR="001A0A95">
        <w:t xml:space="preserve"> data</w:t>
      </w:r>
      <w:r w:rsidR="00B17990">
        <w:t>sets</w:t>
      </w:r>
      <w:r w:rsidR="001A0A95">
        <w:t xml:space="preserve"> </w:t>
      </w:r>
      <w:r w:rsidR="00EB2C9F">
        <w:t xml:space="preserve">that included and excluded repeat observations and </w:t>
      </w:r>
      <w:r w:rsidR="00E92C3C">
        <w:t xml:space="preserve">examined how </w:t>
      </w:r>
      <w:r w:rsidR="00EB2C9F">
        <w:t xml:space="preserve">estimates of </w:t>
      </w:r>
      <w:r w:rsidR="00387204">
        <w:t>HWP</w:t>
      </w:r>
      <w:r w:rsidR="00EB2C9F">
        <w:t xml:space="preserve"> and PPB</w:t>
      </w:r>
      <w:r w:rsidR="00337A81">
        <w:t xml:space="preserve"> </w:t>
      </w:r>
      <w:r w:rsidR="00E92C3C">
        <w:t>changed</w:t>
      </w:r>
      <w:r w:rsidR="00337A81">
        <w:t xml:space="preserve">. </w:t>
      </w:r>
    </w:p>
    <w:p w14:paraId="7542FFA2" w14:textId="62E6AD86" w:rsidR="00390FA4" w:rsidRPr="009466D2" w:rsidRDefault="00390FA4" w:rsidP="006F6F91">
      <w:pPr>
        <w:spacing w:after="0" w:line="480" w:lineRule="auto"/>
        <w:rPr>
          <w:b/>
          <w:bCs/>
        </w:rPr>
      </w:pPr>
      <w:r w:rsidRPr="009466D2">
        <w:rPr>
          <w:b/>
          <w:bCs/>
        </w:rPr>
        <w:t>Multi-state analyses</w:t>
      </w:r>
      <w:r w:rsidR="00CE41D5" w:rsidRPr="009466D2">
        <w:rPr>
          <w:b/>
          <w:bCs/>
        </w:rPr>
        <w:tab/>
      </w:r>
    </w:p>
    <w:p w14:paraId="033F878B" w14:textId="6984430C" w:rsidR="00193138" w:rsidRDefault="0043071F" w:rsidP="00430A47">
      <w:pPr>
        <w:spacing w:after="0" w:line="480" w:lineRule="auto"/>
      </w:pPr>
      <w:r>
        <w:t>By including DOY</w:t>
      </w:r>
      <w:r w:rsidR="0014122A">
        <w:t xml:space="preserve"> in models of </w:t>
      </w:r>
      <w:r w:rsidR="00387204">
        <w:t>HWP</w:t>
      </w:r>
      <w:r w:rsidR="0014122A">
        <w:t xml:space="preserve"> or PPB</w:t>
      </w:r>
      <w:r w:rsidR="00851C73">
        <w:t xml:space="preserve"> </w:t>
      </w:r>
      <w:r w:rsidR="00FA5D7D">
        <w:t xml:space="preserve">we </w:t>
      </w:r>
      <w:r w:rsidR="00851C73">
        <w:t>account</w:t>
      </w:r>
      <w:r w:rsidR="00735AF0">
        <w:t>ed</w:t>
      </w:r>
      <w:r w:rsidR="00851C73">
        <w:t xml:space="preserve"> for the date that observations were collected</w:t>
      </w:r>
      <w:r w:rsidR="006C6B00">
        <w:t>,</w:t>
      </w:r>
      <w:r w:rsidR="0014122A">
        <w:t xml:space="preserve"> </w:t>
      </w:r>
      <w:r w:rsidR="00B27392">
        <w:t>s</w:t>
      </w:r>
      <w:r w:rsidR="006C6B00">
        <w:t>uch</w:t>
      </w:r>
      <w:r w:rsidR="00B27392">
        <w:t xml:space="preserve"> that </w:t>
      </w:r>
      <w:r w:rsidR="0014122A">
        <w:t xml:space="preserve">we </w:t>
      </w:r>
      <w:r w:rsidR="00096115">
        <w:t>could</w:t>
      </w:r>
      <w:r w:rsidR="0014122A">
        <w:t xml:space="preserve"> </w:t>
      </w:r>
      <w:r w:rsidR="00753317">
        <w:t>conduct multi-state analyses</w:t>
      </w:r>
      <w:r w:rsidR="00851C73">
        <w:t xml:space="preserve"> </w:t>
      </w:r>
      <w:r w:rsidR="00E03954">
        <w:t>when</w:t>
      </w:r>
      <w:r w:rsidR="00AE3B05">
        <w:t xml:space="preserve"> survey periods differ</w:t>
      </w:r>
      <w:r w:rsidR="00096115">
        <w:t>ed</w:t>
      </w:r>
      <w:r w:rsidR="00842215">
        <w:t xml:space="preserve"> </w:t>
      </w:r>
      <w:r w:rsidR="002237C3">
        <w:t>among states or changed over years</w:t>
      </w:r>
      <w:r w:rsidR="00AE3B05">
        <w:t xml:space="preserve">. </w:t>
      </w:r>
      <w:r w:rsidR="0002232C">
        <w:t xml:space="preserve">Furthermore, </w:t>
      </w:r>
      <w:r w:rsidR="0036537D">
        <w:t xml:space="preserve">MUs </w:t>
      </w:r>
      <w:r w:rsidR="002333D3">
        <w:t xml:space="preserve">may </w:t>
      </w:r>
      <w:r w:rsidR="0036537D">
        <w:t xml:space="preserve">have </w:t>
      </w:r>
      <w:r w:rsidR="002162B3">
        <w:t>variable</w:t>
      </w:r>
      <w:r w:rsidR="0036537D">
        <w:t xml:space="preserve"> sample sizes</w:t>
      </w:r>
      <w:r w:rsidR="002333D3">
        <w:t xml:space="preserve"> or missing data </w:t>
      </w:r>
      <w:r w:rsidR="000B4CEE">
        <w:t>among</w:t>
      </w:r>
      <w:r w:rsidR="002162B3">
        <w:t xml:space="preserve"> years; </w:t>
      </w:r>
      <w:r w:rsidR="00E1130C">
        <w:t>modeling</w:t>
      </w:r>
      <w:r w:rsidR="004D3A8E">
        <w:t xml:space="preserve"> variation among MUs as a random effect </w:t>
      </w:r>
      <w:r w:rsidR="00105A55">
        <w:t xml:space="preserve">still </w:t>
      </w:r>
      <w:r w:rsidR="0060519D">
        <w:t xml:space="preserve">permits </w:t>
      </w:r>
      <w:r w:rsidR="00105A55">
        <w:t>estimation</w:t>
      </w:r>
      <w:r w:rsidR="0060428C">
        <w:t xml:space="preserve"> of HWP or PPB </w:t>
      </w:r>
      <w:r w:rsidR="00E652AA">
        <w:t xml:space="preserve">when data </w:t>
      </w:r>
      <w:r w:rsidR="00207324">
        <w:t xml:space="preserve">at the MU scale </w:t>
      </w:r>
      <w:r w:rsidR="00E652AA">
        <w:t>are limited or lacking</w:t>
      </w:r>
      <w:r w:rsidR="00207324">
        <w:t xml:space="preserve"> (Schaub and Kery 2012)</w:t>
      </w:r>
      <w:r w:rsidR="0021578C">
        <w:t xml:space="preserve">. </w:t>
      </w:r>
      <w:r w:rsidR="00735AF0">
        <w:t>W</w:t>
      </w:r>
      <w:r w:rsidR="00735AF0">
        <w:rPr>
          <w:rFonts w:eastAsiaTheme="minorEastAsia"/>
        </w:rPr>
        <w:t xml:space="preserve">e </w:t>
      </w:r>
      <w:r w:rsidR="004179EF">
        <w:rPr>
          <w:rFonts w:eastAsiaTheme="minorEastAsia"/>
        </w:rPr>
        <w:t>chose</w:t>
      </w:r>
      <w:r w:rsidR="00735AF0">
        <w:rPr>
          <w:rFonts w:eastAsiaTheme="minorEastAsia"/>
        </w:rPr>
        <w:t xml:space="preserve"> 3 states to illustrate the benefits of the modeling approach, but one could extend it to all states conducting sighting surveys. </w:t>
      </w:r>
      <w:r w:rsidR="00735AF0">
        <w:t>W</w:t>
      </w:r>
      <w:r w:rsidR="0021578C">
        <w:t xml:space="preserve">e </w:t>
      </w:r>
      <w:r w:rsidR="008F0F8A">
        <w:t xml:space="preserve">modeled </w:t>
      </w:r>
      <w:r w:rsidR="00387204">
        <w:t>HWP</w:t>
      </w:r>
      <w:r w:rsidR="008F0F8A">
        <w:t xml:space="preserve"> </w:t>
      </w:r>
      <w:r w:rsidR="00296DDB">
        <w:t>for</w:t>
      </w:r>
      <w:r w:rsidR="003272F4">
        <w:t xml:space="preserve"> </w:t>
      </w:r>
      <w:r w:rsidR="00051235">
        <w:t xml:space="preserve">the 3 </w:t>
      </w:r>
      <w:r w:rsidR="003272F4" w:rsidRPr="003272F4">
        <w:t>conterminous</w:t>
      </w:r>
      <w:r w:rsidR="003272F4">
        <w:t xml:space="preserve"> states</w:t>
      </w:r>
      <w:r w:rsidR="00051235">
        <w:t xml:space="preserve"> of</w:t>
      </w:r>
      <w:r w:rsidR="00296DDB">
        <w:t xml:space="preserve"> New Jersey, New York, and Pennsylvania</w:t>
      </w:r>
      <w:r w:rsidR="0070588A">
        <w:t>, 2011–2023</w:t>
      </w:r>
      <w:r w:rsidR="00051235">
        <w:t xml:space="preserve">. </w:t>
      </w:r>
      <w:r w:rsidR="00735AF0">
        <w:t>S</w:t>
      </w:r>
      <w:r w:rsidR="00611BDE">
        <w:t>urvey periods differed among states (New Jersey</w:t>
      </w:r>
      <w:r w:rsidR="001E580F">
        <w:t>, Jun–Sep; New York</w:t>
      </w:r>
      <w:r w:rsidR="00D15240">
        <w:t>, Aug; Pennsylvania, Jul–Aug)</w:t>
      </w:r>
      <w:r w:rsidR="00735AF0">
        <w:t>;</w:t>
      </w:r>
      <w:r w:rsidR="00D15240">
        <w:t xml:space="preserve"> New Jersey lacked data for 2020</w:t>
      </w:r>
      <w:r w:rsidR="00394B93">
        <w:t>–</w:t>
      </w:r>
      <w:r w:rsidR="00D15240">
        <w:t>2021</w:t>
      </w:r>
      <w:r w:rsidR="00735AF0">
        <w:t>;</w:t>
      </w:r>
      <w:r w:rsidR="00710528">
        <w:t xml:space="preserve"> and Pennsylvania lacked data for</w:t>
      </w:r>
      <w:r w:rsidR="00412BA9">
        <w:t xml:space="preserve"> 2011–2</w:t>
      </w:r>
      <w:r w:rsidR="002D7B3B">
        <w:t>01</w:t>
      </w:r>
      <w:r w:rsidR="00E15A08">
        <w:t>6</w:t>
      </w:r>
      <w:r w:rsidR="002162B3">
        <w:t xml:space="preserve">. </w:t>
      </w:r>
      <w:r w:rsidR="00D24461">
        <w:t>The model was formulated as</w:t>
      </w:r>
    </w:p>
    <w:p w14:paraId="5C4A9A04" w14:textId="03A32F8F" w:rsidR="00DB7B8A" w:rsidRDefault="00000000" w:rsidP="00833D2A">
      <w:pPr>
        <w:spacing w:line="480" w:lineRule="auto"/>
        <w:jc w:val="cente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d>
                      <m:dPr>
                        <m:begChr m:val="["/>
                        <m:endChr m:val="]"/>
                        <m:ctrlPr>
                          <w:rPr>
                            <w:rFonts w:ascii="Cambria Math" w:hAnsi="Cambria Math"/>
                            <w:i/>
                          </w:rPr>
                        </m:ctrlPr>
                      </m:dPr>
                      <m:e>
                        <m:r>
                          <w:rPr>
                            <w:rFonts w:ascii="Cambria Math" w:hAnsi="Cambria Math"/>
                          </w:rPr>
                          <m:t>i</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1,s[i]</m:t>
                        </m:r>
                      </m:sub>
                    </m:sSub>
                  </m:e>
                </m:d>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 xml:space="preserve">+ </m:t>
                </m:r>
              </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2,s[i]</m:t>
                        </m:r>
                      </m:sub>
                    </m:sSub>
                  </m:e>
                </m:d>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k[i]</m:t>
                    </m:r>
                  </m:sub>
                </m:sSub>
              </m:e>
            </m:eqArr>
          </m:e>
        </m:d>
        <m:r>
          <w:rPr>
            <w:rFonts w:ascii="Cambria Math" w:hAnsi="Cambria Math"/>
          </w:rPr>
          <m:t xml:space="preserve">, </m:t>
        </m:r>
      </m:oMath>
      <w:r w:rsidR="0074700F">
        <w:rPr>
          <w:rFonts w:eastAsiaTheme="minorEastAsia"/>
        </w:rPr>
        <w:tab/>
      </w:r>
      <w:r w:rsidR="000D723D">
        <w:rPr>
          <w:rFonts w:eastAsiaTheme="minorEastAsia"/>
        </w:rPr>
        <w:tab/>
      </w:r>
      <w:r w:rsidR="00DB7B8A">
        <w:rPr>
          <w:rFonts w:eastAsiaTheme="minorEastAsia"/>
        </w:rPr>
        <w:t>(</w:t>
      </w:r>
      <w:r w:rsidR="00A8601B">
        <w:rPr>
          <w:rFonts w:eastAsiaTheme="minorEastAsia"/>
        </w:rPr>
        <w:t>5</w:t>
      </w:r>
      <w:r w:rsidR="00DB7B8A">
        <w:rPr>
          <w:rFonts w:eastAsiaTheme="minorEastAsia"/>
        </w:rPr>
        <w:t>)</w:t>
      </w:r>
    </w:p>
    <w:p w14:paraId="35038450" w14:textId="120D2583" w:rsidR="00DB7B8A" w:rsidRDefault="002162B3" w:rsidP="00243129">
      <w:pPr>
        <w:spacing w:after="0" w:line="480" w:lineRule="auto"/>
        <w:rPr>
          <w:rFonts w:eastAsiaTheme="minorEastAsia"/>
        </w:rPr>
      </w:pPr>
      <w:r>
        <w:t xml:space="preserve">in which the notation follows equation 1, with the addition of </w:t>
      </w:r>
      <w:r w:rsidR="00676B6E" w:rsidRPr="00FC094F">
        <w:rPr>
          <w:rFonts w:eastAsiaTheme="minorEastAsia"/>
          <w:i/>
          <w:iCs/>
        </w:rPr>
        <w:t>s</w:t>
      </w:r>
      <w:r w:rsidRPr="009466D2">
        <w:rPr>
          <w:rFonts w:eastAsiaTheme="minorEastAsia"/>
        </w:rPr>
        <w:t>[</w:t>
      </w:r>
      <w:proofErr w:type="spellStart"/>
      <w:r w:rsidRPr="002162B3">
        <w:rPr>
          <w:rFonts w:eastAsiaTheme="minorEastAsia"/>
          <w:i/>
          <w:iCs/>
        </w:rPr>
        <w:t>i</w:t>
      </w:r>
      <w:proofErr w:type="spellEnd"/>
      <w:r w:rsidRPr="009466D2">
        <w:rPr>
          <w:rFonts w:eastAsiaTheme="minorEastAsia"/>
        </w:rPr>
        <w:t>]</w:t>
      </w:r>
      <w:r w:rsidR="00D24461">
        <w:rPr>
          <w:rFonts w:eastAsiaTheme="minorEastAsia"/>
        </w:rPr>
        <w:t>, which indexe</w:t>
      </w:r>
      <w:r w:rsidR="00735AF0">
        <w:rPr>
          <w:rFonts w:eastAsiaTheme="minorEastAsia"/>
        </w:rPr>
        <w:t>d</w:t>
      </w:r>
      <w:r w:rsidR="00D24461">
        <w:rPr>
          <w:rFonts w:eastAsiaTheme="minorEastAsia"/>
        </w:rPr>
        <w:t xml:space="preserve"> </w:t>
      </w:r>
      <w:r>
        <w:rPr>
          <w:rFonts w:eastAsiaTheme="minorEastAsia"/>
        </w:rPr>
        <w:t xml:space="preserve">the </w:t>
      </w:r>
      <w:r w:rsidR="00676B6E">
        <w:rPr>
          <w:rFonts w:eastAsiaTheme="minorEastAsia"/>
        </w:rPr>
        <w:t>stat</w:t>
      </w:r>
      <w:r w:rsidR="00FC094F">
        <w:rPr>
          <w:rFonts w:eastAsiaTheme="minorEastAsia"/>
        </w:rPr>
        <w:t>e</w:t>
      </w:r>
      <w:r>
        <w:rPr>
          <w:rFonts w:eastAsiaTheme="minorEastAsia"/>
        </w:rPr>
        <w:t xml:space="preserve"> for observation </w:t>
      </w:r>
      <w:proofErr w:type="spellStart"/>
      <w:r w:rsidRPr="009466D2">
        <w:rPr>
          <w:rFonts w:eastAsiaTheme="minorEastAsia"/>
          <w:i/>
          <w:iCs/>
        </w:rPr>
        <w:t>i</w:t>
      </w:r>
      <w:proofErr w:type="spellEnd"/>
      <w:r w:rsidR="00FC094F">
        <w:rPr>
          <w:rFonts w:eastAsiaTheme="minorEastAsia"/>
        </w:rPr>
        <w:t>,</w:t>
      </w:r>
      <w:r w:rsidR="003F7E4E">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1,s[i]</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δ1</m:t>
                </m:r>
              </m:sub>
              <m:sup>
                <m:r>
                  <w:rPr>
                    <w:rFonts w:ascii="Cambria Math" w:hAnsi="Cambria Math"/>
                  </w:rPr>
                  <m:t>2</m:t>
                </m:r>
              </m:sup>
            </m:sSubSup>
          </m:e>
        </m:d>
      </m:oMath>
      <w:r w:rsidR="00B700F7">
        <w:rPr>
          <w:rFonts w:eastAsiaTheme="minorEastAsia"/>
        </w:rPr>
        <w:t xml:space="preserve">, </w:t>
      </w:r>
      <w:r>
        <w:rPr>
          <w:rFonts w:eastAsiaTheme="minorEastAsia"/>
        </w:rPr>
        <w:t xml:space="preserve">and </w:t>
      </w:r>
      <m:oMath>
        <m:sSub>
          <m:sSubPr>
            <m:ctrlPr>
              <w:rPr>
                <w:rFonts w:ascii="Cambria Math" w:hAnsi="Cambria Math"/>
                <w:i/>
              </w:rPr>
            </m:ctrlPr>
          </m:sSubPr>
          <m:e>
            <m:r>
              <w:rPr>
                <w:rFonts w:ascii="Cambria Math" w:hAnsi="Cambria Math"/>
              </w:rPr>
              <m:t>δ</m:t>
            </m:r>
          </m:e>
          <m:sub>
            <m:r>
              <w:rPr>
                <w:rFonts w:ascii="Cambria Math" w:hAnsi="Cambria Math"/>
              </w:rPr>
              <m:t>2,s[i]</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δ2</m:t>
                </m:r>
              </m:sub>
              <m:sup>
                <m:r>
                  <w:rPr>
                    <w:rFonts w:ascii="Cambria Math" w:hAnsi="Cambria Math"/>
                  </w:rPr>
                  <m:t>2</m:t>
                </m:r>
              </m:sup>
            </m:sSubSup>
          </m:e>
        </m:d>
      </m:oMath>
      <w:r w:rsidR="003F7E4E">
        <w:rPr>
          <w:rFonts w:eastAsiaTheme="minorEastAsia"/>
        </w:rPr>
        <w:t xml:space="preserve">. </w:t>
      </w:r>
      <w:r w:rsidR="0048617B">
        <w:rPr>
          <w:rFonts w:eastAsiaTheme="minorEastAsia"/>
        </w:rPr>
        <w:t xml:space="preserve">The </w:t>
      </w:r>
      <m:oMath>
        <m:sSub>
          <m:sSubPr>
            <m:ctrlPr>
              <w:rPr>
                <w:rFonts w:ascii="Cambria Math" w:hAnsi="Cambria Math"/>
                <w:i/>
              </w:rPr>
            </m:ctrlPr>
          </m:sSubPr>
          <m:e>
            <m:r>
              <w:rPr>
                <w:rFonts w:ascii="Cambria Math" w:hAnsi="Cambria Math"/>
              </w:rPr>
              <m:t>δ</m:t>
            </m:r>
          </m:e>
          <m:sub>
            <m:r>
              <w:rPr>
                <w:rFonts w:ascii="Cambria Math" w:hAnsi="Cambria Math"/>
              </w:rPr>
              <m:t>1,s</m:t>
            </m:r>
          </m:sub>
        </m:sSub>
      </m:oMath>
      <w:r w:rsidR="0048617B">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2,s</m:t>
            </m:r>
          </m:sub>
        </m:sSub>
      </m:oMath>
      <w:r w:rsidR="0048617B">
        <w:rPr>
          <w:rFonts w:eastAsiaTheme="minorEastAsia"/>
        </w:rPr>
        <w:t xml:space="preserve"> were </w:t>
      </w:r>
      <w:r w:rsidR="0096175B">
        <w:rPr>
          <w:rFonts w:eastAsiaTheme="minorEastAsia"/>
        </w:rPr>
        <w:t xml:space="preserve">random </w:t>
      </w:r>
      <w:r w:rsidR="00D24461">
        <w:rPr>
          <w:rFonts w:eastAsiaTheme="minorEastAsia"/>
        </w:rPr>
        <w:t xml:space="preserve">slope </w:t>
      </w:r>
      <w:r w:rsidR="0096175B">
        <w:rPr>
          <w:rFonts w:eastAsiaTheme="minorEastAsia"/>
        </w:rPr>
        <w:t xml:space="preserve">effects </w:t>
      </w:r>
      <w:r w:rsidR="00F32A8B">
        <w:rPr>
          <w:rFonts w:eastAsiaTheme="minorEastAsia"/>
        </w:rPr>
        <w:t xml:space="preserve">on the coefficients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F32A8B">
        <w:rPr>
          <w:rFonts w:eastAsiaTheme="minorEastAsia"/>
        </w:rPr>
        <w:t xml:space="preserve"> and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F32A8B">
        <w:rPr>
          <w:rFonts w:eastAsiaTheme="minorEastAsia"/>
        </w:rPr>
        <w:t xml:space="preserve"> </w:t>
      </w:r>
      <w:r w:rsidR="0096175B">
        <w:rPr>
          <w:rFonts w:eastAsiaTheme="minorEastAsia"/>
        </w:rPr>
        <w:t>for DOY and DOY</w:t>
      </w:r>
      <w:r w:rsidR="0096175B" w:rsidRPr="009466D2">
        <w:rPr>
          <w:rFonts w:eastAsiaTheme="minorEastAsia"/>
          <w:vertAlign w:val="superscript"/>
        </w:rPr>
        <w:t>2</w:t>
      </w:r>
      <w:r w:rsidR="0096175B">
        <w:rPr>
          <w:rFonts w:eastAsiaTheme="minorEastAsia"/>
        </w:rPr>
        <w:t>, respectively</w:t>
      </w:r>
      <w:r w:rsidR="00D3201F">
        <w:rPr>
          <w:rFonts w:eastAsiaTheme="minorEastAsia"/>
        </w:rPr>
        <w:t>, which allowed us to estimate</w:t>
      </w:r>
      <w:r w:rsidR="00223DB6">
        <w:rPr>
          <w:rFonts w:eastAsiaTheme="minorEastAsia"/>
        </w:rPr>
        <w:t xml:space="preserve"> state-specific relationships with DOY</w:t>
      </w:r>
      <w:r w:rsidR="0096175B">
        <w:rPr>
          <w:rFonts w:eastAsiaTheme="minorEastAsia"/>
        </w:rPr>
        <w:t xml:space="preserve">. </w:t>
      </w:r>
      <w:r w:rsidR="003272F4">
        <w:rPr>
          <w:rFonts w:eastAsiaTheme="minorEastAsia"/>
        </w:rPr>
        <w:t xml:space="preserve"> </w:t>
      </w:r>
    </w:p>
    <w:p w14:paraId="00924058" w14:textId="6B8AA254" w:rsidR="00A25753" w:rsidRPr="009466D2" w:rsidRDefault="00510607" w:rsidP="00243129">
      <w:pPr>
        <w:spacing w:after="0" w:line="480" w:lineRule="auto"/>
        <w:rPr>
          <w:b/>
          <w:bCs/>
        </w:rPr>
      </w:pPr>
      <w:r w:rsidRPr="009466D2">
        <w:rPr>
          <w:b/>
          <w:bCs/>
        </w:rPr>
        <w:t xml:space="preserve">Detecting </w:t>
      </w:r>
      <w:r w:rsidR="00D24461">
        <w:rPr>
          <w:b/>
          <w:bCs/>
        </w:rPr>
        <w:t>annual</w:t>
      </w:r>
      <w:r w:rsidR="00D24461" w:rsidRPr="009466D2">
        <w:rPr>
          <w:b/>
          <w:bCs/>
        </w:rPr>
        <w:t xml:space="preserve"> </w:t>
      </w:r>
      <w:r w:rsidR="00E8420F" w:rsidRPr="009466D2">
        <w:rPr>
          <w:b/>
          <w:bCs/>
        </w:rPr>
        <w:t xml:space="preserve">and spatial </w:t>
      </w:r>
      <w:r w:rsidRPr="009466D2">
        <w:rPr>
          <w:b/>
          <w:bCs/>
        </w:rPr>
        <w:t>trends</w:t>
      </w:r>
      <w:r w:rsidR="00A25753" w:rsidRPr="009466D2">
        <w:rPr>
          <w:b/>
          <w:bCs/>
        </w:rPr>
        <w:t xml:space="preserve"> in </w:t>
      </w:r>
      <w:r w:rsidR="00AC0ADC" w:rsidRPr="009466D2">
        <w:rPr>
          <w:b/>
          <w:bCs/>
        </w:rPr>
        <w:t>productivity</w:t>
      </w:r>
    </w:p>
    <w:p w14:paraId="5AC815FE" w14:textId="1D64D9A0" w:rsidR="00A8601B" w:rsidRDefault="00F22039" w:rsidP="00243129">
      <w:pPr>
        <w:spacing w:after="0" w:line="480" w:lineRule="auto"/>
      </w:pPr>
      <w:r>
        <w:lastRenderedPageBreak/>
        <w:t xml:space="preserve">If </w:t>
      </w:r>
      <w:proofErr w:type="gramStart"/>
      <w:r>
        <w:t>timing</w:t>
      </w:r>
      <w:proofErr w:type="gramEnd"/>
      <w:r>
        <w:t xml:space="preserve"> of survey</w:t>
      </w:r>
      <w:r w:rsidR="00844700">
        <w:t xml:space="preserve"> periods </w:t>
      </w:r>
      <w:r w:rsidR="003B0676">
        <w:t>change</w:t>
      </w:r>
      <w:r w:rsidR="00D24461">
        <w:t>s</w:t>
      </w:r>
      <w:r w:rsidR="00851C73">
        <w:t xml:space="preserve"> over time</w:t>
      </w:r>
      <w:r w:rsidR="003B0676">
        <w:t xml:space="preserve">, then inferences about trends in </w:t>
      </w:r>
      <w:r w:rsidR="00A12ADB">
        <w:t>productivity</w:t>
      </w:r>
      <w:r w:rsidR="00D24461">
        <w:t xml:space="preserve"> </w:t>
      </w:r>
      <w:r w:rsidR="006C0743">
        <w:t xml:space="preserve">could be confounded with dates that observations were collected. </w:t>
      </w:r>
      <w:r w:rsidR="00685E42">
        <w:t>For each state, w</w:t>
      </w:r>
      <w:r w:rsidR="00355527">
        <w:t xml:space="preserve">e </w:t>
      </w:r>
      <w:r w:rsidR="00A56142">
        <w:t>developed</w:t>
      </w:r>
      <w:r w:rsidR="00355527">
        <w:t xml:space="preserve"> a generalized linear mixed-effect model that </w:t>
      </w:r>
      <w:r w:rsidR="00C7383C">
        <w:t>account</w:t>
      </w:r>
      <w:r w:rsidR="00656763">
        <w:t>ed</w:t>
      </w:r>
      <w:r w:rsidR="00C7383C">
        <w:t xml:space="preserve"> for dates when observations were collected</w:t>
      </w:r>
      <w:r w:rsidR="00E82E27">
        <w:t xml:space="preserve"> </w:t>
      </w:r>
      <w:r w:rsidR="00656763">
        <w:t xml:space="preserve">to </w:t>
      </w:r>
      <w:r w:rsidR="00850379">
        <w:t>estimat</w:t>
      </w:r>
      <w:r w:rsidR="00656763">
        <w:t>e</w:t>
      </w:r>
      <w:r w:rsidR="00850379">
        <w:t xml:space="preserve"> </w:t>
      </w:r>
      <w:r w:rsidR="00E82E27">
        <w:t>a</w:t>
      </w:r>
      <w:r w:rsidR="00D24461">
        <w:t>n annual</w:t>
      </w:r>
      <w:r w:rsidR="00E82E27">
        <w:t xml:space="preserve"> trend over time</w:t>
      </w:r>
      <w:r w:rsidR="00A8601B">
        <w:t>.</w:t>
      </w:r>
      <w:r w:rsidR="00E82E27">
        <w:t xml:space="preserve"> </w:t>
      </w:r>
      <w:r w:rsidR="00465953">
        <w:t xml:space="preserve">We illustrate this type of analysis using </w:t>
      </w:r>
      <w:r w:rsidR="00387204">
        <w:t>HWP</w:t>
      </w:r>
      <w:r w:rsidR="00E82E27">
        <w:t xml:space="preserve"> </w:t>
      </w:r>
      <w:r w:rsidR="00465953">
        <w:t xml:space="preserve">where we </w:t>
      </w:r>
      <w:r w:rsidR="00E82E27">
        <w:t xml:space="preserve">propose </w:t>
      </w:r>
      <w:r w:rsidR="00D24461">
        <w:t>a modification of equation 1 in which Year is treated as a continuous, as opposed to a categorical, variable</w:t>
      </w:r>
      <w:r w:rsidR="004A54F2">
        <w:t>:</w:t>
      </w:r>
    </w:p>
    <w:p w14:paraId="2FB9E1D9" w14:textId="0A6F42AC" w:rsidR="00A8601B" w:rsidRDefault="00000000" w:rsidP="00833D2A">
      <w:pPr>
        <w:spacing w:line="480" w:lineRule="auto"/>
        <w:jc w:val="cente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1,j[i]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2,k[i]</m:t>
                </m:r>
              </m:sub>
            </m:sSub>
          </m:e>
        </m:d>
        <m:r>
          <w:rPr>
            <w:rFonts w:ascii="Cambria Math" w:hAnsi="Cambria Math"/>
          </w:rPr>
          <m:t>,</m:t>
        </m:r>
      </m:oMath>
      <w:r w:rsidR="00F4638B">
        <w:rPr>
          <w:rFonts w:eastAsiaTheme="minorEastAsia"/>
        </w:rPr>
        <w:t xml:space="preserve">   </w:t>
      </w:r>
      <w:r w:rsidR="00A8601B">
        <w:rPr>
          <w:rFonts w:eastAsiaTheme="minorEastAsia"/>
        </w:rPr>
        <w:t>(6)</w:t>
      </w:r>
    </w:p>
    <w:p w14:paraId="0596ABFC" w14:textId="4E76EB90" w:rsidR="00676974" w:rsidRDefault="00D24461" w:rsidP="00515A09">
      <w:pPr>
        <w:spacing w:after="0" w:line="480" w:lineRule="auto"/>
      </w:pPr>
      <w:r>
        <w:rPr>
          <w:rFonts w:eastAsiaTheme="minorEastAsia"/>
        </w:rPr>
        <w:t>where</w:t>
      </w:r>
      <w:r w:rsidR="00EA711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AE5A36">
        <w:rPr>
          <w:rFonts w:eastAsiaTheme="minorEastAsia"/>
        </w:rPr>
        <w:t xml:space="preserve"> </w:t>
      </w:r>
      <w:r w:rsidR="00277F07">
        <w:t xml:space="preserve">is </w:t>
      </w:r>
      <w:r w:rsidR="00A3511F">
        <w:t>the</w:t>
      </w:r>
      <w:r w:rsidR="00826675">
        <w:t xml:space="preserve"> slope parameter </w:t>
      </w:r>
      <w:r w:rsidR="003D239B">
        <w:t>of the change in HWP by year</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1,j[i]</m:t>
            </m:r>
          </m:sub>
        </m:sSub>
      </m:oMath>
      <w:r w:rsidR="006B1269">
        <w:rPr>
          <w:rFonts w:eastAsiaTheme="minorEastAsia"/>
        </w:rPr>
        <w:t xml:space="preserve"> ~ </w:t>
      </w:r>
      <w:r w:rsidR="006B1269" w:rsidRPr="006B1269">
        <w:rPr>
          <w:rFonts w:eastAsiaTheme="minorEastAsia"/>
          <w:i/>
          <w:iCs/>
        </w:rPr>
        <w:t>N</w:t>
      </w:r>
      <w:r w:rsidR="006B1269">
        <w:rPr>
          <w:rFonts w:eastAsiaTheme="minorEastAsia"/>
        </w:rPr>
        <w:t>(0,</w:t>
      </w:r>
      <w:r w:rsidR="006B1269" w:rsidRPr="0089591D">
        <w:rPr>
          <w:rFonts w:ascii="Cambria Math" w:hAnsi="Cambria Math"/>
          <w:i/>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τ1</m:t>
            </m:r>
          </m:sub>
          <m:sup>
            <m:r>
              <w:rPr>
                <w:rFonts w:ascii="Cambria Math" w:hAnsi="Cambria Math"/>
              </w:rPr>
              <m:t>2</m:t>
            </m:r>
          </m:sup>
        </m:sSubSup>
      </m:oMath>
      <w:r w:rsidR="006B1269">
        <w:rPr>
          <w:rFonts w:eastAsiaTheme="minorEastAsia"/>
        </w:rPr>
        <w:t>)</w:t>
      </w:r>
      <w:r w:rsidR="008613F6">
        <w:rPr>
          <w:rFonts w:eastAsiaTheme="minorEastAsia"/>
        </w:rPr>
        <w:t xml:space="preserve"> is a </w:t>
      </w:r>
      <w:r w:rsidR="009A4499">
        <w:rPr>
          <w:rFonts w:eastAsiaTheme="minorEastAsia"/>
        </w:rPr>
        <w:t>year</w:t>
      </w:r>
      <w:r w:rsidR="008613F6">
        <w:rPr>
          <w:rFonts w:eastAsiaTheme="minorEastAsia"/>
        </w:rPr>
        <w:t>-specific random effect</w:t>
      </w:r>
      <w:r w:rsidR="00735AF0">
        <w:rPr>
          <w:rFonts w:eastAsiaTheme="minorEastAsia"/>
        </w:rPr>
        <w:t>,</w:t>
      </w:r>
      <w:r w:rsidR="008836AC">
        <w:rPr>
          <w:rFonts w:eastAsiaTheme="minorEastAsia"/>
        </w:rPr>
        <w:t xml:space="preserve"> and </w:t>
      </w:r>
      <m:oMath>
        <m:sSub>
          <m:sSubPr>
            <m:ctrlPr>
              <w:rPr>
                <w:rFonts w:ascii="Cambria Math" w:hAnsi="Cambria Math"/>
                <w:i/>
              </w:rPr>
            </m:ctrlPr>
          </m:sSubPr>
          <m:e>
            <m:r>
              <w:rPr>
                <w:rFonts w:ascii="Cambria Math" w:hAnsi="Cambria Math"/>
              </w:rPr>
              <m:t>τ</m:t>
            </m:r>
          </m:e>
          <m:sub>
            <m:r>
              <w:rPr>
                <w:rFonts w:ascii="Cambria Math" w:hAnsi="Cambria Math"/>
              </w:rPr>
              <m:t>2,k[i]</m:t>
            </m:r>
          </m:sub>
        </m:sSub>
      </m:oMath>
      <w:r w:rsidR="008836AC">
        <w:rPr>
          <w:rFonts w:eastAsiaTheme="minorEastAsia"/>
        </w:rPr>
        <w:t xml:space="preserve"> ~ </w:t>
      </w:r>
      <w:r w:rsidR="008836AC" w:rsidRPr="006B1269">
        <w:rPr>
          <w:rFonts w:eastAsiaTheme="minorEastAsia"/>
          <w:i/>
          <w:iCs/>
        </w:rPr>
        <w:t>N</w:t>
      </w:r>
      <w:r w:rsidR="008836AC">
        <w:rPr>
          <w:rFonts w:eastAsiaTheme="minorEastAsia"/>
        </w:rPr>
        <w:t>(0,</w:t>
      </w:r>
      <w:r w:rsidRPr="00D24461">
        <w:rPr>
          <w:rFonts w:ascii="Cambria Math" w:hAnsi="Cambria Math"/>
          <w:i/>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τ2</m:t>
            </m:r>
          </m:sub>
          <m:sup>
            <m:r>
              <w:rPr>
                <w:rFonts w:ascii="Cambria Math" w:hAnsi="Cambria Math"/>
              </w:rPr>
              <m:t>2</m:t>
            </m:r>
          </m:sup>
        </m:sSubSup>
      </m:oMath>
      <w:r w:rsidR="008836AC">
        <w:rPr>
          <w:rFonts w:eastAsiaTheme="minorEastAsia"/>
        </w:rPr>
        <w:t>)</w:t>
      </w:r>
      <w:r w:rsidR="000761DD">
        <w:rPr>
          <w:rFonts w:eastAsiaTheme="minorEastAsia"/>
        </w:rPr>
        <w:t xml:space="preserve"> is a MU-specific random effect</w:t>
      </w:r>
      <w:r w:rsidR="00A56CC6">
        <w:rPr>
          <w:rFonts w:eastAsiaTheme="minorEastAsia"/>
        </w:rPr>
        <w:t xml:space="preserve">. </w:t>
      </w:r>
      <w:r>
        <w:rPr>
          <w:rFonts w:eastAsiaTheme="minorEastAsia"/>
        </w:rPr>
        <w:t>Note that this model does not include state-level variation in the effect of DOY</w:t>
      </w:r>
      <w:r w:rsidR="008A4A02">
        <w:rPr>
          <w:rFonts w:eastAsiaTheme="minorEastAsia"/>
        </w:rPr>
        <w:t xml:space="preserve"> (equation 5)</w:t>
      </w:r>
      <w:r>
        <w:rPr>
          <w:rFonts w:eastAsiaTheme="minorEastAsia"/>
        </w:rPr>
        <w:t xml:space="preserve"> and is merely meant to illustrate how one could </w:t>
      </w:r>
      <w:r w:rsidR="00F93B85">
        <w:rPr>
          <w:rFonts w:eastAsiaTheme="minorEastAsia"/>
        </w:rPr>
        <w:t xml:space="preserve">estimate </w:t>
      </w:r>
      <w:r>
        <w:rPr>
          <w:rFonts w:eastAsiaTheme="minorEastAsia"/>
        </w:rPr>
        <w:t>an annual trend that accounts for different survey timing.</w:t>
      </w:r>
    </w:p>
    <w:p w14:paraId="0FC72296" w14:textId="2F7F1301" w:rsidR="00EF7995" w:rsidRDefault="00360D1C" w:rsidP="00515A09">
      <w:pPr>
        <w:spacing w:after="0" w:line="480" w:lineRule="auto"/>
        <w:ind w:firstLine="720"/>
      </w:pPr>
      <w:r>
        <w:t>Additionally, we consider</w:t>
      </w:r>
      <w:r w:rsidR="0093384A">
        <w:t>ed</w:t>
      </w:r>
      <w:r>
        <w:t xml:space="preserve"> </w:t>
      </w:r>
      <w:r w:rsidR="00470B8A">
        <w:t xml:space="preserve">how </w:t>
      </w:r>
      <w:r w:rsidR="008A6B29">
        <w:t>productivity</w:t>
      </w:r>
      <w:r w:rsidR="00470B8A">
        <w:t xml:space="preserve"> might </w:t>
      </w:r>
      <w:r w:rsidR="003F6208">
        <w:t xml:space="preserve">be </w:t>
      </w:r>
      <w:r w:rsidR="00385C02">
        <w:t xml:space="preserve">confounded with </w:t>
      </w:r>
      <w:r w:rsidR="000B788B">
        <w:t>a landscape characteristic</w:t>
      </w:r>
      <w:r w:rsidR="00D24461">
        <w:t>,</w:t>
      </w:r>
      <w:r w:rsidR="000B788B">
        <w:t xml:space="preserve"> b</w:t>
      </w:r>
      <w:r w:rsidR="00245CB1">
        <w:t xml:space="preserve">ecause where turkey observations </w:t>
      </w:r>
      <w:r w:rsidR="00B639D5">
        <w:t xml:space="preserve">occur </w:t>
      </w:r>
      <w:r w:rsidR="00245CB1">
        <w:t xml:space="preserve">is </w:t>
      </w:r>
      <w:r w:rsidR="00B639D5">
        <w:t>un</w:t>
      </w:r>
      <w:r w:rsidR="00245CB1">
        <w:t>controlled</w:t>
      </w:r>
      <w:r w:rsidR="00281EEB">
        <w:t>. I</w:t>
      </w:r>
      <w:r w:rsidR="00245CB1">
        <w:t xml:space="preserve">f </w:t>
      </w:r>
      <w:r w:rsidR="00387204">
        <w:t>HWP</w:t>
      </w:r>
      <w:r w:rsidR="00681FD7">
        <w:t xml:space="preserve"> varie</w:t>
      </w:r>
      <w:r w:rsidR="00281EEB">
        <w:t>d</w:t>
      </w:r>
      <w:r w:rsidR="00681FD7">
        <w:t xml:space="preserve"> spatially</w:t>
      </w:r>
      <w:r w:rsidR="001861E5">
        <w:t>,</w:t>
      </w:r>
      <w:r w:rsidR="00681FD7">
        <w:t xml:space="preserve"> </w:t>
      </w:r>
      <w:r w:rsidR="00A6527A">
        <w:t xml:space="preserve">temporal </w:t>
      </w:r>
      <w:r w:rsidR="00681FD7">
        <w:t xml:space="preserve">trends in productivity could be confounded with temporal </w:t>
      </w:r>
      <w:r w:rsidR="00483047">
        <w:t xml:space="preserve">changes </w:t>
      </w:r>
      <w:r w:rsidR="00681FD7">
        <w:t xml:space="preserve">in </w:t>
      </w:r>
      <w:r w:rsidR="00767B57">
        <w:t xml:space="preserve">the location </w:t>
      </w:r>
      <w:r w:rsidR="00681FD7">
        <w:t xml:space="preserve">where turkey observations </w:t>
      </w:r>
      <w:r w:rsidR="00767B57">
        <w:t>occur</w:t>
      </w:r>
      <w:r w:rsidR="00483047">
        <w:t>red</w:t>
      </w:r>
      <w:r w:rsidR="00681FD7">
        <w:t xml:space="preserve">. </w:t>
      </w:r>
      <w:r w:rsidR="00060D6A">
        <w:t xml:space="preserve">We </w:t>
      </w:r>
      <w:r w:rsidR="00E9581C">
        <w:t xml:space="preserve">modified </w:t>
      </w:r>
      <w:r w:rsidR="006E3C26">
        <w:t xml:space="preserve">equation 6 </w:t>
      </w:r>
      <w:r w:rsidR="00E9581C">
        <w:t xml:space="preserve">by adding </w:t>
      </w:r>
      <w:r w:rsidR="006E3C26">
        <w:t xml:space="preserve">a parameter for </w:t>
      </w:r>
      <w:r w:rsidR="00060D6A">
        <w:t>the proportion of developed land</w:t>
      </w:r>
      <w:r w:rsidR="007E11C8">
        <w:t xml:space="preserve"> </w:t>
      </w:r>
      <w:r w:rsidR="00624625">
        <w:t xml:space="preserve">(DEV) </w:t>
      </w:r>
      <w:r w:rsidR="007E11C8">
        <w:t>where the observation occurred</w:t>
      </w:r>
      <w:r w:rsidR="00E63253">
        <w:t>:</w:t>
      </w:r>
    </w:p>
    <w:p w14:paraId="0F9A8FD4" w14:textId="207B05F3" w:rsidR="00AE4175" w:rsidRPr="00AE4175" w:rsidRDefault="00000000" w:rsidP="00515A09">
      <w:pPr>
        <w:spacing w:after="0" w:line="480" w:lineRule="auto"/>
        <w:rPr>
          <w:rFonts w:eastAsiaTheme="minorEastAsia"/>
        </w:rP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DOY</m:t>
                    </m:r>
                  </m:e>
                  <m:sub>
                    <m:r>
                      <w:rPr>
                        <w:rFonts w:ascii="Cambria Math" w:hAnsi="Cambria Math"/>
                      </w:rPr>
                      <m:t>i</m:t>
                    </m:r>
                  </m:sub>
                  <m:sup>
                    <m:r>
                      <w:rPr>
                        <w:rFonts w:ascii="Cambria Math" w:hAnsi="Cambria Math"/>
                      </w:rPr>
                      <m:t>2</m:t>
                    </m:r>
                  </m:sup>
                </m:sSubSup>
              </m:e>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DEV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1,j[i]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2,k[i]</m:t>
                    </m:r>
                  </m:sub>
                </m:sSub>
              </m:e>
            </m:eqArr>
          </m:e>
        </m:d>
        <m:r>
          <w:rPr>
            <w:rFonts w:ascii="Cambria Math" w:hAnsi="Cambria Math"/>
          </w:rPr>
          <m:t>.</m:t>
        </m:r>
      </m:oMath>
      <w:r w:rsidR="00871EDC">
        <w:rPr>
          <w:rFonts w:eastAsiaTheme="minorEastAsia"/>
        </w:rPr>
        <w:tab/>
      </w:r>
      <w:r w:rsidR="009D6AFD">
        <w:rPr>
          <w:rFonts w:eastAsiaTheme="minorEastAsia"/>
        </w:rPr>
        <w:t>(7)</w:t>
      </w:r>
    </w:p>
    <w:p w14:paraId="3DF5FBD1" w14:textId="4BAEA765" w:rsidR="00676974" w:rsidRDefault="007E11C8" w:rsidP="002D5CC8">
      <w:pPr>
        <w:spacing w:after="0" w:line="480" w:lineRule="auto"/>
        <w:ind w:firstLine="720"/>
      </w:pPr>
      <w:r>
        <w:t>We used data from Pennsylvania</w:t>
      </w:r>
      <w:r w:rsidR="00BE0538">
        <w:t>,</w:t>
      </w:r>
      <w:r>
        <w:t xml:space="preserve"> 2017–2023</w:t>
      </w:r>
      <w:r w:rsidR="00851C73">
        <w:t>,</w:t>
      </w:r>
      <w:r w:rsidR="00336D34">
        <w:t xml:space="preserve"> and </w:t>
      </w:r>
      <w:r w:rsidR="00BE0538">
        <w:t>Ohio, 2017–2022</w:t>
      </w:r>
      <w:r w:rsidR="00C153F4">
        <w:t>,</w:t>
      </w:r>
      <w:r w:rsidR="00BE0538">
        <w:t xml:space="preserve"> because these states had a sufficient time series of </w:t>
      </w:r>
      <w:r w:rsidR="00AA52B3">
        <w:t xml:space="preserve">observations with </w:t>
      </w:r>
      <w:r w:rsidR="00B66946">
        <w:t>location data</w:t>
      </w:r>
      <w:r w:rsidR="00BF5CB9">
        <w:t xml:space="preserve"> </w:t>
      </w:r>
      <w:r w:rsidR="00E63253">
        <w:t xml:space="preserve">for each </w:t>
      </w:r>
      <w:r w:rsidR="00BF5CB9">
        <w:t>observation</w:t>
      </w:r>
      <w:r w:rsidR="00B66946">
        <w:t>.</w:t>
      </w:r>
      <w:r w:rsidR="00E63253">
        <w:t xml:space="preserve"> For Pennsylvania data, the township in which the observation occurred</w:t>
      </w:r>
      <w:r w:rsidR="006E6009">
        <w:t xml:space="preserve"> was recorded</w:t>
      </w:r>
      <w:r w:rsidR="00E63253">
        <w:t>, whereas for Ohio latitude-longitude coordinates</w:t>
      </w:r>
      <w:r w:rsidR="006E6009">
        <w:t xml:space="preserve"> were recorded</w:t>
      </w:r>
      <w:r w:rsidR="00E63253">
        <w:t>.</w:t>
      </w:r>
      <w:r w:rsidR="00B66946">
        <w:t xml:space="preserve"> </w:t>
      </w:r>
      <w:r w:rsidR="00EF77F4">
        <w:t>W</w:t>
      </w:r>
      <w:r w:rsidR="00DE70E2">
        <w:t xml:space="preserve">e used </w:t>
      </w:r>
      <w:r w:rsidR="00342B11">
        <w:t xml:space="preserve">30 m × 30 m </w:t>
      </w:r>
      <w:r w:rsidR="00A60E25">
        <w:t xml:space="preserve">2019 </w:t>
      </w:r>
      <w:r w:rsidR="00585882">
        <w:t xml:space="preserve">National Land </w:t>
      </w:r>
      <w:r w:rsidR="00585882">
        <w:lastRenderedPageBreak/>
        <w:t>Cover Database</w:t>
      </w:r>
      <w:r w:rsidR="00EF77F4">
        <w:t xml:space="preserve"> data for Ohio and Pennsylvania</w:t>
      </w:r>
      <w:r w:rsidR="00470F82">
        <w:t xml:space="preserve"> </w:t>
      </w:r>
      <w:r w:rsidR="00AF609B">
        <w:t>(</w:t>
      </w:r>
      <w:proofErr w:type="spellStart"/>
      <w:r w:rsidR="00AF609B" w:rsidRPr="00AF609B">
        <w:t>Bocinsky</w:t>
      </w:r>
      <w:proofErr w:type="spellEnd"/>
      <w:r w:rsidR="00AF609B" w:rsidRPr="00AF609B">
        <w:t xml:space="preserve"> et al. 202</w:t>
      </w:r>
      <w:r w:rsidR="00874441">
        <w:t>4</w:t>
      </w:r>
      <w:r w:rsidR="00AF609B">
        <w:t>)</w:t>
      </w:r>
      <w:r w:rsidR="00851C73">
        <w:t>,</w:t>
      </w:r>
      <w:r w:rsidR="00AF609B">
        <w:t xml:space="preserve"> </w:t>
      </w:r>
      <w:r w:rsidR="00470F82">
        <w:t xml:space="preserve">where </w:t>
      </w:r>
      <w:r w:rsidR="00470F82" w:rsidRPr="00470F82">
        <w:t>we reclassified open space</w:t>
      </w:r>
      <w:r w:rsidR="00351C13">
        <w:t xml:space="preserve"> and </w:t>
      </w:r>
      <w:r w:rsidR="00470F82" w:rsidRPr="00470F82">
        <w:t>low, medium, and high intensity developed areas as developed; deciduous, evergreen, mixed forests, shrub/scrub, and woody wetlands as forest; and all else as non-forest.</w:t>
      </w:r>
      <w:r w:rsidR="00EF77F4">
        <w:t xml:space="preserve"> </w:t>
      </w:r>
      <w:r w:rsidR="009E77E9">
        <w:t xml:space="preserve">The proportion of developed land had the strongest relationship with </w:t>
      </w:r>
      <w:r w:rsidR="00387204">
        <w:t>HWP</w:t>
      </w:r>
      <w:r w:rsidR="009E77E9">
        <w:t xml:space="preserve">, which is why we used </w:t>
      </w:r>
      <w:r w:rsidR="00363F8E">
        <w:t xml:space="preserve">DEV in this example. </w:t>
      </w:r>
      <w:r w:rsidR="00EF77F4">
        <w:t xml:space="preserve">For </w:t>
      </w:r>
      <w:r w:rsidR="002B0E7A">
        <w:t>Pennsylvania</w:t>
      </w:r>
      <w:r w:rsidR="003A7482">
        <w:t xml:space="preserve"> data</w:t>
      </w:r>
      <w:r w:rsidR="0094722B">
        <w:t>,</w:t>
      </w:r>
      <w:r w:rsidR="002B0E7A">
        <w:t xml:space="preserve"> we </w:t>
      </w:r>
      <w:r w:rsidR="00EF77F4">
        <w:t xml:space="preserve">calculated </w:t>
      </w:r>
      <w:r w:rsidR="00336D34">
        <w:t xml:space="preserve">the proportion of </w:t>
      </w:r>
      <w:r w:rsidR="0094722B">
        <w:t xml:space="preserve">area in each </w:t>
      </w:r>
      <w:r w:rsidR="00D02BE5">
        <w:t xml:space="preserve">township that was classified as developed </w:t>
      </w:r>
      <w:r w:rsidR="0094722B">
        <w:t xml:space="preserve">and assigned that value </w:t>
      </w:r>
      <w:r w:rsidR="006044B6">
        <w:t xml:space="preserve">to each observation </w:t>
      </w:r>
      <w:r w:rsidR="0094722B">
        <w:t xml:space="preserve">based on the </w:t>
      </w:r>
      <w:r w:rsidR="006044B6">
        <w:t xml:space="preserve">township in which the </w:t>
      </w:r>
      <w:r w:rsidR="008F6028">
        <w:t>observation occurred</w:t>
      </w:r>
      <w:r w:rsidR="00D02BE5">
        <w:t>.</w:t>
      </w:r>
      <w:r w:rsidR="00560CA7">
        <w:t xml:space="preserve"> </w:t>
      </w:r>
      <w:r w:rsidR="003A7482">
        <w:t xml:space="preserve">For Ohio data, </w:t>
      </w:r>
      <w:r w:rsidR="001D31C7">
        <w:t>w</w:t>
      </w:r>
      <w:r w:rsidR="00560CA7">
        <w:t xml:space="preserve">e used </w:t>
      </w:r>
      <w:r w:rsidR="00CD5B20">
        <w:t>latitude-longitude</w:t>
      </w:r>
      <w:r w:rsidR="005745E6">
        <w:t xml:space="preserve"> coordinate</w:t>
      </w:r>
      <w:r w:rsidR="008943C0">
        <w:t>s to calculate</w:t>
      </w:r>
      <w:r w:rsidR="005745E6">
        <w:t xml:space="preserve"> the p</w:t>
      </w:r>
      <w:r w:rsidR="00E65459">
        <w:t>roportion of developed land within 1 km of the observation location.</w:t>
      </w:r>
      <w:r w:rsidR="00A050D3">
        <w:t xml:space="preserve"> </w:t>
      </w:r>
      <w:r w:rsidR="005D2A74">
        <w:t xml:space="preserve">We </w:t>
      </w:r>
      <w:r w:rsidR="00AE15C2">
        <w:t xml:space="preserve">scaled </w:t>
      </w:r>
      <w:r w:rsidR="005D2A74">
        <w:t>p</w:t>
      </w:r>
      <w:r w:rsidR="00A050D3">
        <w:t>roportions using a square root-</w:t>
      </w:r>
      <w:r w:rsidR="00D040C5">
        <w:t>arcsine</w:t>
      </w:r>
      <w:r w:rsidR="00A050D3">
        <w:t xml:space="preserve"> transformation</w:t>
      </w:r>
      <w:r w:rsidR="008267FC">
        <w:t>.</w:t>
      </w:r>
    </w:p>
    <w:p w14:paraId="1A6A7D67" w14:textId="59A792AF" w:rsidR="00E8029A" w:rsidRDefault="00E8029A" w:rsidP="002D5CC8">
      <w:pPr>
        <w:spacing w:after="0" w:line="480" w:lineRule="auto"/>
        <w:ind w:firstLine="720"/>
      </w:pPr>
      <w:r>
        <w:t>We compared the model</w:t>
      </w:r>
      <w:r w:rsidR="003C3219">
        <w:t xml:space="preserve">s </w:t>
      </w:r>
      <w:r w:rsidR="00BB2F55">
        <w:t>of</w:t>
      </w:r>
      <w:r w:rsidR="003C3219">
        <w:t xml:space="preserve"> equations 6 and 7</w:t>
      </w:r>
      <w:r>
        <w:t xml:space="preserve"> to a similar model that did not incorporate </w:t>
      </w:r>
      <w:r w:rsidR="00595B8F">
        <w:t xml:space="preserve">DEV and </w:t>
      </w:r>
      <w:r>
        <w:t>DOY to assess how ignoring D</w:t>
      </w:r>
      <w:r w:rsidR="00C55C9B">
        <w:t>EV</w:t>
      </w:r>
      <w:r>
        <w:t xml:space="preserve"> </w:t>
      </w:r>
      <w:r w:rsidR="00595B8F">
        <w:t>and D</w:t>
      </w:r>
      <w:r w:rsidR="00C55C9B">
        <w:t>OY</w:t>
      </w:r>
      <w:r w:rsidR="00595B8F">
        <w:t xml:space="preserve"> </w:t>
      </w:r>
      <w:r>
        <w:t>affect</w:t>
      </w:r>
      <w:r w:rsidR="00E63253">
        <w:t>ed</w:t>
      </w:r>
      <w:r>
        <w:t xml:space="preserve"> inference about trends in </w:t>
      </w:r>
      <w:r w:rsidR="00A12ADB">
        <w:t>productivity</w:t>
      </w:r>
      <w:r>
        <w:t xml:space="preserve">. This model </w:t>
      </w:r>
      <w:r w:rsidR="00ED130E">
        <w:t>wa</w:t>
      </w:r>
      <w:r>
        <w:t xml:space="preserve">s </w:t>
      </w:r>
      <w:r w:rsidR="00595B8F">
        <w:t xml:space="preserve">similar to </w:t>
      </w:r>
      <w:r>
        <w:t>equation</w:t>
      </w:r>
      <w:r w:rsidR="00595B8F">
        <w:t>s</w:t>
      </w:r>
      <w:r>
        <w:t xml:space="preserve"> 6</w:t>
      </w:r>
      <w:r w:rsidR="00595B8F">
        <w:t xml:space="preserve"> and 7</w:t>
      </w:r>
      <w:r w:rsidR="00851C73">
        <w:t>,</w:t>
      </w:r>
      <w:r>
        <w:t xml:space="preserve"> but exclude</w:t>
      </w:r>
      <w:r w:rsidR="00ED130E">
        <w:t>d</w:t>
      </w:r>
      <w:r>
        <w:t xml:space="preserve"> </w:t>
      </w:r>
      <w:r w:rsidR="00595B8F">
        <w:t xml:space="preserve">DEV and </w:t>
      </w:r>
      <w:r>
        <w:t>DOY parameters:</w:t>
      </w:r>
    </w:p>
    <w:p w14:paraId="02599796" w14:textId="0CB326DC" w:rsidR="00E8029A" w:rsidRDefault="00000000" w:rsidP="002D5CC8">
      <w:pPr>
        <w:spacing w:after="0" w:line="480" w:lineRule="auto"/>
        <w:jc w:val="center"/>
      </w:pPr>
      <m:oMath>
        <m:sSub>
          <m:sSubPr>
            <m:ctrlPr>
              <w:rPr>
                <w:rFonts w:ascii="Cambria Math" w:hAnsi="Cambria Math"/>
                <w:i/>
              </w:rPr>
            </m:ctrlPr>
          </m:sSubPr>
          <m:e>
            <m:r>
              <w:rPr>
                <w:rFonts w:ascii="Cambria Math" w:hAnsi="Cambria Math"/>
              </w:rPr>
              <m:t>P(HWP</m:t>
            </m:r>
          </m:e>
          <m:sub>
            <m:r>
              <w:rPr>
                <w:rFonts w:ascii="Cambria Math" w:hAnsi="Cambria Math"/>
              </w:rPr>
              <m:t>i</m:t>
            </m:r>
          </m:sub>
        </m:sSub>
        <m:r>
          <w:rPr>
            <w:rFonts w:ascii="Cambria Math" w:hAnsi="Cambria Math"/>
          </w:rPr>
          <m:t>=1)=</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e>
              <m:sub>
                <m:r>
                  <w:rPr>
                    <w:rFonts w:ascii="Cambria Math" w:hAnsi="Cambria Math"/>
                  </w:rPr>
                  <m:t>i</m:t>
                </m:r>
              </m:sub>
            </m:sSub>
            <m:sSub>
              <m:sSubPr>
                <m:ctrlPr>
                  <w:rPr>
                    <w:rFonts w:ascii="Cambria Math" w:hAnsi="Cambria Math"/>
                    <w:i/>
                  </w:rPr>
                </m:ctrlPr>
              </m:sSubPr>
              <m:e>
                <m:r>
                  <w:rPr>
                    <w:rFonts w:ascii="Cambria Math" w:hAnsi="Cambria Math"/>
                  </w:rPr>
                  <m:t>+τ</m:t>
                </m:r>
              </m:e>
              <m:sub>
                <m:r>
                  <w:rPr>
                    <w:rFonts w:ascii="Cambria Math" w:hAnsi="Cambria Math"/>
                  </w:rPr>
                  <m:t>1,j[i]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2,k[i]</m:t>
                </m:r>
              </m:sub>
            </m:sSub>
          </m:e>
        </m:d>
        <m:r>
          <w:rPr>
            <w:rFonts w:ascii="Cambria Math" w:hAnsi="Cambria Math"/>
          </w:rPr>
          <m:t>.</m:t>
        </m:r>
        <m:r>
          <w:rPr>
            <w:rFonts w:ascii="Cambria Math" w:hAnsi="Cambria Math"/>
          </w:rPr>
          <m:t xml:space="preserve"> </m:t>
        </m:r>
      </m:oMath>
      <w:r w:rsidR="008753F9">
        <w:rPr>
          <w:rFonts w:eastAsiaTheme="minorEastAsia"/>
        </w:rPr>
        <w:tab/>
      </w:r>
      <w:r w:rsidR="008753F9">
        <w:rPr>
          <w:rFonts w:eastAsiaTheme="minorEastAsia"/>
        </w:rPr>
        <w:tab/>
        <w:t>(8)</w:t>
      </w:r>
    </w:p>
    <w:p w14:paraId="440FF75B" w14:textId="51ACA059" w:rsidR="00090B2F" w:rsidRDefault="00F32ED4" w:rsidP="002D5CC8">
      <w:pPr>
        <w:spacing w:after="0" w:line="480" w:lineRule="auto"/>
        <w:ind w:firstLine="720"/>
        <w:rPr>
          <w:rFonts w:eastAsiaTheme="minorEastAsia"/>
        </w:rPr>
      </w:pPr>
      <w:r w:rsidRPr="00F32ED4">
        <w:rPr>
          <w:rFonts w:eastAsiaTheme="minorEastAsia"/>
        </w:rPr>
        <w:t>I</w:t>
      </w:r>
      <w:r w:rsidR="00090B2F" w:rsidRPr="00F32ED4">
        <w:rPr>
          <w:rFonts w:eastAsiaTheme="minorEastAsia"/>
        </w:rPr>
        <w:t xml:space="preserve">n all models </w:t>
      </w:r>
      <w:r w:rsidR="005229B0">
        <w:rPr>
          <w:rFonts w:eastAsiaTheme="minorEastAsia"/>
        </w:rPr>
        <w:t>(</w:t>
      </w:r>
      <w:r w:rsidR="00090B2F" w:rsidRPr="00F32ED4">
        <w:rPr>
          <w:rFonts w:eastAsiaTheme="minorEastAsia"/>
        </w:rPr>
        <w:t>equations 1</w:t>
      </w:r>
      <w:r w:rsidR="005229B0">
        <w:rPr>
          <w:rFonts w:eastAsiaTheme="minorEastAsia"/>
        </w:rPr>
        <w:t>–</w:t>
      </w:r>
      <w:r w:rsidR="00090B2F" w:rsidRPr="00F32ED4">
        <w:rPr>
          <w:rFonts w:eastAsiaTheme="minorEastAsia"/>
        </w:rPr>
        <w:t>8</w:t>
      </w:r>
      <w:r w:rsidR="005229B0">
        <w:rPr>
          <w:rFonts w:eastAsiaTheme="minorEastAsia"/>
        </w:rPr>
        <w:t>)</w:t>
      </w:r>
      <w:r w:rsidR="00090B2F" w:rsidRPr="00F32ED4">
        <w:rPr>
          <w:rFonts w:eastAsiaTheme="minorEastAsia"/>
        </w:rPr>
        <w:t xml:space="preserve">, we </w:t>
      </w:r>
      <w:r w:rsidR="00712A67">
        <w:rPr>
          <w:rFonts w:eastAsiaTheme="minorEastAsia"/>
        </w:rPr>
        <w:t xml:space="preserve">can estimate </w:t>
      </w:r>
      <w:r w:rsidR="00387204">
        <w:rPr>
          <w:rFonts w:eastAsiaTheme="minorEastAsia"/>
        </w:rPr>
        <w:t>HWP</w:t>
      </w:r>
      <w:r w:rsidR="007B5356" w:rsidRPr="00F32ED4">
        <w:rPr>
          <w:rFonts w:eastAsiaTheme="minorEastAsia"/>
        </w:rPr>
        <w:t xml:space="preserve"> or PPB </w:t>
      </w:r>
      <w:r w:rsidR="00712A67">
        <w:rPr>
          <w:rFonts w:eastAsiaTheme="minorEastAsia"/>
        </w:rPr>
        <w:t xml:space="preserve">for </w:t>
      </w:r>
      <w:r w:rsidR="007B5356" w:rsidRPr="00F32ED4">
        <w:rPr>
          <w:rFonts w:eastAsiaTheme="minorEastAsia"/>
        </w:rPr>
        <w:t xml:space="preserve">any </w:t>
      </w:r>
      <w:r w:rsidR="00712A67">
        <w:rPr>
          <w:rFonts w:eastAsiaTheme="minorEastAsia"/>
        </w:rPr>
        <w:t xml:space="preserve">given </w:t>
      </w:r>
      <w:r w:rsidR="007D13D7" w:rsidRPr="00F32ED4">
        <w:rPr>
          <w:rFonts w:eastAsiaTheme="minorEastAsia"/>
        </w:rPr>
        <w:t>DOY</w:t>
      </w:r>
      <w:r w:rsidR="00E63253">
        <w:rPr>
          <w:rFonts w:eastAsiaTheme="minorEastAsia"/>
        </w:rPr>
        <w:t xml:space="preserve">; however, in models without DOY, the expectation of the response would be the same </w:t>
      </w:r>
      <w:r w:rsidR="000B4CEE">
        <w:rPr>
          <w:rFonts w:eastAsiaTheme="minorEastAsia"/>
        </w:rPr>
        <w:t>at any point during</w:t>
      </w:r>
      <w:r w:rsidR="00E63253">
        <w:rPr>
          <w:rFonts w:eastAsiaTheme="minorEastAsia"/>
        </w:rPr>
        <w:t xml:space="preserve"> the survey period</w:t>
      </w:r>
      <w:r w:rsidR="007B5356" w:rsidRPr="00F32ED4">
        <w:rPr>
          <w:rFonts w:eastAsiaTheme="minorEastAsia"/>
        </w:rPr>
        <w:t xml:space="preserve">. </w:t>
      </w:r>
      <w:r w:rsidR="00CB65C9">
        <w:rPr>
          <w:rFonts w:eastAsiaTheme="minorEastAsia"/>
        </w:rPr>
        <w:t xml:space="preserve">In all </w:t>
      </w:r>
      <w:r w:rsidR="00851C73">
        <w:rPr>
          <w:rFonts w:eastAsiaTheme="minorEastAsia"/>
        </w:rPr>
        <w:t xml:space="preserve">results </w:t>
      </w:r>
      <w:r w:rsidR="003736D4">
        <w:rPr>
          <w:rFonts w:eastAsiaTheme="minorEastAsia"/>
        </w:rPr>
        <w:t>that include estimates of HWP and PPB</w:t>
      </w:r>
      <w:r w:rsidR="00E534F7">
        <w:rPr>
          <w:rFonts w:eastAsiaTheme="minorEastAsia"/>
        </w:rPr>
        <w:t>,</w:t>
      </w:r>
      <w:r w:rsidR="00CB65C9">
        <w:rPr>
          <w:rFonts w:eastAsiaTheme="minorEastAsia"/>
        </w:rPr>
        <w:t xml:space="preserve"> </w:t>
      </w:r>
      <w:r w:rsidR="003736D4">
        <w:rPr>
          <w:rFonts w:eastAsiaTheme="minorEastAsia"/>
        </w:rPr>
        <w:t>w</w:t>
      </w:r>
      <w:r w:rsidR="009A53F7">
        <w:rPr>
          <w:rFonts w:eastAsiaTheme="minorEastAsia"/>
        </w:rPr>
        <w:t>e estimated</w:t>
      </w:r>
      <w:r w:rsidR="00251FE0">
        <w:rPr>
          <w:rFonts w:eastAsiaTheme="minorEastAsia"/>
        </w:rPr>
        <w:t xml:space="preserve"> </w:t>
      </w:r>
      <w:r w:rsidR="00387204">
        <w:rPr>
          <w:rFonts w:eastAsiaTheme="minorEastAsia"/>
        </w:rPr>
        <w:t>HWP</w:t>
      </w:r>
      <w:r w:rsidR="00251FE0">
        <w:rPr>
          <w:rFonts w:eastAsiaTheme="minorEastAsia"/>
        </w:rPr>
        <w:t xml:space="preserve"> and PPB for</w:t>
      </w:r>
      <w:r w:rsidR="007B5356" w:rsidRPr="00F32ED4">
        <w:rPr>
          <w:rFonts w:eastAsiaTheme="minorEastAsia"/>
        </w:rPr>
        <w:t xml:space="preserve"> 31 August</w:t>
      </w:r>
      <w:r w:rsidR="007D13D7" w:rsidRPr="00F32ED4">
        <w:rPr>
          <w:rFonts w:eastAsiaTheme="minorEastAsia"/>
        </w:rPr>
        <w:t xml:space="preserve"> because all states in all years collected data during August and this </w:t>
      </w:r>
      <w:r w:rsidR="001C0DA5" w:rsidRPr="00F32ED4">
        <w:rPr>
          <w:rFonts w:eastAsiaTheme="minorEastAsia"/>
        </w:rPr>
        <w:t xml:space="preserve">date could be used to </w:t>
      </w:r>
      <w:r w:rsidR="00E05B63">
        <w:rPr>
          <w:rFonts w:eastAsiaTheme="minorEastAsia"/>
        </w:rPr>
        <w:t xml:space="preserve">represent </w:t>
      </w:r>
      <w:r w:rsidR="001C0DA5" w:rsidRPr="00F32ED4">
        <w:rPr>
          <w:rFonts w:eastAsiaTheme="minorEastAsia"/>
        </w:rPr>
        <w:t>the produc</w:t>
      </w:r>
      <w:r w:rsidR="004A76AA">
        <w:rPr>
          <w:rFonts w:eastAsiaTheme="minorEastAsia"/>
        </w:rPr>
        <w:t>t</w:t>
      </w:r>
      <w:r w:rsidR="001C0DA5" w:rsidRPr="00F32ED4">
        <w:rPr>
          <w:rFonts w:eastAsiaTheme="minorEastAsia"/>
        </w:rPr>
        <w:t xml:space="preserve"> of </w:t>
      </w:r>
      <w:r w:rsidR="00387204">
        <w:rPr>
          <w:rFonts w:eastAsiaTheme="minorEastAsia"/>
        </w:rPr>
        <w:t>HWP</w:t>
      </w:r>
      <w:r w:rsidR="001C0DA5" w:rsidRPr="00F32ED4">
        <w:rPr>
          <w:rFonts w:eastAsiaTheme="minorEastAsia"/>
        </w:rPr>
        <w:t xml:space="preserve"> and PPB as a measure of recruitment</w:t>
      </w:r>
      <w:r w:rsidR="008947C4" w:rsidRPr="00F32ED4">
        <w:rPr>
          <w:rFonts w:eastAsiaTheme="minorEastAsia"/>
        </w:rPr>
        <w:t xml:space="preserve">. </w:t>
      </w:r>
    </w:p>
    <w:p w14:paraId="37CFE0EE" w14:textId="23E4306C" w:rsidR="00CB6F27" w:rsidRPr="00CB6F27" w:rsidRDefault="00CB6F27" w:rsidP="002D5CC8">
      <w:pPr>
        <w:spacing w:after="0" w:line="480" w:lineRule="auto"/>
        <w:rPr>
          <w:b/>
          <w:bCs/>
        </w:rPr>
      </w:pPr>
      <w:r w:rsidRPr="00CB6F27">
        <w:rPr>
          <w:b/>
          <w:bCs/>
        </w:rPr>
        <w:t>RESULTS</w:t>
      </w:r>
    </w:p>
    <w:p w14:paraId="07D2144F" w14:textId="642895BE" w:rsidR="00CB6F27" w:rsidRDefault="00BD454C" w:rsidP="002D5CC8">
      <w:pPr>
        <w:spacing w:after="0" w:line="480" w:lineRule="auto"/>
      </w:pPr>
      <w:r>
        <w:t xml:space="preserve">Excluding </w:t>
      </w:r>
      <w:r w:rsidR="008F1B84">
        <w:t xml:space="preserve">observations </w:t>
      </w:r>
      <w:r>
        <w:t>whe</w:t>
      </w:r>
      <w:r w:rsidR="008F1B84">
        <w:t>n</w:t>
      </w:r>
      <w:r>
        <w:t xml:space="preserve"> ≥25% of </w:t>
      </w:r>
      <w:r w:rsidR="00C362BA">
        <w:t>turkeys were of unknown sex-age</w:t>
      </w:r>
      <w:r w:rsidR="00D35201">
        <w:t>,</w:t>
      </w:r>
      <w:r w:rsidR="00D82EF2">
        <w:t xml:space="preserve"> </w:t>
      </w:r>
      <w:r w:rsidR="0081562B">
        <w:t>&gt;8 hens without poults</w:t>
      </w:r>
      <w:r w:rsidR="00D77077">
        <w:t xml:space="preserve">, and </w:t>
      </w:r>
      <w:r w:rsidR="005677F7">
        <w:t xml:space="preserve">&gt;16 poults per hen </w:t>
      </w:r>
      <w:r w:rsidR="004C2C9E">
        <w:t>had little effect on sample size</w:t>
      </w:r>
      <w:r w:rsidR="00C869E2">
        <w:t xml:space="preserve"> (Table 1). </w:t>
      </w:r>
      <w:r w:rsidR="005677F7">
        <w:t xml:space="preserve">However, excluding </w:t>
      </w:r>
      <w:r w:rsidR="00C869E2">
        <w:t xml:space="preserve">repeated observations of turkeys reduced sample size by </w:t>
      </w:r>
      <w:r w:rsidR="00024ADE">
        <w:t>2</w:t>
      </w:r>
      <w:r w:rsidR="00B43C18">
        <w:t>–</w:t>
      </w:r>
      <w:r w:rsidR="00F65198">
        <w:t>18</w:t>
      </w:r>
      <w:r w:rsidR="00B43C18">
        <w:t>%</w:t>
      </w:r>
      <w:r w:rsidR="00E81C99">
        <w:t xml:space="preserve"> in Ohio, Pennsylvania, and West </w:t>
      </w:r>
      <w:r w:rsidR="00E81C99">
        <w:lastRenderedPageBreak/>
        <w:t>Virginia</w:t>
      </w:r>
      <w:r w:rsidR="00F20A3F">
        <w:t>.</w:t>
      </w:r>
      <w:r w:rsidR="006B5F85">
        <w:t xml:space="preserve"> Dates when observations </w:t>
      </w:r>
      <w:r w:rsidR="00C44BCA">
        <w:t xml:space="preserve">were collected varied greatly among states and even </w:t>
      </w:r>
      <w:r w:rsidR="00272AEE">
        <w:t>among</w:t>
      </w:r>
      <w:r w:rsidR="00C44BCA">
        <w:t xml:space="preserve"> years within a single state (Table 2)</w:t>
      </w:r>
      <w:r w:rsidR="002312E3">
        <w:t xml:space="preserve">. Following </w:t>
      </w:r>
      <w:r w:rsidR="00F65198">
        <w:t xml:space="preserve">the </w:t>
      </w:r>
      <w:r w:rsidR="002312E3">
        <w:t>NWTF Technical Committee (2019) protocol</w:t>
      </w:r>
      <w:r w:rsidR="00C42C07">
        <w:t>, which</w:t>
      </w:r>
      <w:r w:rsidR="00B64592">
        <w:t xml:space="preserve"> restrict</w:t>
      </w:r>
      <w:r w:rsidR="00C42C07">
        <w:t>s</w:t>
      </w:r>
      <w:r w:rsidR="00B64592">
        <w:t xml:space="preserve"> observations to July and August</w:t>
      </w:r>
      <w:r w:rsidR="002312E3">
        <w:t xml:space="preserve">, </w:t>
      </w:r>
      <w:r w:rsidR="009D032B">
        <w:t xml:space="preserve">&gt;30% of data from some states </w:t>
      </w:r>
      <w:r w:rsidR="007A5BFD">
        <w:t>would be</w:t>
      </w:r>
      <w:r w:rsidR="009D032B">
        <w:t xml:space="preserve"> excluded</w:t>
      </w:r>
      <w:r w:rsidR="00B64592">
        <w:t>. New York collect</w:t>
      </w:r>
      <w:r w:rsidR="00477D73">
        <w:t>ed</w:t>
      </w:r>
      <w:r w:rsidR="00B64592">
        <w:t xml:space="preserve"> data </w:t>
      </w:r>
      <w:r w:rsidR="009E33C0">
        <w:t xml:space="preserve">only </w:t>
      </w:r>
      <w:r w:rsidR="00B64592">
        <w:t>in August.</w:t>
      </w:r>
    </w:p>
    <w:p w14:paraId="188AB899" w14:textId="6F29FCB3" w:rsidR="00786981" w:rsidRDefault="00DB69C3" w:rsidP="002D5CC8">
      <w:pPr>
        <w:spacing w:after="0" w:line="480" w:lineRule="auto"/>
      </w:pPr>
      <w:r>
        <w:tab/>
        <w:t xml:space="preserve">Mean dates </w:t>
      </w:r>
      <w:r w:rsidR="007B2CF3">
        <w:t xml:space="preserve">of </w:t>
      </w:r>
      <w:r>
        <w:t xml:space="preserve">observations </w:t>
      </w:r>
      <w:r w:rsidR="00C10980">
        <w:t xml:space="preserve">varied greatly among states </w:t>
      </w:r>
      <w:r w:rsidR="00051211">
        <w:t xml:space="preserve">and even within individual states </w:t>
      </w:r>
      <w:r w:rsidR="00C10980">
        <w:t>(Figure 2).</w:t>
      </w:r>
      <w:r w:rsidR="00A636DD">
        <w:t xml:space="preserve"> New York </w:t>
      </w:r>
      <w:r w:rsidR="00CF7417">
        <w:t xml:space="preserve">collected data </w:t>
      </w:r>
      <w:r w:rsidR="00800A74">
        <w:t>during</w:t>
      </w:r>
      <w:r w:rsidR="00CF7417">
        <w:t xml:space="preserve"> August </w:t>
      </w:r>
      <w:r w:rsidR="00851C73">
        <w:t xml:space="preserve">and had the least variability </w:t>
      </w:r>
      <w:r w:rsidR="00CF7417">
        <w:t xml:space="preserve">but other states, such as </w:t>
      </w:r>
      <w:r w:rsidR="00A55B77">
        <w:t xml:space="preserve">Virginia, </w:t>
      </w:r>
      <w:r w:rsidR="00DD04A9">
        <w:t>exhibited</w:t>
      </w:r>
      <w:r w:rsidR="00A55B77">
        <w:t xml:space="preserve"> large variations in mean dates because of changes to the survey period. </w:t>
      </w:r>
      <w:r w:rsidR="00E16E36">
        <w:t>Even within a state, variation</w:t>
      </w:r>
      <w:r w:rsidR="00D83A91">
        <w:t xml:space="preserve"> </w:t>
      </w:r>
      <w:r w:rsidR="00D4550F">
        <w:t xml:space="preserve">in mean date of observations </w:t>
      </w:r>
      <w:r w:rsidR="00D83A91">
        <w:t>over years and among WMUs was quite large</w:t>
      </w:r>
      <w:r w:rsidR="00FC7939">
        <w:t>: New Jersey, 98 days;</w:t>
      </w:r>
      <w:r w:rsidR="00D3508B">
        <w:t xml:space="preserve"> New York, 12 days; Ohio, 22 days; Pennsylvania, 29 days;</w:t>
      </w:r>
      <w:r w:rsidR="00A67707">
        <w:t xml:space="preserve"> Virginia, 59 days; </w:t>
      </w:r>
      <w:r w:rsidR="00DB7110">
        <w:t xml:space="preserve">and </w:t>
      </w:r>
      <w:r w:rsidR="00A67707">
        <w:t>West Virginia, 37 days.</w:t>
      </w:r>
      <w:r w:rsidR="00AB1324" w:rsidRPr="00AB1324">
        <w:t xml:space="preserve"> </w:t>
      </w:r>
      <w:r w:rsidR="003C6248">
        <w:t xml:space="preserve">A trend towards earlier mean dates of observation </w:t>
      </w:r>
      <w:r w:rsidR="00494B65">
        <w:t>was evident e</w:t>
      </w:r>
      <w:r w:rsidR="00AB1324">
        <w:t xml:space="preserve">ven </w:t>
      </w:r>
      <w:r w:rsidR="00494B65">
        <w:t xml:space="preserve">in </w:t>
      </w:r>
      <w:r w:rsidR="00AB1324">
        <w:t>states with consistent survey period</w:t>
      </w:r>
      <w:r w:rsidR="007608D5">
        <w:t>s</w:t>
      </w:r>
      <w:r w:rsidR="00AB1324">
        <w:t>, such as New Jersey and Pennsylvania</w:t>
      </w:r>
      <w:r w:rsidR="007608D5">
        <w:t xml:space="preserve"> </w:t>
      </w:r>
      <w:r w:rsidR="00AB1324">
        <w:t>(Table 2, Figure 2).</w:t>
      </w:r>
    </w:p>
    <w:p w14:paraId="4460F282" w14:textId="4D0D55A9" w:rsidR="002A4D6D" w:rsidRPr="002A4D6D" w:rsidRDefault="002A4D6D" w:rsidP="002D5CC8">
      <w:pPr>
        <w:spacing w:after="0" w:line="480" w:lineRule="auto"/>
        <w:rPr>
          <w:b/>
          <w:bCs/>
        </w:rPr>
      </w:pPr>
      <w:r w:rsidRPr="002A4D6D">
        <w:rPr>
          <w:b/>
          <w:bCs/>
        </w:rPr>
        <w:t>Effect of observation</w:t>
      </w:r>
      <w:r w:rsidR="00853D92">
        <w:rPr>
          <w:b/>
          <w:bCs/>
        </w:rPr>
        <w:t xml:space="preserve"> date</w:t>
      </w:r>
    </w:p>
    <w:p w14:paraId="582C57BC" w14:textId="3A388475" w:rsidR="003E4BFD" w:rsidRDefault="00736223" w:rsidP="00430A47">
      <w:pPr>
        <w:spacing w:after="0" w:line="480" w:lineRule="auto"/>
      </w:pPr>
      <w:r>
        <w:t xml:space="preserve">Calendar day </w:t>
      </w:r>
      <w:r w:rsidR="00FF6268">
        <w:t xml:space="preserve">(DOY) </w:t>
      </w:r>
      <w:r>
        <w:t xml:space="preserve">was </w:t>
      </w:r>
      <w:r w:rsidR="00384CCB">
        <w:t xml:space="preserve">an important variable in models of </w:t>
      </w:r>
      <w:r w:rsidR="00387204">
        <w:t>HWP</w:t>
      </w:r>
      <w:r w:rsidR="00384CCB">
        <w:t xml:space="preserve"> and PPB</w:t>
      </w:r>
      <w:r w:rsidR="00EC4734">
        <w:t xml:space="preserve"> </w:t>
      </w:r>
      <w:r w:rsidR="00D60DE6">
        <w:t xml:space="preserve">and </w:t>
      </w:r>
      <w:r w:rsidR="00EC4734">
        <w:t xml:space="preserve">for all </w:t>
      </w:r>
      <w:r w:rsidR="00384CCB">
        <w:t>states</w:t>
      </w:r>
      <w:r w:rsidR="00A341AD">
        <w:t xml:space="preserve"> </w:t>
      </w:r>
      <w:r w:rsidR="00EC4734">
        <w:t xml:space="preserve">except Maryland </w:t>
      </w:r>
      <w:r w:rsidR="00E85D4F">
        <w:t xml:space="preserve">was </w:t>
      </w:r>
      <w:r w:rsidR="00036456">
        <w:t xml:space="preserve">best modeled as </w:t>
      </w:r>
      <w:r w:rsidR="00A341AD">
        <w:t xml:space="preserve">a quadratic relationship </w:t>
      </w:r>
      <w:r w:rsidR="00823C24">
        <w:t>(Table 3)</w:t>
      </w:r>
      <w:r w:rsidR="00A341AD">
        <w:t>.</w:t>
      </w:r>
      <w:r w:rsidR="00454CE7">
        <w:t xml:space="preserve"> Models that did not include</w:t>
      </w:r>
      <w:r w:rsidR="00C40237">
        <w:t xml:space="preserve"> DOY </w:t>
      </w:r>
      <w:r w:rsidR="00592736">
        <w:t xml:space="preserve">and </w:t>
      </w:r>
      <w:r w:rsidR="00592736" w:rsidRPr="00592736">
        <w:t>DOY</w:t>
      </w:r>
      <w:r w:rsidR="00592736" w:rsidRPr="000F3900">
        <w:rPr>
          <w:vertAlign w:val="superscript"/>
        </w:rPr>
        <w:t>2</w:t>
      </w:r>
      <w:r w:rsidR="00592736">
        <w:t xml:space="preserve"> </w:t>
      </w:r>
      <w:r w:rsidR="00C40237" w:rsidRPr="00592736">
        <w:t>were</w:t>
      </w:r>
      <w:r w:rsidR="00C40237">
        <w:t xml:space="preserve"> not competitive (ΔAIC &gt; </w:t>
      </w:r>
      <w:r w:rsidR="00D2713B">
        <w:t>44</w:t>
      </w:r>
      <w:r w:rsidR="00C40237">
        <w:t>).</w:t>
      </w:r>
      <w:r w:rsidR="00FD7971">
        <w:t xml:space="preserve"> </w:t>
      </w:r>
      <w:r w:rsidR="003E4BFD">
        <w:t>For HWP, the proportion of hens observed with poults increased over calendar day (DOY) but appeared to reach an asymptote by 1 August (Figure 3). New York was an exception, however, where the proportion of hens with poults declined and then increased, but the effect of DOY was minor because their survey period was only the month of August. Brood size (PPB) declined quickly in June and tended to stabilize by mid-July for all states (Figure 4).</w:t>
      </w:r>
    </w:p>
    <w:p w14:paraId="45B0EA44" w14:textId="2F6EC0A4" w:rsidR="00762F78" w:rsidRDefault="00D43293" w:rsidP="003E4BFD">
      <w:pPr>
        <w:spacing w:after="0" w:line="480" w:lineRule="auto"/>
        <w:ind w:firstLine="720"/>
      </w:pPr>
      <w:r>
        <w:t xml:space="preserve">We found </w:t>
      </w:r>
      <w:r w:rsidR="00674018">
        <w:t>HW</w:t>
      </w:r>
      <w:r w:rsidR="00122120">
        <w:t>P</w:t>
      </w:r>
      <w:r w:rsidR="00674018">
        <w:t xml:space="preserve"> </w:t>
      </w:r>
      <w:r>
        <w:t xml:space="preserve">models </w:t>
      </w:r>
      <w:r w:rsidR="0064424D">
        <w:t xml:space="preserve">with </w:t>
      </w:r>
      <w:r w:rsidR="009B625B">
        <w:t xml:space="preserve">a </w:t>
      </w:r>
      <w:r>
        <w:t xml:space="preserve">random effect that varied by year and MU </w:t>
      </w:r>
      <w:r w:rsidR="0064424D">
        <w:t xml:space="preserve">(equations 2 and 4) </w:t>
      </w:r>
      <w:r w:rsidR="00FE063E">
        <w:t xml:space="preserve">were parsimonious </w:t>
      </w:r>
      <w:r w:rsidR="00EB13A8">
        <w:t xml:space="preserve">(lower AIC values) </w:t>
      </w:r>
      <w:r w:rsidR="00FE063E">
        <w:t xml:space="preserve">compared to </w:t>
      </w:r>
      <w:r>
        <w:t xml:space="preserve">models that only included a MU </w:t>
      </w:r>
      <w:r>
        <w:lastRenderedPageBreak/>
        <w:t>random effect (Table 3).</w:t>
      </w:r>
      <w:r w:rsidR="00A20EBD">
        <w:t xml:space="preserve"> </w:t>
      </w:r>
      <w:r w:rsidR="008F1BDA">
        <w:t>T</w:t>
      </w:r>
      <w:r w:rsidR="00075981">
        <w:t xml:space="preserve">here are </w:t>
      </w:r>
      <w:r w:rsidR="008629C4">
        <w:t xml:space="preserve">multiple ways to model random effects in these models that could be explored, although some </w:t>
      </w:r>
      <w:r w:rsidR="00DB6ABB">
        <w:t xml:space="preserve">require more </w:t>
      </w:r>
      <w:r w:rsidR="00C50DBE">
        <w:t xml:space="preserve">parameters to be estimated and </w:t>
      </w:r>
      <w:r w:rsidR="008629C4">
        <w:t xml:space="preserve">are </w:t>
      </w:r>
      <w:r w:rsidR="000729CC">
        <w:t>more</w:t>
      </w:r>
      <w:r w:rsidR="00F91AA9">
        <w:t xml:space="preserve"> likely to </w:t>
      </w:r>
      <w:r w:rsidR="000729CC">
        <w:t>have convergence problems</w:t>
      </w:r>
      <w:r w:rsidR="00F91AA9">
        <w:t>.</w:t>
      </w:r>
      <w:r w:rsidR="000729CC">
        <w:t xml:space="preserve"> </w:t>
      </w:r>
      <w:r w:rsidR="00CD0D16">
        <w:t xml:space="preserve">However, </w:t>
      </w:r>
      <w:r w:rsidR="00977D70">
        <w:t>the</w:t>
      </w:r>
      <w:r w:rsidR="00CD0D16">
        <w:t xml:space="preserve"> model </w:t>
      </w:r>
      <w:r w:rsidR="00187813">
        <w:t xml:space="preserve">that </w:t>
      </w:r>
      <w:r w:rsidR="006D02A6">
        <w:t xml:space="preserve">included </w:t>
      </w:r>
      <w:r w:rsidR="003B7D39">
        <w:t>a</w:t>
      </w:r>
      <w:r w:rsidR="00D61D28">
        <w:t xml:space="preserve"> random effect </w:t>
      </w:r>
      <w:r w:rsidR="003B7D39">
        <w:t xml:space="preserve">that varied by </w:t>
      </w:r>
      <w:r w:rsidR="00D61D28">
        <w:t xml:space="preserve">MU and year </w:t>
      </w:r>
      <w:r w:rsidR="00187813">
        <w:t xml:space="preserve">(equation 2) </w:t>
      </w:r>
      <w:r w:rsidR="00D61D28">
        <w:t xml:space="preserve">was able to </w:t>
      </w:r>
      <w:r w:rsidR="00626D02">
        <w:t>converge</w:t>
      </w:r>
      <w:r w:rsidR="00A3570B">
        <w:t xml:space="preserve"> for</w:t>
      </w:r>
      <w:r w:rsidR="00D61D28">
        <w:t xml:space="preserve"> all datasets. </w:t>
      </w:r>
      <w:r w:rsidR="00935369">
        <w:t xml:space="preserve">Despite evidence </w:t>
      </w:r>
      <w:r w:rsidR="00F33E2D">
        <w:t xml:space="preserve">HWP varied </w:t>
      </w:r>
      <w:r w:rsidR="00935369">
        <w:t>by year and MU</w:t>
      </w:r>
      <w:r w:rsidR="00D61D28">
        <w:t xml:space="preserve">, </w:t>
      </w:r>
      <w:r w:rsidR="007A61A4">
        <w:t>we include</w:t>
      </w:r>
      <w:r w:rsidR="00CB77CC">
        <w:t>d</w:t>
      </w:r>
      <w:r w:rsidR="007A61A4">
        <w:t xml:space="preserve"> </w:t>
      </w:r>
      <w:r w:rsidR="00CB77CC">
        <w:t>only MU</w:t>
      </w:r>
      <w:r w:rsidR="007A61A4">
        <w:t>-specific random effect</w:t>
      </w:r>
      <w:r w:rsidR="008B39DA">
        <w:t>s</w:t>
      </w:r>
      <w:r w:rsidR="007A61A4">
        <w:t xml:space="preserve"> in </w:t>
      </w:r>
      <w:r w:rsidR="00A20EBD">
        <w:t xml:space="preserve">all other </w:t>
      </w:r>
      <w:r w:rsidR="007A61A4">
        <w:t>analyses</w:t>
      </w:r>
      <w:r w:rsidR="00FF257C">
        <w:t xml:space="preserve"> to simplify analyses and interpretation of the other proposed statistical models (equations 5–8)</w:t>
      </w:r>
      <w:r w:rsidR="007A61A4">
        <w:t>.</w:t>
      </w:r>
      <w:r w:rsidR="00762F78" w:rsidRPr="00762F78">
        <w:t xml:space="preserve"> </w:t>
      </w:r>
    </w:p>
    <w:p w14:paraId="54FAC974" w14:textId="58614F57" w:rsidR="007A61A4" w:rsidRDefault="00762F78" w:rsidP="009466D2">
      <w:pPr>
        <w:spacing w:after="0" w:line="480" w:lineRule="auto"/>
        <w:ind w:firstLine="720"/>
      </w:pPr>
      <w:r>
        <w:t xml:space="preserve">Models of PPB for all states indicated </w:t>
      </w:r>
      <w:r w:rsidR="00D9046C">
        <w:t>little evidence of</w:t>
      </w:r>
      <w:r>
        <w:t xml:space="preserve"> spatial </w:t>
      </w:r>
      <w:r w:rsidR="00BA4CAE">
        <w:t xml:space="preserve">or temporal </w:t>
      </w:r>
      <w:r>
        <w:t xml:space="preserve">variation in PPB among MUs because the estimated variance for the random effect among all states </w:t>
      </w:r>
      <w:r w:rsidR="004D2955">
        <w:t xml:space="preserve">and models </w:t>
      </w:r>
      <w:r>
        <w:t>was small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t>&lt; 0.001)</w:t>
      </w:r>
      <w:r w:rsidR="004D33A1">
        <w:t xml:space="preserve">. </w:t>
      </w:r>
      <w:r w:rsidR="00036CE0">
        <w:t xml:space="preserve">In most </w:t>
      </w:r>
      <w:r w:rsidR="00DC1FAD">
        <w:t xml:space="preserve">datasets, the random effects that differed by year and MU had the lowest AIC values but </w:t>
      </w:r>
      <w:r w:rsidR="00012227">
        <w:t>some</w:t>
      </w:r>
      <w:r w:rsidR="00BE38D7">
        <w:t xml:space="preserve">times models with only a MU random effect </w:t>
      </w:r>
      <w:r w:rsidR="00BF3973">
        <w:t xml:space="preserve">had the lowest AIC </w:t>
      </w:r>
      <w:r w:rsidR="0032032E">
        <w:t xml:space="preserve">value </w:t>
      </w:r>
      <w:r w:rsidR="00BE38D7">
        <w:t>(</w:t>
      </w:r>
      <w:r w:rsidR="002B7A29">
        <w:t xml:space="preserve">Table </w:t>
      </w:r>
      <w:r w:rsidR="007F285B">
        <w:t>4</w:t>
      </w:r>
      <w:r w:rsidR="00BE38D7">
        <w:t xml:space="preserve">). Also, not all models </w:t>
      </w:r>
      <w:r w:rsidR="000B4CEE">
        <w:t xml:space="preserve">that were </w:t>
      </w:r>
      <w:proofErr w:type="gramStart"/>
      <w:r w:rsidR="000B4CEE">
        <w:t>fit</w:t>
      </w:r>
      <w:proofErr w:type="gramEnd"/>
      <w:r w:rsidR="000B4CEE">
        <w:t xml:space="preserve"> to</w:t>
      </w:r>
      <w:r w:rsidR="00BE38D7">
        <w:t xml:space="preserve"> the Virginia data </w:t>
      </w:r>
      <w:r w:rsidR="002B7A29">
        <w:t>converged</w:t>
      </w:r>
      <w:r>
        <w:t xml:space="preserve">. </w:t>
      </w:r>
    </w:p>
    <w:p w14:paraId="5800EAE5" w14:textId="4B56301C" w:rsidR="004E1B19" w:rsidRPr="006754FB" w:rsidRDefault="004E1B19" w:rsidP="004C53EF">
      <w:pPr>
        <w:spacing w:after="0" w:line="480" w:lineRule="auto"/>
        <w:ind w:firstLine="720"/>
      </w:pPr>
      <w:r>
        <w:t>Retaining observations reported to have been repeat observations of the same birds had little effect on estimates</w:t>
      </w:r>
      <w:r w:rsidR="00E711C2">
        <w:t xml:space="preserve"> </w:t>
      </w:r>
      <w:r w:rsidR="00805DC2">
        <w:t xml:space="preserve">for both </w:t>
      </w:r>
      <w:r w:rsidR="00387204">
        <w:t>HWP</w:t>
      </w:r>
      <w:r w:rsidR="00805DC2">
        <w:t xml:space="preserve"> and PPB </w:t>
      </w:r>
      <w:r w:rsidR="00E711C2">
        <w:t xml:space="preserve">(Figures </w:t>
      </w:r>
      <w:r w:rsidR="00805DC2">
        <w:t>5</w:t>
      </w:r>
      <w:r w:rsidR="00825201">
        <w:t xml:space="preserve">, </w:t>
      </w:r>
      <w:r w:rsidR="00805DC2">
        <w:t>6).</w:t>
      </w:r>
      <w:r w:rsidR="00775EB8">
        <w:t xml:space="preserve"> Point estimates were slightly </w:t>
      </w:r>
      <w:r w:rsidR="000B4CEE">
        <w:t xml:space="preserve">larger </w:t>
      </w:r>
      <w:r w:rsidR="00775EB8">
        <w:t xml:space="preserve">for </w:t>
      </w:r>
      <w:r w:rsidR="00EB35D0">
        <w:t>Pennsylvania and West Virginia but the temporal pattern did not change</w:t>
      </w:r>
      <w:r w:rsidR="00825201">
        <w:t xml:space="preserve"> for all 3 states</w:t>
      </w:r>
      <w:r w:rsidR="00EB35D0">
        <w:t xml:space="preserve">. </w:t>
      </w:r>
      <w:r w:rsidR="006F37C9">
        <w:t xml:space="preserve">We included </w:t>
      </w:r>
      <w:r w:rsidR="00B616D3">
        <w:t xml:space="preserve">repeat </w:t>
      </w:r>
      <w:r w:rsidR="006F37C9">
        <w:t xml:space="preserve">observations in </w:t>
      </w:r>
      <w:r w:rsidR="00B616D3">
        <w:t xml:space="preserve">datasets in </w:t>
      </w:r>
      <w:r w:rsidR="006F37C9">
        <w:t>all subsequent analyses.</w:t>
      </w:r>
    </w:p>
    <w:p w14:paraId="75AD302C" w14:textId="3B40F0BA" w:rsidR="00FB2E8D" w:rsidRPr="00EF7BE5" w:rsidRDefault="00EF7BE5" w:rsidP="00752E14">
      <w:pPr>
        <w:spacing w:after="0" w:line="480" w:lineRule="auto"/>
        <w:rPr>
          <w:b/>
          <w:bCs/>
        </w:rPr>
      </w:pPr>
      <w:r w:rsidRPr="00EF7BE5">
        <w:rPr>
          <w:b/>
          <w:bCs/>
        </w:rPr>
        <w:t>Multi-state analyses</w:t>
      </w:r>
    </w:p>
    <w:p w14:paraId="2141D6A7" w14:textId="4B0C5AE9" w:rsidR="00EF7BE5" w:rsidRDefault="00D96262" w:rsidP="00752E14">
      <w:pPr>
        <w:spacing w:after="0" w:line="480" w:lineRule="auto"/>
      </w:pPr>
      <w:r>
        <w:t>The</w:t>
      </w:r>
      <w:r w:rsidR="002406D1">
        <w:t xml:space="preserve"> generalized linear mixed-effects model </w:t>
      </w:r>
      <w:r w:rsidR="00016DBE">
        <w:t xml:space="preserve">(equation 5) </w:t>
      </w:r>
      <w:r w:rsidR="002406D1">
        <w:t xml:space="preserve">allowed us to combine data from New Jersey, New York, and Pennsylvania without </w:t>
      </w:r>
      <w:r w:rsidR="005E53C8">
        <w:t xml:space="preserve">excluding data that </w:t>
      </w:r>
      <w:r w:rsidR="005F0D7B">
        <w:t>were</w:t>
      </w:r>
      <w:r w:rsidR="005E53C8">
        <w:t xml:space="preserve"> </w:t>
      </w:r>
      <w:r w:rsidR="00494859">
        <w:t xml:space="preserve">not </w:t>
      </w:r>
      <w:r w:rsidR="005E53C8">
        <w:t xml:space="preserve">collected within the same </w:t>
      </w:r>
      <w:r w:rsidR="00494859">
        <w:t xml:space="preserve">survey </w:t>
      </w:r>
      <w:r w:rsidR="005E53C8">
        <w:t>period</w:t>
      </w:r>
      <w:r w:rsidR="0010531D">
        <w:t xml:space="preserve"> </w:t>
      </w:r>
      <w:r w:rsidR="00494859">
        <w:t>among states</w:t>
      </w:r>
      <w:r w:rsidR="0010531D">
        <w:t xml:space="preserve">. </w:t>
      </w:r>
      <w:r w:rsidR="003D60BD">
        <w:t xml:space="preserve">We were able to </w:t>
      </w:r>
      <w:r w:rsidR="00EB2443">
        <w:t>address the effect of DOY on estimates</w:t>
      </w:r>
      <w:r w:rsidR="006F670A">
        <w:t xml:space="preserve"> </w:t>
      </w:r>
      <w:r w:rsidR="00580EBA">
        <w:t>despite</w:t>
      </w:r>
      <w:r w:rsidR="005F0D7B">
        <w:t xml:space="preserve"> the large differences among states in </w:t>
      </w:r>
      <w:r w:rsidR="004C499E">
        <w:t xml:space="preserve">survey periods </w:t>
      </w:r>
      <w:r w:rsidR="006F670A">
        <w:t xml:space="preserve">(compare </w:t>
      </w:r>
      <w:r w:rsidR="00E711C2">
        <w:t>Figure 7</w:t>
      </w:r>
      <w:r w:rsidR="006F670A">
        <w:t xml:space="preserve"> [bottom]</w:t>
      </w:r>
      <w:r w:rsidR="00A33641">
        <w:t xml:space="preserve"> to Figure 3)</w:t>
      </w:r>
      <w:r w:rsidR="00532940">
        <w:t xml:space="preserve">. In addition, we were able to estimate </w:t>
      </w:r>
      <w:r w:rsidR="00387204">
        <w:t>HWP</w:t>
      </w:r>
      <w:r w:rsidR="00532940">
        <w:t xml:space="preserve"> for New Jersey during 20</w:t>
      </w:r>
      <w:r w:rsidR="00142B53">
        <w:t>2</w:t>
      </w:r>
      <w:r w:rsidR="00532940">
        <w:t>0</w:t>
      </w:r>
      <w:r w:rsidR="00142B53">
        <w:t xml:space="preserve">–2021 </w:t>
      </w:r>
      <w:r w:rsidR="000678CC">
        <w:t>and 2011–2016</w:t>
      </w:r>
      <w:r w:rsidR="00B87B54">
        <w:t xml:space="preserve"> for Pennsylvania </w:t>
      </w:r>
      <w:r w:rsidR="00142B53">
        <w:t xml:space="preserve">when </w:t>
      </w:r>
      <w:r w:rsidR="00B87B54">
        <w:t>neither state had data available</w:t>
      </w:r>
      <w:r w:rsidR="00142B53">
        <w:t>.</w:t>
      </w:r>
      <w:r w:rsidR="00FF6E81">
        <w:t xml:space="preserve"> Because the survey period in New York </w:t>
      </w:r>
      <w:r w:rsidR="00825201">
        <w:t>was</w:t>
      </w:r>
      <w:r w:rsidR="00FF6E81">
        <w:t xml:space="preserve"> August, </w:t>
      </w:r>
      <w:r w:rsidR="00D93949">
        <w:t xml:space="preserve">excluding June, July, and September data collected by New Jersey and </w:t>
      </w:r>
      <w:r w:rsidR="00D93949">
        <w:lastRenderedPageBreak/>
        <w:t>Pennsylvania would greatly reduce sample sizes</w:t>
      </w:r>
      <w:r w:rsidR="00054772">
        <w:t>.</w:t>
      </w:r>
      <w:r w:rsidR="00D93949">
        <w:t xml:space="preserve"> </w:t>
      </w:r>
      <w:r w:rsidR="00D01C1F">
        <w:t xml:space="preserve">New Jersey would </w:t>
      </w:r>
      <w:r w:rsidR="000F1F1A">
        <w:t>have</w:t>
      </w:r>
      <w:r w:rsidR="00713983">
        <w:t xml:space="preserve"> to </w:t>
      </w:r>
      <w:r w:rsidR="00D01C1F">
        <w:t>exclude 7</w:t>
      </w:r>
      <w:r w:rsidR="00EA786A">
        <w:t>6</w:t>
      </w:r>
      <w:r w:rsidR="00D01C1F">
        <w:t>%</w:t>
      </w:r>
      <w:r w:rsidR="00EA786A">
        <w:t xml:space="preserve"> (</w:t>
      </w:r>
      <w:r w:rsidR="00EA786A" w:rsidRPr="00E22B3B">
        <w:rPr>
          <w:i/>
          <w:iCs/>
        </w:rPr>
        <w:t>n</w:t>
      </w:r>
      <w:r w:rsidR="00EA786A">
        <w:t xml:space="preserve"> = 3,459)</w:t>
      </w:r>
      <w:r w:rsidR="00D01C1F">
        <w:t xml:space="preserve"> of their data and Pennsylvania would </w:t>
      </w:r>
      <w:r w:rsidR="000F1F1A">
        <w:t>have</w:t>
      </w:r>
      <w:r w:rsidR="00713983">
        <w:t xml:space="preserve"> to </w:t>
      </w:r>
      <w:r w:rsidR="00D01C1F">
        <w:t>exclude</w:t>
      </w:r>
      <w:r w:rsidR="00E22B3B">
        <w:t xml:space="preserve"> 52% of their data (</w:t>
      </w:r>
      <w:r w:rsidR="00E22B3B" w:rsidRPr="00E22B3B">
        <w:rPr>
          <w:i/>
          <w:iCs/>
        </w:rPr>
        <w:t>n</w:t>
      </w:r>
      <w:r w:rsidR="00E22B3B">
        <w:t xml:space="preserve"> = 14,</w:t>
      </w:r>
      <w:r w:rsidR="001079DF">
        <w:t>144</w:t>
      </w:r>
      <w:r w:rsidR="00E22B3B">
        <w:t>).</w:t>
      </w:r>
    </w:p>
    <w:p w14:paraId="0E511DEC" w14:textId="0F7524C9" w:rsidR="0080240A" w:rsidRPr="000F66F8" w:rsidRDefault="0080240A" w:rsidP="00752E14">
      <w:pPr>
        <w:spacing w:after="0" w:line="480" w:lineRule="auto"/>
        <w:rPr>
          <w:b/>
          <w:bCs/>
        </w:rPr>
      </w:pPr>
      <w:r w:rsidRPr="000F66F8">
        <w:rPr>
          <w:b/>
          <w:bCs/>
        </w:rPr>
        <w:t xml:space="preserve">Detecting trends in </w:t>
      </w:r>
      <w:r w:rsidR="00A12ADB">
        <w:rPr>
          <w:b/>
          <w:bCs/>
        </w:rPr>
        <w:t>productivity</w:t>
      </w:r>
    </w:p>
    <w:p w14:paraId="5AF8665C" w14:textId="5377D7A5" w:rsidR="00CB6F27" w:rsidRDefault="00377E1A" w:rsidP="00752E14">
      <w:pPr>
        <w:spacing w:after="0" w:line="480" w:lineRule="auto"/>
      </w:pPr>
      <w:r>
        <w:t xml:space="preserve">The effect of ignoring calendar </w:t>
      </w:r>
      <w:r w:rsidR="0064087C">
        <w:t xml:space="preserve">day </w:t>
      </w:r>
      <w:r>
        <w:t xml:space="preserve">when modeling trends in </w:t>
      </w:r>
      <w:r w:rsidR="00EC7A7B">
        <w:t>productivity</w:t>
      </w:r>
      <w:r w:rsidR="00DD0259">
        <w:t xml:space="preserve"> influence</w:t>
      </w:r>
      <w:r w:rsidR="000C2C3C">
        <w:t>d</w:t>
      </w:r>
      <w:r w:rsidR="00DD0259">
        <w:t xml:space="preserve"> both the precision and </w:t>
      </w:r>
      <w:r w:rsidR="00B44B2B">
        <w:t>point estimate</w:t>
      </w:r>
      <w:r w:rsidR="0064087C">
        <w:t>s</w:t>
      </w:r>
      <w:r w:rsidR="00B44B2B">
        <w:t xml:space="preserve"> of the slope parameter in the model</w:t>
      </w:r>
      <w:r w:rsidR="006D3879">
        <w:t>, which represents the annual trend</w:t>
      </w:r>
      <w:r w:rsidR="00B44B2B">
        <w:t xml:space="preserve">. </w:t>
      </w:r>
      <w:r w:rsidR="0052204C">
        <w:t xml:space="preserve">Incorporating calendar day in the trend model for Pennsylvania indicated </w:t>
      </w:r>
      <w:r w:rsidR="000C2C3C">
        <w:t>no change over time (</w:t>
      </w:r>
      <w:r w:rsidR="000D09ED">
        <w:t xml:space="preserve">ΔAIC = </w:t>
      </w:r>
      <w:r w:rsidR="00B410DF">
        <w:t xml:space="preserve">0.0; </w:t>
      </w:r>
      <w:r w:rsidR="000C2C3C">
        <w:t xml:space="preserve">90% confidence interval </w:t>
      </w:r>
      <w:r w:rsidR="00A81047">
        <w:t>encompassed 0</w:t>
      </w:r>
      <w:r w:rsidR="002D0CC1">
        <w:t xml:space="preserve">; </w:t>
      </w:r>
      <w:r w:rsidR="00813F0D">
        <w:t xml:space="preserve">black </w:t>
      </w:r>
      <w:r w:rsidR="007C51B7">
        <w:t>error bars</w:t>
      </w:r>
      <w:r w:rsidR="00B85E76">
        <w:t xml:space="preserve"> in </w:t>
      </w:r>
      <w:r w:rsidR="002D0CC1">
        <w:t xml:space="preserve">Figure </w:t>
      </w:r>
      <w:r w:rsidR="00813F0D">
        <w:t>8</w:t>
      </w:r>
      <w:r w:rsidR="00D306D0">
        <w:t xml:space="preserve">) whereas a decline </w:t>
      </w:r>
      <w:r w:rsidR="00C56F08">
        <w:t xml:space="preserve">would be inferred </w:t>
      </w:r>
      <w:r w:rsidR="00AD6AA3">
        <w:t xml:space="preserve">when </w:t>
      </w:r>
      <w:r w:rsidR="00891FC8">
        <w:t xml:space="preserve">excluding </w:t>
      </w:r>
      <w:r w:rsidR="00AD6AA3">
        <w:t xml:space="preserve">DOY in </w:t>
      </w:r>
      <w:r w:rsidR="00891FC8">
        <w:t>the model (</w:t>
      </w:r>
      <w:r w:rsidR="00EC66B9">
        <w:t xml:space="preserve">ΔAIC = 22.8; </w:t>
      </w:r>
      <w:r w:rsidR="00B85E76">
        <w:t xml:space="preserve">blue </w:t>
      </w:r>
      <w:r w:rsidR="00D23370">
        <w:t>error bars</w:t>
      </w:r>
      <w:r w:rsidR="00B85E76">
        <w:t xml:space="preserve"> in </w:t>
      </w:r>
      <w:r w:rsidR="00E711C2">
        <w:t>Figure 8</w:t>
      </w:r>
      <w:r w:rsidR="00891FC8">
        <w:t xml:space="preserve">). In contrast, </w:t>
      </w:r>
      <w:r w:rsidR="00FB78EA">
        <w:t xml:space="preserve">nearly </w:t>
      </w:r>
      <w:r w:rsidR="00891FC8">
        <w:t>opposite conclusions</w:t>
      </w:r>
      <w:r w:rsidR="002C60B4">
        <w:t xml:space="preserve"> </w:t>
      </w:r>
      <w:r w:rsidR="00B85E76">
        <w:t xml:space="preserve">would be </w:t>
      </w:r>
      <w:r w:rsidR="002C60B4">
        <w:t xml:space="preserve">inferred for </w:t>
      </w:r>
      <w:r w:rsidR="00891FC8">
        <w:t>Ohio</w:t>
      </w:r>
      <w:r w:rsidR="002C60B4">
        <w:t xml:space="preserve"> data</w:t>
      </w:r>
      <w:r w:rsidR="00042580">
        <w:t xml:space="preserve"> because </w:t>
      </w:r>
      <w:r w:rsidR="00442CFC">
        <w:t xml:space="preserve">the </w:t>
      </w:r>
      <w:r w:rsidR="00E813C5">
        <w:t>trend was positive</w:t>
      </w:r>
      <w:r w:rsidR="00825201">
        <w:t xml:space="preserve"> when DOY was not included in the model</w:t>
      </w:r>
      <w:r w:rsidR="00E813C5">
        <w:t xml:space="preserve"> (</w:t>
      </w:r>
      <w:r w:rsidR="00B0437D">
        <w:t xml:space="preserve">ΔAIC = </w:t>
      </w:r>
      <w:r w:rsidR="00500EA4">
        <w:t>103.9</w:t>
      </w:r>
      <w:r w:rsidR="00B0437D">
        <w:t xml:space="preserve">; </w:t>
      </w:r>
      <w:r w:rsidR="00B75CDE">
        <w:t xml:space="preserve">blue </w:t>
      </w:r>
      <w:r w:rsidR="00D23370">
        <w:t>error bars</w:t>
      </w:r>
      <w:r w:rsidR="00B75CDE">
        <w:t xml:space="preserve"> in Figure 8</w:t>
      </w:r>
      <w:r w:rsidR="00E813C5">
        <w:t>)</w:t>
      </w:r>
      <w:r w:rsidR="00825201">
        <w:t>;</w:t>
      </w:r>
      <w:r w:rsidR="00895253">
        <w:t xml:space="preserve"> no trend</w:t>
      </w:r>
      <w:r w:rsidR="00100A58">
        <w:t xml:space="preserve"> was</w:t>
      </w:r>
      <w:r w:rsidR="00895253">
        <w:t xml:space="preserve"> </w:t>
      </w:r>
      <w:r w:rsidR="00F00DE2">
        <w:t xml:space="preserve">detected </w:t>
      </w:r>
      <w:r w:rsidR="00895253">
        <w:t>when DOY was included</w:t>
      </w:r>
      <w:r w:rsidR="00B05CFA">
        <w:t xml:space="preserve"> (</w:t>
      </w:r>
      <w:r w:rsidR="00B0437D">
        <w:t xml:space="preserve">ΔAIC = </w:t>
      </w:r>
      <w:r w:rsidR="002525BB">
        <w:t xml:space="preserve">8.6; </w:t>
      </w:r>
      <w:r w:rsidR="00B05CFA">
        <w:t xml:space="preserve">black </w:t>
      </w:r>
      <w:r w:rsidR="00D23370">
        <w:t>error bars</w:t>
      </w:r>
      <w:r w:rsidR="00B05CFA">
        <w:t xml:space="preserve"> in Figure 8)</w:t>
      </w:r>
      <w:r w:rsidR="00825201">
        <w:t>;</w:t>
      </w:r>
      <w:r w:rsidR="00895253">
        <w:t xml:space="preserve"> and </w:t>
      </w:r>
      <w:r w:rsidR="000C2684">
        <w:t xml:space="preserve">the trend was </w:t>
      </w:r>
      <w:r w:rsidR="00895253">
        <w:t xml:space="preserve">positive with </w:t>
      </w:r>
      <w:r w:rsidR="00100A58">
        <w:t xml:space="preserve">the </w:t>
      </w:r>
      <w:r w:rsidR="00FF257C">
        <w:t xml:space="preserve">largest </w:t>
      </w:r>
      <w:r w:rsidR="00D81EDB">
        <w:t>precision</w:t>
      </w:r>
      <w:r w:rsidR="00491710">
        <w:t xml:space="preserve"> when DOY and habitat </w:t>
      </w:r>
      <w:r w:rsidR="005506B9">
        <w:t>were</w:t>
      </w:r>
      <w:r w:rsidR="00491710">
        <w:t xml:space="preserve"> included (</w:t>
      </w:r>
      <w:r w:rsidR="002525BB">
        <w:t xml:space="preserve">ΔAIC = 0.0; </w:t>
      </w:r>
      <w:r w:rsidR="00D23366">
        <w:t xml:space="preserve">orange </w:t>
      </w:r>
      <w:r w:rsidR="00D23370">
        <w:t xml:space="preserve">error bars in </w:t>
      </w:r>
      <w:r w:rsidR="00E711C2">
        <w:t>Figure 8</w:t>
      </w:r>
      <w:r w:rsidR="00491710">
        <w:t>)</w:t>
      </w:r>
      <w:r w:rsidR="00891FC8">
        <w:t>.</w:t>
      </w:r>
      <w:r w:rsidR="00657912">
        <w:t xml:space="preserve"> </w:t>
      </w:r>
      <w:r w:rsidR="006C0947">
        <w:t xml:space="preserve">Including DOY in the </w:t>
      </w:r>
      <w:r w:rsidR="00522CB1">
        <w:t xml:space="preserve">New York </w:t>
      </w:r>
      <w:r w:rsidR="006C0947">
        <w:t xml:space="preserve">model had little effect on </w:t>
      </w:r>
      <w:r w:rsidR="00522CB1">
        <w:t xml:space="preserve">either the point estimate of the slope parameter because </w:t>
      </w:r>
      <w:r w:rsidR="00874004">
        <w:t>New York</w:t>
      </w:r>
      <w:r w:rsidR="00657912">
        <w:t xml:space="preserve"> only collect</w:t>
      </w:r>
      <w:r w:rsidR="00B27179">
        <w:t>ed</w:t>
      </w:r>
      <w:r w:rsidR="00657912">
        <w:t xml:space="preserve"> </w:t>
      </w:r>
      <w:r w:rsidR="003545F5">
        <w:t>data</w:t>
      </w:r>
      <w:r w:rsidR="00657912">
        <w:t xml:space="preserve"> during August</w:t>
      </w:r>
      <w:r w:rsidR="00290ACB">
        <w:t xml:space="preserve">; however, </w:t>
      </w:r>
      <w:r w:rsidR="00425CBE">
        <w:t xml:space="preserve">there was </w:t>
      </w:r>
      <w:r w:rsidR="00290ACB">
        <w:t xml:space="preserve">little </w:t>
      </w:r>
      <w:r w:rsidR="00874004">
        <w:t>loss of</w:t>
      </w:r>
      <w:r w:rsidR="00930DCD">
        <w:t xml:space="preserve"> precision</w:t>
      </w:r>
      <w:r w:rsidR="00290ACB">
        <w:t xml:space="preserve"> </w:t>
      </w:r>
      <w:r w:rsidR="00425CBE">
        <w:t>for including DOY and DOY</w:t>
      </w:r>
      <w:r w:rsidR="00425CBE" w:rsidRPr="00425CBE">
        <w:rPr>
          <w:vertAlign w:val="superscript"/>
        </w:rPr>
        <w:t>2</w:t>
      </w:r>
      <w:r w:rsidR="00425CBE">
        <w:t xml:space="preserve"> in the model </w:t>
      </w:r>
      <w:r w:rsidR="00E56847">
        <w:t>as evident by nearly identical</w:t>
      </w:r>
      <w:r w:rsidR="00425CBE">
        <w:t xml:space="preserve"> </w:t>
      </w:r>
      <w:r w:rsidR="00930DCD">
        <w:t>confidence intervals</w:t>
      </w:r>
      <w:r w:rsidR="008A3B21">
        <w:t xml:space="preserve"> (Figure 8)</w:t>
      </w:r>
      <w:r w:rsidR="00323A81">
        <w:t>.</w:t>
      </w:r>
    </w:p>
    <w:p w14:paraId="0C6333D6" w14:textId="65B55BB3" w:rsidR="00A61788" w:rsidRPr="006754FB" w:rsidRDefault="001E172D" w:rsidP="00752E14">
      <w:pPr>
        <w:spacing w:after="0" w:line="480" w:lineRule="auto"/>
        <w:rPr>
          <w:b/>
          <w:bCs/>
        </w:rPr>
      </w:pPr>
      <w:r w:rsidRPr="006754FB">
        <w:rPr>
          <w:b/>
          <w:bCs/>
        </w:rPr>
        <w:t>DISCUSSION</w:t>
      </w:r>
    </w:p>
    <w:p w14:paraId="7D1D6860" w14:textId="7A624201" w:rsidR="00EA7ECC" w:rsidRDefault="00F53106" w:rsidP="00752E14">
      <w:pPr>
        <w:spacing w:after="0" w:line="480" w:lineRule="auto"/>
      </w:pPr>
      <w:r>
        <w:t>Recruitment</w:t>
      </w:r>
      <w:r w:rsidR="00EA30C7">
        <w:t xml:space="preserve"> in wild turkeys</w:t>
      </w:r>
      <w:r w:rsidR="0038663E">
        <w:t xml:space="preserve"> can be considered a </w:t>
      </w:r>
      <w:r w:rsidR="006D3A7C">
        <w:t>sequential</w:t>
      </w:r>
      <w:r w:rsidR="0038663E">
        <w:t xml:space="preserve"> process whereby hens first need to </w:t>
      </w:r>
      <w:r w:rsidR="002A7432">
        <w:t>complete egg-laying and incubation</w:t>
      </w:r>
      <w:r w:rsidR="0038663E">
        <w:t xml:space="preserve">, </w:t>
      </w:r>
      <w:r w:rsidR="002512F8">
        <w:t xml:space="preserve">then </w:t>
      </w:r>
      <w:r w:rsidR="0038663E">
        <w:t xml:space="preserve">hatch eggs, and </w:t>
      </w:r>
      <w:r w:rsidR="002512F8">
        <w:t xml:space="preserve">finally </w:t>
      </w:r>
      <w:r w:rsidR="0038663E">
        <w:t>successfully rear poults</w:t>
      </w:r>
      <w:r w:rsidR="00187CC6">
        <w:t xml:space="preserve">. Consequently, we chose to quantify </w:t>
      </w:r>
      <w:r w:rsidR="003D52FD">
        <w:t>productivity</w:t>
      </w:r>
      <w:r w:rsidR="00187CC6">
        <w:t xml:space="preserve"> in wild turkeys </w:t>
      </w:r>
      <w:r w:rsidR="00FD24E6">
        <w:t>using</w:t>
      </w:r>
      <w:r w:rsidR="00187CC6">
        <w:t xml:space="preserve"> </w:t>
      </w:r>
      <w:r w:rsidR="00B15ECB">
        <w:t>the proportion of hens with poults (</w:t>
      </w:r>
      <w:r w:rsidR="00387204">
        <w:t>HWP</w:t>
      </w:r>
      <w:r w:rsidR="00D75B99">
        <w:t xml:space="preserve">, i.e., </w:t>
      </w:r>
      <w:r w:rsidR="00B15ECB">
        <w:t xml:space="preserve">successfully hatched eggs), and then </w:t>
      </w:r>
      <w:r w:rsidR="00D75B99">
        <w:t xml:space="preserve">for </w:t>
      </w:r>
      <w:r w:rsidR="00B15ECB">
        <w:t xml:space="preserve">those hens with poults </w:t>
      </w:r>
      <w:r w:rsidR="00126245">
        <w:t xml:space="preserve">to </w:t>
      </w:r>
      <w:r w:rsidR="00653AD7">
        <w:t xml:space="preserve">estimate </w:t>
      </w:r>
      <w:r w:rsidR="00D75B99">
        <w:t>brood</w:t>
      </w:r>
      <w:r w:rsidR="00AA6D48">
        <w:t xml:space="preserve"> </w:t>
      </w:r>
      <w:r w:rsidR="00653AD7">
        <w:t xml:space="preserve">size </w:t>
      </w:r>
      <w:r w:rsidR="00AA6D48">
        <w:t>(PPB)</w:t>
      </w:r>
      <w:r w:rsidR="00D75B99">
        <w:t>.</w:t>
      </w:r>
      <w:r w:rsidR="00AA6D48">
        <w:t xml:space="preserve"> The product of </w:t>
      </w:r>
      <w:r w:rsidR="00387204">
        <w:t>HWP</w:t>
      </w:r>
      <w:r w:rsidR="00AA6D48">
        <w:t xml:space="preserve"> and PPB </w:t>
      </w:r>
      <w:r w:rsidR="00E63CD3">
        <w:t xml:space="preserve">can be </w:t>
      </w:r>
      <w:r w:rsidR="005C080C">
        <w:t>used as an index to</w:t>
      </w:r>
      <w:r w:rsidR="00AA6D48">
        <w:t xml:space="preserve"> recruitment</w:t>
      </w:r>
      <w:r w:rsidR="00DC44CE">
        <w:t xml:space="preserve"> (poults per hen</w:t>
      </w:r>
      <w:r w:rsidR="00A7021B">
        <w:t xml:space="preserve"> [PPH]</w:t>
      </w:r>
      <w:r w:rsidR="00DC44CE">
        <w:t>)</w:t>
      </w:r>
      <w:r w:rsidR="00EF5D68">
        <w:t xml:space="preserve">. </w:t>
      </w:r>
      <w:r w:rsidR="000B667C">
        <w:t>We believe s</w:t>
      </w:r>
      <w:r w:rsidR="00984C89">
        <w:t>eparat</w:t>
      </w:r>
      <w:r w:rsidR="00190A19">
        <w:t>ely estimat</w:t>
      </w:r>
      <w:r w:rsidR="00984C89">
        <w:t xml:space="preserve">ing these </w:t>
      </w:r>
      <w:r w:rsidR="006F4508">
        <w:t xml:space="preserve">2 </w:t>
      </w:r>
      <w:r w:rsidR="00984C89">
        <w:t>components of recruitment</w:t>
      </w:r>
      <w:r w:rsidR="00EF5D68">
        <w:t xml:space="preserve"> </w:t>
      </w:r>
      <w:r w:rsidR="00984C89">
        <w:t xml:space="preserve">in </w:t>
      </w:r>
      <w:r w:rsidR="00EF5D68">
        <w:lastRenderedPageBreak/>
        <w:t>wild turkey is preferable to es</w:t>
      </w:r>
      <w:r w:rsidR="00A7021B">
        <w:t>timating PPH because different factors</w:t>
      </w:r>
      <w:r w:rsidR="00E248BD">
        <w:t xml:space="preserve"> are likely affecting nest success and poult survival.</w:t>
      </w:r>
      <w:r w:rsidR="00463167">
        <w:t xml:space="preserve"> </w:t>
      </w:r>
      <w:r w:rsidR="00667A82">
        <w:t>In fact</w:t>
      </w:r>
      <w:r w:rsidR="00463167">
        <w:t>, we found differen</w:t>
      </w:r>
      <w:r w:rsidR="001429A7">
        <w:t xml:space="preserve">ces in </w:t>
      </w:r>
      <w:r w:rsidR="00463167">
        <w:t xml:space="preserve">variability between </w:t>
      </w:r>
      <w:r w:rsidR="00387204">
        <w:t>HWP</w:t>
      </w:r>
      <w:r w:rsidR="00463167">
        <w:t xml:space="preserve"> and PPB, </w:t>
      </w:r>
      <w:r w:rsidR="00E45A7E">
        <w:t>in which</w:t>
      </w:r>
      <w:r w:rsidR="00463167">
        <w:t xml:space="preserve"> </w:t>
      </w:r>
      <w:r w:rsidR="00387204">
        <w:t>HWP</w:t>
      </w:r>
      <w:r w:rsidR="00E45A7E">
        <w:t xml:space="preserve"> exhibited </w:t>
      </w:r>
      <w:r w:rsidR="001429A7">
        <w:t xml:space="preserve">greater spatial </w:t>
      </w:r>
      <w:r w:rsidR="00E45A7E">
        <w:t xml:space="preserve">variation among MUs </w:t>
      </w:r>
      <w:r w:rsidR="000103ED">
        <w:t xml:space="preserve">compared to </w:t>
      </w:r>
      <w:r w:rsidR="00E45A7E">
        <w:t>PPB.</w:t>
      </w:r>
      <w:r w:rsidR="008064FB">
        <w:t xml:space="preserve"> </w:t>
      </w:r>
      <w:r w:rsidR="00D46A80">
        <w:t>M</w:t>
      </w:r>
      <w:r w:rsidR="008064FB">
        <w:t xml:space="preserve">ore importantly, the </w:t>
      </w:r>
      <w:r w:rsidR="00E05EB2">
        <w:t xml:space="preserve">timing of when observations of </w:t>
      </w:r>
      <w:r w:rsidR="00387204">
        <w:t>HWP</w:t>
      </w:r>
      <w:r w:rsidR="00E05EB2">
        <w:t xml:space="preserve"> and PPB are collected </w:t>
      </w:r>
      <w:r w:rsidR="001A2B3A">
        <w:t xml:space="preserve">(DOY) </w:t>
      </w:r>
      <w:r w:rsidR="00D46A80">
        <w:t xml:space="preserve">affects these productivity parameters </w:t>
      </w:r>
      <w:r w:rsidR="00E05EB2">
        <w:t>differently</w:t>
      </w:r>
      <w:r w:rsidR="00D46A80">
        <w:t>.</w:t>
      </w:r>
    </w:p>
    <w:p w14:paraId="4903072B" w14:textId="06B7B86B" w:rsidR="00E1712F" w:rsidRDefault="00961E36" w:rsidP="00752E14">
      <w:pPr>
        <w:spacing w:after="0" w:line="480" w:lineRule="auto"/>
        <w:ind w:firstLine="720"/>
      </w:pPr>
      <w:r>
        <w:t xml:space="preserve">The patterns of change </w:t>
      </w:r>
      <w:r w:rsidR="00681E4C">
        <w:t xml:space="preserve">that we observed </w:t>
      </w:r>
      <w:r>
        <w:t xml:space="preserve">in </w:t>
      </w:r>
      <w:r w:rsidR="00387204">
        <w:t>HWP</w:t>
      </w:r>
      <w:r>
        <w:t xml:space="preserve"> and PPH with DOY were expected from what is known about breeding biology of wild turkeys. </w:t>
      </w:r>
      <w:r w:rsidR="002C4168">
        <w:t>The proportion of h</w:t>
      </w:r>
      <w:r>
        <w:t xml:space="preserve">ens with </w:t>
      </w:r>
      <w:r w:rsidR="006C2BCE">
        <w:t>poult</w:t>
      </w:r>
      <w:r>
        <w:t xml:space="preserve">s increased asymptotically with date reflecting the protracted nesting </w:t>
      </w:r>
      <w:r w:rsidR="00276A41">
        <w:t xml:space="preserve">and re-nesting </w:t>
      </w:r>
      <w:r>
        <w:t xml:space="preserve">chronology of wild turkeys and </w:t>
      </w:r>
      <w:r w:rsidR="00F73525">
        <w:t xml:space="preserve">declining </w:t>
      </w:r>
      <w:r>
        <w:t xml:space="preserve">brood size </w:t>
      </w:r>
      <w:r w:rsidR="00C61000">
        <w:t>reflected</w:t>
      </w:r>
      <w:r w:rsidR="00F73525">
        <w:t xml:space="preserve"> </w:t>
      </w:r>
      <w:r>
        <w:t>poult mortality. Th</w:t>
      </w:r>
      <w:r w:rsidR="00D60299">
        <w:t>e patterns we found with DOY</w:t>
      </w:r>
      <w:r>
        <w:t xml:space="preserve"> provide empirical evidence that summer observations </w:t>
      </w:r>
      <w:r w:rsidR="006D3879">
        <w:t>are likely to provide</w:t>
      </w:r>
      <w:r>
        <w:t xml:space="preserve"> useful and relevant data for management. </w:t>
      </w:r>
      <w:r w:rsidR="00090B2F">
        <w:t xml:space="preserve">Furthermore, </w:t>
      </w:r>
      <w:r w:rsidR="00243A7F">
        <w:t xml:space="preserve">we can estimate </w:t>
      </w:r>
      <w:r w:rsidR="00387204">
        <w:t>HWP</w:t>
      </w:r>
      <w:r w:rsidR="00243A7F">
        <w:t xml:space="preserve"> and PPB for any given date</w:t>
      </w:r>
      <w:r w:rsidR="006F4508">
        <w:t xml:space="preserve"> because our models account for DOY</w:t>
      </w:r>
      <w:r w:rsidR="00243A7F">
        <w:t xml:space="preserve">. We used </w:t>
      </w:r>
      <w:r w:rsidR="009A0FBD">
        <w:t xml:space="preserve">a </w:t>
      </w:r>
      <w:r w:rsidR="00874865">
        <w:t xml:space="preserve">DOY </w:t>
      </w:r>
      <w:r w:rsidR="009A0FBD">
        <w:t>of</w:t>
      </w:r>
      <w:r w:rsidR="00874865">
        <w:t xml:space="preserve"> </w:t>
      </w:r>
      <w:r w:rsidR="00243A7F">
        <w:t>31 August</w:t>
      </w:r>
      <w:r w:rsidR="00C0009A">
        <w:t>, the latest date that all states collected summer sighting data,</w:t>
      </w:r>
      <w:r w:rsidR="00243A7F">
        <w:t xml:space="preserve"> </w:t>
      </w:r>
      <w:r w:rsidR="003C149D">
        <w:t xml:space="preserve">such that </w:t>
      </w:r>
      <w:r w:rsidR="001A7AA8">
        <w:t xml:space="preserve">all </w:t>
      </w:r>
      <w:r w:rsidR="00B9539F">
        <w:t>nesting</w:t>
      </w:r>
      <w:r w:rsidR="003B1E8B">
        <w:t xml:space="preserve"> and </w:t>
      </w:r>
      <w:r w:rsidR="001A7AA8">
        <w:t xml:space="preserve">most </w:t>
      </w:r>
      <w:r w:rsidR="003B1E8B">
        <w:t xml:space="preserve">poult </w:t>
      </w:r>
      <w:r w:rsidR="001A7AA8">
        <w:t>mortality h</w:t>
      </w:r>
      <w:r w:rsidR="003B1E8B">
        <w:t>a</w:t>
      </w:r>
      <w:r w:rsidR="003C149D">
        <w:t>d</w:t>
      </w:r>
      <w:r w:rsidR="003B1E8B">
        <w:t xml:space="preserve"> occurred </w:t>
      </w:r>
      <w:r w:rsidR="00743B91">
        <w:t xml:space="preserve">so that </w:t>
      </w:r>
      <w:r w:rsidR="00387204">
        <w:t>HWP</w:t>
      </w:r>
      <w:r w:rsidR="00743B91">
        <w:t xml:space="preserve"> and PPB </w:t>
      </w:r>
      <w:r w:rsidR="003B1E8B">
        <w:t>provide</w:t>
      </w:r>
      <w:r w:rsidR="00743B91">
        <w:t>d</w:t>
      </w:r>
      <w:r w:rsidR="003B1E8B">
        <w:t xml:space="preserve"> </w:t>
      </w:r>
      <w:r w:rsidR="003B3C64">
        <w:t>an index to</w:t>
      </w:r>
      <w:r w:rsidR="003B1E8B">
        <w:t xml:space="preserve"> </w:t>
      </w:r>
      <w:r w:rsidR="009F230D">
        <w:t>recruitment (</w:t>
      </w:r>
      <w:r w:rsidR="00387204">
        <w:t>HWP</w:t>
      </w:r>
      <w:r w:rsidR="009F230D">
        <w:t xml:space="preserve"> × PPB) </w:t>
      </w:r>
      <w:r w:rsidR="007576F6">
        <w:t xml:space="preserve">that </w:t>
      </w:r>
      <w:r w:rsidR="00FA542C">
        <w:t xml:space="preserve">was </w:t>
      </w:r>
      <w:r w:rsidR="007576F6">
        <w:t>comparable among all states</w:t>
      </w:r>
      <w:r w:rsidR="009F230D">
        <w:t>.</w:t>
      </w:r>
      <w:r w:rsidR="005A3025">
        <w:t xml:space="preserve"> Not only does including DOY in models a</w:t>
      </w:r>
      <w:r w:rsidR="003A4619">
        <w:t>ccount for variation in when observations occur but</w:t>
      </w:r>
      <w:r w:rsidR="007B6B38">
        <w:t xml:space="preserve"> it</w:t>
      </w:r>
      <w:r w:rsidR="003A4619">
        <w:t xml:space="preserve"> allows direct comparison of estimates </w:t>
      </w:r>
      <w:r w:rsidR="007B6B38">
        <w:t xml:space="preserve">of </w:t>
      </w:r>
      <w:r w:rsidR="00387204">
        <w:t>HWP</w:t>
      </w:r>
      <w:r w:rsidR="007B6B38">
        <w:t xml:space="preserve"> and PPB </w:t>
      </w:r>
      <w:r w:rsidR="003A4619">
        <w:t xml:space="preserve">when </w:t>
      </w:r>
      <w:r w:rsidR="007B6B38">
        <w:t>sampling protocols differ</w:t>
      </w:r>
      <w:r w:rsidR="002F6C4B">
        <w:t xml:space="preserve"> </w:t>
      </w:r>
      <w:r w:rsidR="00424534">
        <w:t xml:space="preserve">spatially (i.e., </w:t>
      </w:r>
      <w:r w:rsidR="002F6C4B">
        <w:t>among states</w:t>
      </w:r>
      <w:r w:rsidR="00424534">
        <w:t>)</w:t>
      </w:r>
      <w:r w:rsidR="002F6C4B">
        <w:t xml:space="preserve"> or over time</w:t>
      </w:r>
      <w:r w:rsidR="007B6B38">
        <w:t>.</w:t>
      </w:r>
    </w:p>
    <w:p w14:paraId="541438CE" w14:textId="1B43DF63" w:rsidR="00A2326D" w:rsidRDefault="00960D9D" w:rsidP="00752E14">
      <w:pPr>
        <w:spacing w:after="0" w:line="480" w:lineRule="auto"/>
      </w:pPr>
      <w:r>
        <w:tab/>
      </w:r>
      <w:r w:rsidR="00BD01F1">
        <w:t>A</w:t>
      </w:r>
      <w:r w:rsidR="00B445C6">
        <w:t xml:space="preserve"> fundamental challenge </w:t>
      </w:r>
      <w:r w:rsidR="00360855">
        <w:t xml:space="preserve">with making inferences from </w:t>
      </w:r>
      <w:r w:rsidR="00B445C6">
        <w:t xml:space="preserve">the summer sighting survey </w:t>
      </w:r>
      <w:r w:rsidR="00904EE5">
        <w:t>remains</w:t>
      </w:r>
      <w:r w:rsidR="00B445C6">
        <w:t xml:space="preserve"> the </w:t>
      </w:r>
      <w:r w:rsidR="006D3879">
        <w:t xml:space="preserve">uncontrolled </w:t>
      </w:r>
      <w:r w:rsidR="00B445C6">
        <w:t xml:space="preserve">collection of observations over space and time. </w:t>
      </w:r>
      <w:r w:rsidR="00B46F87">
        <w:t>Despite the advantage</w:t>
      </w:r>
      <w:r w:rsidR="00E848A3">
        <w:t>s</w:t>
      </w:r>
      <w:r w:rsidR="00B46F87">
        <w:t xml:space="preserve"> of </w:t>
      </w:r>
      <w:r w:rsidR="006A12C2">
        <w:t xml:space="preserve">separately </w:t>
      </w:r>
      <w:r w:rsidR="0081410E">
        <w:t xml:space="preserve">estimating </w:t>
      </w:r>
      <w:r w:rsidR="00387204">
        <w:t>HWP</w:t>
      </w:r>
      <w:r w:rsidR="0081410E">
        <w:t xml:space="preserve"> and PPB, </w:t>
      </w:r>
      <w:r w:rsidR="000C7EBE">
        <w:t xml:space="preserve">numerous factors influence </w:t>
      </w:r>
      <w:r w:rsidR="001B6A13">
        <w:t xml:space="preserve">estimates </w:t>
      </w:r>
      <w:r w:rsidR="000C7EBE">
        <w:t>obtained from opportunistic sighting</w:t>
      </w:r>
      <w:r w:rsidR="00F35825">
        <w:t>s</w:t>
      </w:r>
      <w:r w:rsidR="000C7EBE">
        <w:t xml:space="preserve"> of wild turkey </w:t>
      </w:r>
      <w:r w:rsidR="006A12C2">
        <w:t>during</w:t>
      </w:r>
      <w:r w:rsidR="000C7EBE">
        <w:t xml:space="preserve"> summer</w:t>
      </w:r>
      <w:r w:rsidR="0022551C">
        <w:t xml:space="preserve"> </w:t>
      </w:r>
      <w:r w:rsidR="002C4168">
        <w:t>sighting</w:t>
      </w:r>
      <w:r w:rsidR="0022551C">
        <w:t xml:space="preserve"> surveys</w:t>
      </w:r>
      <w:r w:rsidR="000C7EBE">
        <w:t xml:space="preserve">. </w:t>
      </w:r>
      <w:r w:rsidR="005A0621">
        <w:t>Biologically, c</w:t>
      </w:r>
      <w:r w:rsidR="0022551C" w:rsidRPr="006754FB">
        <w:t>rèche behavior</w:t>
      </w:r>
      <w:r w:rsidR="0022551C">
        <w:t xml:space="preserve"> in wild turkey</w:t>
      </w:r>
      <w:r w:rsidR="00D305A2">
        <w:t>s</w:t>
      </w:r>
      <w:r w:rsidR="0022551C">
        <w:t xml:space="preserve"> means that multiple hens and poults may be sighted together</w:t>
      </w:r>
      <w:r w:rsidR="006D3879">
        <w:t>,</w:t>
      </w:r>
      <w:r w:rsidR="0022551C">
        <w:t xml:space="preserve"> and one cannot assess whether</w:t>
      </w:r>
      <w:r w:rsidR="00D7291B">
        <w:t xml:space="preserve"> all hens </w:t>
      </w:r>
      <w:proofErr w:type="gramStart"/>
      <w:r w:rsidR="00D7291B">
        <w:t>present</w:t>
      </w:r>
      <w:proofErr w:type="gramEnd"/>
      <w:r w:rsidR="00D7291B">
        <w:t xml:space="preserve"> </w:t>
      </w:r>
      <w:r w:rsidR="001D2B7D">
        <w:t xml:space="preserve">are </w:t>
      </w:r>
      <w:r w:rsidR="00D7291B">
        <w:t>a parent of offspring observed.</w:t>
      </w:r>
      <w:r w:rsidR="00925FA5">
        <w:t xml:space="preserve"> </w:t>
      </w:r>
      <w:r w:rsidR="00295668">
        <w:t xml:space="preserve">Counts of hens and </w:t>
      </w:r>
      <w:r w:rsidR="00295668">
        <w:lastRenderedPageBreak/>
        <w:t>poults are fraught with potential errors, such as undercounting</w:t>
      </w:r>
      <w:r w:rsidR="001B1CEE">
        <w:t xml:space="preserve"> poults because of </w:t>
      </w:r>
      <w:r w:rsidR="00900B11">
        <w:t>vegetation obstructing the observer’s view</w:t>
      </w:r>
      <w:r w:rsidR="00E73343">
        <w:t xml:space="preserve"> and</w:t>
      </w:r>
      <w:r w:rsidR="00A2326D">
        <w:t xml:space="preserve"> </w:t>
      </w:r>
      <w:proofErr w:type="gramStart"/>
      <w:r w:rsidR="00A2326D">
        <w:t>misidentification</w:t>
      </w:r>
      <w:proofErr w:type="gramEnd"/>
      <w:r w:rsidR="00A2326D">
        <w:t xml:space="preserve"> of poults </w:t>
      </w:r>
      <w:r w:rsidR="00394C8D">
        <w:t xml:space="preserve">and </w:t>
      </w:r>
      <w:r w:rsidR="00A2326D">
        <w:t>hens</w:t>
      </w:r>
      <w:r w:rsidR="00A00CD4">
        <w:t xml:space="preserve"> </w:t>
      </w:r>
      <w:r w:rsidR="00394C8D">
        <w:t>when</w:t>
      </w:r>
      <w:r w:rsidR="00A00CD4">
        <w:t xml:space="preserve"> poults </w:t>
      </w:r>
      <w:r w:rsidR="00062AED">
        <w:t xml:space="preserve">approach </w:t>
      </w:r>
      <w:r w:rsidR="00A00CD4">
        <w:t>adult size</w:t>
      </w:r>
      <w:r w:rsidR="00E73343">
        <w:t xml:space="preserve">. </w:t>
      </w:r>
      <w:r w:rsidR="00B47199">
        <w:t>Furthermore, b</w:t>
      </w:r>
      <w:r w:rsidR="00E73343">
        <w:t>oth undercounting and misidentification could be confounded by phenological changes in vegetation during the survey period</w:t>
      </w:r>
      <w:r w:rsidR="00B47199">
        <w:t xml:space="preserve"> that may influence</w:t>
      </w:r>
      <w:r w:rsidR="00F95D22">
        <w:t xml:space="preserve"> </w:t>
      </w:r>
      <w:r w:rsidR="00062AED">
        <w:t xml:space="preserve">the ability of </w:t>
      </w:r>
      <w:r w:rsidR="00F95D22">
        <w:t xml:space="preserve">observers to </w:t>
      </w:r>
      <w:r w:rsidR="001B4B83">
        <w:t xml:space="preserve">accurately </w:t>
      </w:r>
      <w:r w:rsidR="00F95D22">
        <w:t xml:space="preserve">count and </w:t>
      </w:r>
      <w:r w:rsidR="00062AED">
        <w:t xml:space="preserve">determine </w:t>
      </w:r>
      <w:r w:rsidR="00F95D22">
        <w:t>the age of turkeys</w:t>
      </w:r>
      <w:r w:rsidR="00E73343">
        <w:t>.</w:t>
      </w:r>
      <w:r w:rsidR="00F970BB">
        <w:t xml:space="preserve"> </w:t>
      </w:r>
      <w:r w:rsidR="00472497">
        <w:t>Consequently,</w:t>
      </w:r>
      <w:r w:rsidR="006C04D7">
        <w:t xml:space="preserve"> the patterns we observed in DOY</w:t>
      </w:r>
      <w:r w:rsidR="00472497">
        <w:t xml:space="preserve">, although </w:t>
      </w:r>
      <w:r w:rsidR="004105A3">
        <w:t xml:space="preserve">likely </w:t>
      </w:r>
      <w:r w:rsidR="006C04D7">
        <w:t xml:space="preserve">dominated by </w:t>
      </w:r>
      <w:r w:rsidR="00B71D74">
        <w:t xml:space="preserve">patterns in </w:t>
      </w:r>
      <w:r w:rsidR="00E015BF">
        <w:t xml:space="preserve">timing of </w:t>
      </w:r>
      <w:r w:rsidR="00B71D74">
        <w:t xml:space="preserve">nesting, nest </w:t>
      </w:r>
      <w:r w:rsidR="00237164">
        <w:t>survival</w:t>
      </w:r>
      <w:r w:rsidR="00B71D74">
        <w:t>, and poult mortality</w:t>
      </w:r>
      <w:r w:rsidR="00246933">
        <w:t>,</w:t>
      </w:r>
      <w:r w:rsidR="004105A3">
        <w:t xml:space="preserve"> </w:t>
      </w:r>
      <w:r w:rsidR="00BA0E40">
        <w:t>also include</w:t>
      </w:r>
      <w:r w:rsidR="004105A3">
        <w:t xml:space="preserve"> factors that influ</w:t>
      </w:r>
      <w:r w:rsidR="00C42B82">
        <w:t xml:space="preserve">ence </w:t>
      </w:r>
      <w:r w:rsidR="00C11D7F">
        <w:t xml:space="preserve">and introduce error in </w:t>
      </w:r>
      <w:r w:rsidR="00C42B82">
        <w:t>counts of turkeys</w:t>
      </w:r>
      <w:r w:rsidR="00DB323C">
        <w:t>.</w:t>
      </w:r>
    </w:p>
    <w:p w14:paraId="5948DE5B" w14:textId="7072B06F" w:rsidR="00EA7ECC" w:rsidRDefault="002D462F" w:rsidP="00752E14">
      <w:pPr>
        <w:spacing w:after="0" w:line="480" w:lineRule="auto"/>
      </w:pPr>
      <w:r>
        <w:tab/>
      </w:r>
      <w:r w:rsidR="00D0045B">
        <w:t>D</w:t>
      </w:r>
      <w:r w:rsidR="00D147A4">
        <w:t xml:space="preserve">ata collected to estimate </w:t>
      </w:r>
      <w:r w:rsidR="00A12ADB">
        <w:t>productivity</w:t>
      </w:r>
      <w:r w:rsidR="00D147A4">
        <w:t xml:space="preserve"> in wild turkey </w:t>
      </w:r>
      <w:r w:rsidR="00D0045B">
        <w:t>ideally w</w:t>
      </w:r>
      <w:r w:rsidR="00D147A4">
        <w:t xml:space="preserve">ould </w:t>
      </w:r>
      <w:r w:rsidR="00F70B05">
        <w:t xml:space="preserve">be </w:t>
      </w:r>
      <w:r w:rsidR="007F618A">
        <w:t xml:space="preserve">completed </w:t>
      </w:r>
      <w:r w:rsidR="00F70B05">
        <w:t xml:space="preserve">during a short </w:t>
      </w:r>
      <w:r w:rsidR="00191809">
        <w:t>(</w:t>
      </w:r>
      <w:r w:rsidR="00DD54D5">
        <w:t xml:space="preserve">nearly </w:t>
      </w:r>
      <w:r w:rsidR="00191809">
        <w:t>instan</w:t>
      </w:r>
      <w:r w:rsidR="00A92E49">
        <w:t>tan</w:t>
      </w:r>
      <w:r w:rsidR="00191809">
        <w:t xml:space="preserve">eous) </w:t>
      </w:r>
      <w:r w:rsidR="00F70B05">
        <w:t xml:space="preserve">period and </w:t>
      </w:r>
      <w:r w:rsidR="0074134D">
        <w:t>on</w:t>
      </w:r>
      <w:r w:rsidR="00A92E49">
        <w:t xml:space="preserve"> </w:t>
      </w:r>
      <w:r w:rsidR="00F70B05">
        <w:t xml:space="preserve">the same </w:t>
      </w:r>
      <w:r w:rsidR="00FE1E83">
        <w:t>date</w:t>
      </w:r>
      <w:r w:rsidR="00F27B37">
        <w:t>s</w:t>
      </w:r>
      <w:r w:rsidR="00FE1E83">
        <w:t xml:space="preserve"> </w:t>
      </w:r>
      <w:r w:rsidR="007F618A">
        <w:t xml:space="preserve">each </w:t>
      </w:r>
      <w:proofErr w:type="gramStart"/>
      <w:r w:rsidR="00F70B05">
        <w:t>year</w:t>
      </w:r>
      <w:r w:rsidR="00062AED">
        <w:t>;</w:t>
      </w:r>
      <w:proofErr w:type="gramEnd"/>
      <w:r w:rsidR="00CD405A">
        <w:t xml:space="preserve"> although</w:t>
      </w:r>
      <w:r w:rsidR="00CD405A" w:rsidRPr="00CD405A">
        <w:rPr>
          <w:kern w:val="0"/>
          <w14:ligatures w14:val="none"/>
        </w:rPr>
        <w:t xml:space="preserve"> </w:t>
      </w:r>
      <w:r w:rsidR="00CD405A" w:rsidRPr="00CD405A">
        <w:t>this is logistically difficult</w:t>
      </w:r>
      <w:r w:rsidR="00F70B05">
        <w:t xml:space="preserve">. </w:t>
      </w:r>
      <w:r w:rsidR="00C27447">
        <w:t>The p</w:t>
      </w:r>
      <w:r w:rsidR="00F70B05">
        <w:t xml:space="preserve">rotocol </w:t>
      </w:r>
      <w:r w:rsidR="00DD44CE">
        <w:t>adopted</w:t>
      </w:r>
      <w:r w:rsidR="00F70B05">
        <w:t xml:space="preserve"> by the NTWF Technical Committee (2019) attempt</w:t>
      </w:r>
      <w:r w:rsidR="00C27447">
        <w:t>s</w:t>
      </w:r>
      <w:r w:rsidR="00F70B05">
        <w:t xml:space="preserve"> to address </w:t>
      </w:r>
      <w:r w:rsidR="000B50A1">
        <w:t xml:space="preserve">the </w:t>
      </w:r>
      <w:r w:rsidR="00901591">
        <w:t xml:space="preserve">temporal challenges </w:t>
      </w:r>
      <w:r w:rsidR="0074134D">
        <w:t xml:space="preserve">associated with </w:t>
      </w:r>
      <w:r w:rsidR="002C4168">
        <w:t>sighting</w:t>
      </w:r>
      <w:r w:rsidR="0074134D">
        <w:t xml:space="preserve"> </w:t>
      </w:r>
      <w:r w:rsidR="00901591">
        <w:t>survey</w:t>
      </w:r>
      <w:r w:rsidR="0074134D">
        <w:t>s</w:t>
      </w:r>
      <w:r w:rsidR="00901591">
        <w:t xml:space="preserve"> </w:t>
      </w:r>
      <w:r w:rsidR="00A92E49">
        <w:t xml:space="preserve">by restricting observations to July and </w:t>
      </w:r>
      <w:r w:rsidR="002B5417">
        <w:t>August</w:t>
      </w:r>
      <w:r w:rsidR="007F618A">
        <w:t>.</w:t>
      </w:r>
      <w:r w:rsidR="002B5417">
        <w:t xml:space="preserve"> </w:t>
      </w:r>
      <w:r w:rsidR="007F618A">
        <w:t xml:space="preserve">However, </w:t>
      </w:r>
      <w:r w:rsidR="00FA598B">
        <w:t xml:space="preserve">given the extended period over which wild turkey nest and high mortality </w:t>
      </w:r>
      <w:r w:rsidR="007954DF">
        <w:t>of</w:t>
      </w:r>
      <w:r w:rsidR="00FA598B">
        <w:t xml:space="preserve"> poults </w:t>
      </w:r>
      <w:r w:rsidR="00C41C75">
        <w:t>during</w:t>
      </w:r>
      <w:r w:rsidR="00FA598B">
        <w:t xml:space="preserve"> these </w:t>
      </w:r>
      <w:r w:rsidR="007F618A">
        <w:t xml:space="preserve">2 </w:t>
      </w:r>
      <w:r w:rsidR="00FA598B">
        <w:t>months</w:t>
      </w:r>
      <w:r w:rsidR="007F618A">
        <w:t>,</w:t>
      </w:r>
      <w:r w:rsidR="0094314C">
        <w:t xml:space="preserve"> there </w:t>
      </w:r>
      <w:r w:rsidR="007B635D">
        <w:t xml:space="preserve">remain important </w:t>
      </w:r>
      <w:r w:rsidR="0094314C">
        <w:t xml:space="preserve">temporal patterns in the </w:t>
      </w:r>
      <w:r w:rsidR="00D16A51">
        <w:t>data</w:t>
      </w:r>
      <w:r w:rsidR="00122F9C">
        <w:t xml:space="preserve">. </w:t>
      </w:r>
      <w:r w:rsidR="003B4C62">
        <w:t xml:space="preserve">Changes </w:t>
      </w:r>
      <w:r w:rsidR="001D2B7D">
        <w:t xml:space="preserve">to </w:t>
      </w:r>
      <w:r w:rsidR="003B4C62">
        <w:t xml:space="preserve">when data are collected </w:t>
      </w:r>
      <w:r w:rsidR="00122F9C">
        <w:t xml:space="preserve">can influence parameter estimates when </w:t>
      </w:r>
      <w:r w:rsidR="003B4C62">
        <w:t xml:space="preserve">the average </w:t>
      </w:r>
      <w:r w:rsidR="001D2B7D">
        <w:t xml:space="preserve">observation </w:t>
      </w:r>
      <w:r w:rsidR="003B4C62">
        <w:t xml:space="preserve">date </w:t>
      </w:r>
      <w:r w:rsidR="005C0D06">
        <w:t>changes over</w:t>
      </w:r>
      <w:r w:rsidR="00122F9C">
        <w:t xml:space="preserve"> time, even within the </w:t>
      </w:r>
      <w:r w:rsidR="00AA5216">
        <w:t>July-August timeframe.</w:t>
      </w:r>
      <w:r w:rsidR="00E246DD">
        <w:t xml:space="preserve"> We have demonstrated that </w:t>
      </w:r>
      <w:r w:rsidR="00924817">
        <w:t xml:space="preserve">when and where </w:t>
      </w:r>
      <w:r w:rsidR="00754406">
        <w:t xml:space="preserve">observations are reported can </w:t>
      </w:r>
      <w:r w:rsidR="005855ED">
        <w:t xml:space="preserve">change </w:t>
      </w:r>
      <w:r w:rsidR="00E246DD">
        <w:t xml:space="preserve">inferences </w:t>
      </w:r>
      <w:r w:rsidR="005A778E">
        <w:t>from these data</w:t>
      </w:r>
      <w:r w:rsidR="00190F64">
        <w:t>; f</w:t>
      </w:r>
      <w:r w:rsidR="005A778E">
        <w:t xml:space="preserve">or example, temporal trends in </w:t>
      </w:r>
      <w:r w:rsidR="00387204">
        <w:t>HWP</w:t>
      </w:r>
      <w:r w:rsidR="00D12B4E">
        <w:t xml:space="preserve"> </w:t>
      </w:r>
      <w:r w:rsidR="001A6B58">
        <w:t xml:space="preserve">will differ </w:t>
      </w:r>
      <w:r w:rsidR="005855ED">
        <w:t xml:space="preserve">if calendar day or habitat </w:t>
      </w:r>
      <w:r w:rsidR="007F618A">
        <w:t xml:space="preserve">conditions </w:t>
      </w:r>
      <w:r w:rsidR="005855ED">
        <w:t>where observations occur</w:t>
      </w:r>
      <w:r w:rsidR="001A6B58">
        <w:t xml:space="preserve"> are ignored</w:t>
      </w:r>
      <w:r w:rsidR="008701CA">
        <w:t>.</w:t>
      </w:r>
      <w:r w:rsidR="00941F2A">
        <w:t xml:space="preserve"> Consequently, the NWTF protocol does not</w:t>
      </w:r>
      <w:r w:rsidR="00A43F2F">
        <w:t xml:space="preserve"> eliminate the need </w:t>
      </w:r>
      <w:r w:rsidR="004D7C0D">
        <w:t xml:space="preserve">for statistical models </w:t>
      </w:r>
      <w:r w:rsidR="00A43F2F">
        <w:t xml:space="preserve">to account for DOY and the spatial </w:t>
      </w:r>
      <w:r w:rsidR="00532C83">
        <w:t>distribution</w:t>
      </w:r>
      <w:r w:rsidR="00A43F2F">
        <w:t xml:space="preserve"> of observations.</w:t>
      </w:r>
    </w:p>
    <w:p w14:paraId="5A76DDAB" w14:textId="6E4047FE" w:rsidR="00AA386A" w:rsidRDefault="008701CA" w:rsidP="00752E14">
      <w:pPr>
        <w:spacing w:after="0" w:line="480" w:lineRule="auto"/>
        <w:ind w:firstLine="360"/>
      </w:pPr>
      <w:r>
        <w:tab/>
      </w:r>
      <w:r w:rsidR="00740251">
        <w:t>Data filtering parameters</w:t>
      </w:r>
      <w:r w:rsidR="007145A1">
        <w:t xml:space="preserve"> of the NWTF Technical Committee (2019) protocol are designed to </w:t>
      </w:r>
      <w:r w:rsidR="00951657">
        <w:t xml:space="preserve">maximize comparability among datasets, such as removing </w:t>
      </w:r>
      <w:r w:rsidR="001C6234">
        <w:t xml:space="preserve">1) </w:t>
      </w:r>
      <w:r w:rsidR="00951657">
        <w:t xml:space="preserve">observations with </w:t>
      </w:r>
      <w:r w:rsidR="00AB08C3">
        <w:t>≥</w:t>
      </w:r>
      <w:r w:rsidR="00951657">
        <w:t xml:space="preserve">25% of birds unidentified to </w:t>
      </w:r>
      <w:r w:rsidR="000468FF">
        <w:t xml:space="preserve">age and sex, </w:t>
      </w:r>
      <w:r w:rsidR="001C6234">
        <w:t xml:space="preserve">2) </w:t>
      </w:r>
      <w:r w:rsidR="000468FF">
        <w:t xml:space="preserve">&gt;8 hens observed without poults, </w:t>
      </w:r>
      <w:r w:rsidR="001C6234">
        <w:t xml:space="preserve">3) </w:t>
      </w:r>
      <w:r w:rsidR="000714C2">
        <w:t xml:space="preserve">&gt;16 poults per hen, and </w:t>
      </w:r>
      <w:r w:rsidR="001C6234">
        <w:t xml:space="preserve">4) </w:t>
      </w:r>
      <w:r w:rsidR="000714C2">
        <w:t>if the group of birds were previously re</w:t>
      </w:r>
      <w:r w:rsidR="00074447">
        <w:t>port</w:t>
      </w:r>
      <w:r w:rsidR="000714C2">
        <w:t>ed.</w:t>
      </w:r>
      <w:r w:rsidR="00FC46D6">
        <w:t xml:space="preserve"> F</w:t>
      </w:r>
      <w:r w:rsidR="000714C2">
        <w:t xml:space="preserve">iltering </w:t>
      </w:r>
      <w:r w:rsidR="002F379F">
        <w:t xml:space="preserve">data based on </w:t>
      </w:r>
      <w:r w:rsidR="000714C2">
        <w:t xml:space="preserve">criteria </w:t>
      </w:r>
      <w:r w:rsidR="002F379F">
        <w:t xml:space="preserve">1–3 </w:t>
      </w:r>
      <w:r w:rsidR="000714C2">
        <w:lastRenderedPageBreak/>
        <w:t>have little effect on sample size</w:t>
      </w:r>
      <w:r w:rsidR="001764A8">
        <w:t xml:space="preserve"> and unlikely to </w:t>
      </w:r>
      <w:r w:rsidR="007F618A">
        <w:t>influence</w:t>
      </w:r>
      <w:r w:rsidR="001764A8">
        <w:t xml:space="preserve"> </w:t>
      </w:r>
      <w:r w:rsidR="00A5427E">
        <w:t xml:space="preserve">estimates of </w:t>
      </w:r>
      <w:r w:rsidR="00387204">
        <w:t>HWP</w:t>
      </w:r>
      <w:r w:rsidR="00A5427E">
        <w:t xml:space="preserve"> or PPB. </w:t>
      </w:r>
      <w:r w:rsidR="00074447">
        <w:t xml:space="preserve">However, </w:t>
      </w:r>
      <w:r w:rsidR="00DD2844">
        <w:t xml:space="preserve">the decision to exclude </w:t>
      </w:r>
      <w:r w:rsidR="00074447">
        <w:t xml:space="preserve">observations of &gt;8 hens without poults </w:t>
      </w:r>
      <w:r w:rsidR="001F1DD6">
        <w:t xml:space="preserve">will </w:t>
      </w:r>
      <w:r w:rsidR="00AD0C30">
        <w:t>increase</w:t>
      </w:r>
      <w:r w:rsidR="001F1DD6">
        <w:t xml:space="preserve"> estimates </w:t>
      </w:r>
      <w:r w:rsidR="005B7879">
        <w:t>o</w:t>
      </w:r>
      <w:r w:rsidR="001F1DD6">
        <w:t xml:space="preserve">f </w:t>
      </w:r>
      <w:r w:rsidR="00387204">
        <w:t>HWP</w:t>
      </w:r>
      <w:r w:rsidR="00492B53">
        <w:t>. Similarly, excluding sightings of hens with &gt;16 poults will reduce estimates of PPB.</w:t>
      </w:r>
      <w:r w:rsidR="0030530B">
        <w:t xml:space="preserve"> </w:t>
      </w:r>
      <w:r w:rsidR="00C7656A">
        <w:t xml:space="preserve">The NWTF Technical Committee (2019) protocol </w:t>
      </w:r>
      <w:r w:rsidR="00297665">
        <w:t>wa</w:t>
      </w:r>
      <w:r w:rsidR="007767BD">
        <w:t xml:space="preserve">s not designed to </w:t>
      </w:r>
      <w:r w:rsidR="00C7656A">
        <w:t>estimat</w:t>
      </w:r>
      <w:r w:rsidR="007767BD">
        <w:t>e a</w:t>
      </w:r>
      <w:r w:rsidR="00C7656A">
        <w:t xml:space="preserve"> detection probability</w:t>
      </w:r>
      <w:r w:rsidR="002E3012">
        <w:t xml:space="preserve"> or misidentification</w:t>
      </w:r>
      <w:r w:rsidR="001C6234">
        <w:t xml:space="preserve"> </w:t>
      </w:r>
      <w:r w:rsidR="00617B47">
        <w:t xml:space="preserve">rate, </w:t>
      </w:r>
      <w:r w:rsidR="001C6234">
        <w:t xml:space="preserve">so </w:t>
      </w:r>
      <w:r w:rsidR="00727DA0">
        <w:t xml:space="preserve">filters 2 and 3 are simply ad hoc attempts to account for </w:t>
      </w:r>
      <w:r w:rsidR="00FD21D0">
        <w:t xml:space="preserve">observations most likely to represent situations where not all birds were </w:t>
      </w:r>
      <w:proofErr w:type="gramStart"/>
      <w:r w:rsidR="00FD21D0">
        <w:t>detected</w:t>
      </w:r>
      <w:proofErr w:type="gramEnd"/>
      <w:r w:rsidR="00FD21D0">
        <w:t xml:space="preserve"> or </w:t>
      </w:r>
      <w:r w:rsidR="00AD2B78">
        <w:t xml:space="preserve">some were </w:t>
      </w:r>
      <w:r w:rsidR="00FD21D0">
        <w:t>misidentified.</w:t>
      </w:r>
    </w:p>
    <w:p w14:paraId="1E3BD96A" w14:textId="56B45609" w:rsidR="005E35E5" w:rsidRDefault="002E3012" w:rsidP="00752E14">
      <w:pPr>
        <w:spacing w:after="0" w:line="480" w:lineRule="auto"/>
        <w:ind w:firstLine="720"/>
      </w:pPr>
      <w:r>
        <w:t xml:space="preserve">The fourth data filter, </w:t>
      </w:r>
      <w:r w:rsidR="00A5427E">
        <w:t>excluding repeated sightings</w:t>
      </w:r>
      <w:r w:rsidR="00AF03C9">
        <w:t xml:space="preserve">, is </w:t>
      </w:r>
      <w:r w:rsidR="00A5427E">
        <w:t xml:space="preserve">problematic for several reasons. First, </w:t>
      </w:r>
      <w:r w:rsidR="00AF03C9">
        <w:t>repeat sightings ca</w:t>
      </w:r>
      <w:r w:rsidR="00116B13">
        <w:t>n represent nearly 1 in 5 observations</w:t>
      </w:r>
      <w:r w:rsidR="0065618A">
        <w:t>, which is a</w:t>
      </w:r>
      <w:r w:rsidR="00FC46D6">
        <w:t>n</w:t>
      </w:r>
      <w:r w:rsidR="0065618A">
        <w:t xml:space="preserve"> </w:t>
      </w:r>
      <w:r w:rsidR="00116B13">
        <w:t>amount of potential data</w:t>
      </w:r>
      <w:r w:rsidR="00F97CAA">
        <w:t xml:space="preserve"> that could inform </w:t>
      </w:r>
      <w:r w:rsidR="00387204">
        <w:t>HWP</w:t>
      </w:r>
      <w:r w:rsidR="00F97CAA">
        <w:t xml:space="preserve"> and PPB. </w:t>
      </w:r>
      <w:r w:rsidR="00192AF2">
        <w:t>Second, the data collection protocol do</w:t>
      </w:r>
      <w:r w:rsidR="00993E1A">
        <w:t>es</w:t>
      </w:r>
      <w:r w:rsidR="00192AF2">
        <w:t xml:space="preserve"> not allow the observer to specify which observation </w:t>
      </w:r>
      <w:r w:rsidR="00AA386A">
        <w:t xml:space="preserve">is </w:t>
      </w:r>
      <w:r w:rsidR="00C0424C">
        <w:t>a repeat of previously reported birds</w:t>
      </w:r>
      <w:r w:rsidR="00AA386A">
        <w:t>. If repeated observation</w:t>
      </w:r>
      <w:r w:rsidR="00AE40E6">
        <w:t xml:space="preserve">s were </w:t>
      </w:r>
      <w:r w:rsidR="00CB0871">
        <w:t>linked</w:t>
      </w:r>
      <w:r w:rsidR="007F618A">
        <w:t>,</w:t>
      </w:r>
      <w:r w:rsidR="00CB0871">
        <w:t xml:space="preserve"> then</w:t>
      </w:r>
      <w:r w:rsidR="00AE40E6">
        <w:t xml:space="preserve"> statistical methods could</w:t>
      </w:r>
      <w:r w:rsidR="003F0975">
        <w:t xml:space="preserve"> readily</w:t>
      </w:r>
      <w:r w:rsidR="00AE40E6">
        <w:t xml:space="preserve"> account for these observations</w:t>
      </w:r>
      <w:r w:rsidR="00EE3292">
        <w:t xml:space="preserve"> </w:t>
      </w:r>
      <w:r w:rsidR="001A38B9">
        <w:t xml:space="preserve">and </w:t>
      </w:r>
      <w:r w:rsidR="00FB3778">
        <w:t xml:space="preserve">provide </w:t>
      </w:r>
      <w:r w:rsidR="00916ED4">
        <w:t>insights into the recruitment process (e.g., poult survival).</w:t>
      </w:r>
      <w:r w:rsidR="007C688C">
        <w:t xml:space="preserve"> </w:t>
      </w:r>
      <w:r w:rsidR="00BB497C">
        <w:t>Third</w:t>
      </w:r>
      <w:r w:rsidR="00F3396C">
        <w:t xml:space="preserve">, </w:t>
      </w:r>
      <w:r w:rsidR="008A5B42">
        <w:t xml:space="preserve">it is impossible to determine </w:t>
      </w:r>
      <w:r w:rsidR="00F3396C">
        <w:t>when the same turkeys are reported by different observers</w:t>
      </w:r>
      <w:r w:rsidR="00086127">
        <w:t>. T</w:t>
      </w:r>
      <w:r w:rsidR="00D31358">
        <w:t xml:space="preserve">hese types of </w:t>
      </w:r>
      <w:r w:rsidR="00BB497C">
        <w:t xml:space="preserve">repeat observations </w:t>
      </w:r>
      <w:r w:rsidR="004E7406">
        <w:t xml:space="preserve">are unidentifiable </w:t>
      </w:r>
      <w:r w:rsidR="00D31358">
        <w:t xml:space="preserve">and </w:t>
      </w:r>
      <w:r w:rsidR="005851F3">
        <w:t xml:space="preserve">likely exist </w:t>
      </w:r>
      <w:r w:rsidR="00BB497C">
        <w:t xml:space="preserve">in </w:t>
      </w:r>
      <w:r w:rsidR="00143F69">
        <w:t xml:space="preserve">the </w:t>
      </w:r>
      <w:r w:rsidR="00BC69A4">
        <w:t>data</w:t>
      </w:r>
      <w:r w:rsidR="00466F15">
        <w:t xml:space="preserve">. </w:t>
      </w:r>
    </w:p>
    <w:p w14:paraId="4CCE4B01" w14:textId="466532F7" w:rsidR="00CD6E73" w:rsidRDefault="001A06E0" w:rsidP="00752E14">
      <w:pPr>
        <w:spacing w:after="0" w:line="480" w:lineRule="auto"/>
        <w:ind w:firstLine="720"/>
      </w:pPr>
      <w:r>
        <w:t>There are no standards in the NWTF Technical Committee (2019) protocol that define a repeat observation</w:t>
      </w:r>
      <w:r w:rsidR="00BF36B5">
        <w:t>.</w:t>
      </w:r>
      <w:r w:rsidR="00DD1644">
        <w:t xml:space="preserve"> </w:t>
      </w:r>
      <w:r w:rsidR="00062AED">
        <w:t>Observed t</w:t>
      </w:r>
      <w:r w:rsidR="00DD1644">
        <w:t>urkeys are not marked</w:t>
      </w:r>
      <w:r w:rsidR="00062AED">
        <w:t>,</w:t>
      </w:r>
      <w:r w:rsidR="00DD1644">
        <w:t xml:space="preserve"> so there </w:t>
      </w:r>
      <w:r w:rsidR="006F64B6">
        <w:t xml:space="preserve">is </w:t>
      </w:r>
      <w:r w:rsidR="00DD1644">
        <w:t>no mean</w:t>
      </w:r>
      <w:r w:rsidR="00322A6B">
        <w:t>s</w:t>
      </w:r>
      <w:r w:rsidR="00DD1644">
        <w:t xml:space="preserve"> to verify</w:t>
      </w:r>
      <w:r w:rsidR="00207324">
        <w:t xml:space="preserve"> that</w:t>
      </w:r>
      <w:r w:rsidR="00DD1644">
        <w:t xml:space="preserve"> the same turkeys are observed</w:t>
      </w:r>
      <w:r w:rsidR="000251EC">
        <w:t xml:space="preserve"> </w:t>
      </w:r>
      <w:r w:rsidR="00062AED">
        <w:t>more than once;</w:t>
      </w:r>
      <w:r w:rsidR="000251EC">
        <w:t xml:space="preserve"> </w:t>
      </w:r>
      <w:r w:rsidR="00A45726">
        <w:t xml:space="preserve">the observer </w:t>
      </w:r>
      <w:r w:rsidR="005B0B34">
        <w:t xml:space="preserve">must </w:t>
      </w:r>
      <w:r w:rsidR="00A45726">
        <w:t>make th</w:t>
      </w:r>
      <w:r w:rsidR="00322A6B">
        <w:t>e</w:t>
      </w:r>
      <w:r w:rsidR="00A45726">
        <w:t xml:space="preserve"> determination</w:t>
      </w:r>
      <w:r w:rsidR="00322A6B">
        <w:t xml:space="preserve"> of </w:t>
      </w:r>
      <w:r w:rsidR="00E82F89">
        <w:t xml:space="preserve">a </w:t>
      </w:r>
      <w:r w:rsidR="00322A6B">
        <w:t>repeat observation</w:t>
      </w:r>
      <w:r>
        <w:t xml:space="preserve">. </w:t>
      </w:r>
      <w:r w:rsidR="000A713D">
        <w:t>Quantitative methods in wildlife ecology have endeavored to a</w:t>
      </w:r>
      <w:r w:rsidR="009B21F0">
        <w:t xml:space="preserve">ddress the uncertainty of counting animals and it is well established </w:t>
      </w:r>
      <w:r w:rsidR="003262F0">
        <w:t xml:space="preserve">that detection probability for nearly all survey methods is &lt;1.0 (Williams et al. </w:t>
      </w:r>
      <w:r>
        <w:t xml:space="preserve">2001). </w:t>
      </w:r>
      <w:r w:rsidR="0068334B">
        <w:t xml:space="preserve">Most estimators </w:t>
      </w:r>
      <w:r w:rsidR="00982F25">
        <w:t xml:space="preserve">of population parameters rely on marked animals to identify repeat observations, </w:t>
      </w:r>
      <w:r w:rsidR="00086127">
        <w:t xml:space="preserve">with a </w:t>
      </w:r>
      <w:r w:rsidR="00BE4810">
        <w:t xml:space="preserve">relatively </w:t>
      </w:r>
      <w:r w:rsidR="00982F25">
        <w:t xml:space="preserve">few </w:t>
      </w:r>
      <w:r w:rsidR="00C12C76">
        <w:t xml:space="preserve">estimators </w:t>
      </w:r>
      <w:r w:rsidR="00BE4810">
        <w:t xml:space="preserve">developed that </w:t>
      </w:r>
      <w:r w:rsidR="00982F25">
        <w:t>rely on unmarked animals (e.g.</w:t>
      </w:r>
      <w:r w:rsidR="00086127">
        <w:t>,</w:t>
      </w:r>
      <w:r w:rsidR="00982F25">
        <w:t xml:space="preserve"> Buckland et al. 2001</w:t>
      </w:r>
      <w:r w:rsidR="00867012">
        <w:t>).</w:t>
      </w:r>
      <w:r w:rsidR="00694542">
        <w:t xml:space="preserve"> </w:t>
      </w:r>
      <w:r w:rsidR="00701C06">
        <w:t>It may be useful to request</w:t>
      </w:r>
      <w:r w:rsidR="00694542">
        <w:t xml:space="preserve"> observers </w:t>
      </w:r>
      <w:r w:rsidR="000337F8">
        <w:t>to avoid</w:t>
      </w:r>
      <w:r w:rsidR="00112934">
        <w:t xml:space="preserve"> specific types of</w:t>
      </w:r>
      <w:r w:rsidR="000337F8">
        <w:t xml:space="preserve"> </w:t>
      </w:r>
      <w:r w:rsidR="005A782D">
        <w:t>repeat observation</w:t>
      </w:r>
      <w:r w:rsidR="000337F8">
        <w:t xml:space="preserve">s, such as when hens with poults repeatedly visit bird </w:t>
      </w:r>
      <w:r w:rsidR="000337F8">
        <w:lastRenderedPageBreak/>
        <w:t>feeders</w:t>
      </w:r>
      <w:r w:rsidR="00626B73">
        <w:t>, but our results suggest that repea</w:t>
      </w:r>
      <w:r w:rsidR="00325997">
        <w:t xml:space="preserve">t observations had little influence on </w:t>
      </w:r>
      <w:r w:rsidR="00387204">
        <w:t>HWP</w:t>
      </w:r>
      <w:r w:rsidR="00325997">
        <w:t xml:space="preserve"> and PPB estimates</w:t>
      </w:r>
      <w:r w:rsidR="000223DA">
        <w:t>.</w:t>
      </w:r>
    </w:p>
    <w:p w14:paraId="35F23C94" w14:textId="1DC9C4FE" w:rsidR="00EA7ECC" w:rsidRDefault="00D55F7F" w:rsidP="009466D2">
      <w:pPr>
        <w:spacing w:after="0" w:line="480" w:lineRule="auto"/>
      </w:pPr>
      <w:r>
        <w:tab/>
      </w:r>
      <w:r w:rsidR="00AB5005">
        <w:t>Our analys</w:t>
      </w:r>
      <w:r w:rsidR="006D3879">
        <w:t>i</w:t>
      </w:r>
      <w:r w:rsidR="00AB5005">
        <w:t xml:space="preserve">s suggest that the spatial distribution of observations </w:t>
      </w:r>
      <w:r w:rsidR="0079770D">
        <w:t xml:space="preserve">also </w:t>
      </w:r>
      <w:r w:rsidR="00AB5005">
        <w:t xml:space="preserve">could affect inference about </w:t>
      </w:r>
      <w:r w:rsidR="004F723F">
        <w:t>trends in recruitment.</w:t>
      </w:r>
      <w:r w:rsidR="006E745C">
        <w:t xml:space="preserve"> </w:t>
      </w:r>
      <w:r w:rsidR="00EE2E90">
        <w:t xml:space="preserve">If </w:t>
      </w:r>
      <w:r w:rsidR="006E745C">
        <w:t xml:space="preserve">job </w:t>
      </w:r>
      <w:r w:rsidR="00C06BDD">
        <w:t>duties</w:t>
      </w:r>
      <w:r w:rsidR="006E745C">
        <w:t xml:space="preserve"> of agency staff change, and if state agencies rely more upon observations provided by the public, then </w:t>
      </w:r>
      <w:r w:rsidR="00086127">
        <w:t xml:space="preserve">spatial and temporal </w:t>
      </w:r>
      <w:r w:rsidR="000402F1">
        <w:t>patterns</w:t>
      </w:r>
      <w:r w:rsidR="00086127">
        <w:t xml:space="preserve"> of </w:t>
      </w:r>
      <w:r w:rsidR="006E745C">
        <w:t xml:space="preserve">observations may change over time. The </w:t>
      </w:r>
      <w:r w:rsidR="0064461E">
        <w:t xml:space="preserve">difficulties of </w:t>
      </w:r>
      <w:r w:rsidR="000F0B47">
        <w:t xml:space="preserve">using </w:t>
      </w:r>
      <w:r w:rsidR="0064461E">
        <w:t>observations</w:t>
      </w:r>
      <w:r w:rsidR="1EF28767">
        <w:t xml:space="preserve"> from an unstructured sampling process, when uncorrected for sampling effort,</w:t>
      </w:r>
      <w:r w:rsidR="0064461E">
        <w:t xml:space="preserve"> </w:t>
      </w:r>
      <w:r w:rsidR="000F0B47">
        <w:t xml:space="preserve">to make inferences about </w:t>
      </w:r>
      <w:r w:rsidR="006863E3">
        <w:t xml:space="preserve">wildlife </w:t>
      </w:r>
      <w:r w:rsidR="000F0B47">
        <w:t xml:space="preserve">populations </w:t>
      </w:r>
      <w:r w:rsidR="00E963D7">
        <w:t xml:space="preserve">is well known </w:t>
      </w:r>
      <w:r w:rsidR="006863E3">
        <w:t>(e.g., eBird</w:t>
      </w:r>
      <w:r w:rsidR="000D39E6">
        <w:t>,</w:t>
      </w:r>
      <w:r w:rsidR="006863E3">
        <w:t xml:space="preserve"> </w:t>
      </w:r>
      <w:hyperlink r:id="rId11" w:history="1">
        <w:r w:rsidR="006863E3" w:rsidRPr="00AF514A">
          <w:rPr>
            <w:rStyle w:val="Hyperlink"/>
          </w:rPr>
          <w:t>https://ebird.org/home</w:t>
        </w:r>
      </w:hyperlink>
      <w:r w:rsidR="006863E3">
        <w:t>, accessed 29 June 2024</w:t>
      </w:r>
      <w:r w:rsidR="41137C64">
        <w:t>;</w:t>
      </w:r>
      <w:r w:rsidR="009E6DE4">
        <w:t xml:space="preserve"> </w:t>
      </w:r>
      <w:r w:rsidR="00696C25">
        <w:t>Fin</w:t>
      </w:r>
      <w:r w:rsidR="002E73C7">
        <w:t>k et al. 2023</w:t>
      </w:r>
      <w:r w:rsidR="00766CCC">
        <w:t xml:space="preserve">). </w:t>
      </w:r>
      <w:r w:rsidR="00EA178F">
        <w:t>U</w:t>
      </w:r>
      <w:r w:rsidR="00451B41">
        <w:t xml:space="preserve">sing township </w:t>
      </w:r>
      <w:r w:rsidR="00265B98">
        <w:t xml:space="preserve">landscape characteristics </w:t>
      </w:r>
      <w:r w:rsidR="006F2B6D">
        <w:t xml:space="preserve">for Pennsylvania </w:t>
      </w:r>
      <w:r w:rsidR="004F3C0D">
        <w:t xml:space="preserve">was a predictor of </w:t>
      </w:r>
      <w:r w:rsidR="00BF46EB">
        <w:t xml:space="preserve">productivity </w:t>
      </w:r>
      <w:r w:rsidR="004F3C0D">
        <w:t xml:space="preserve">and </w:t>
      </w:r>
      <w:r w:rsidR="004551EC">
        <w:t>influenced</w:t>
      </w:r>
      <w:r w:rsidR="006F2B6D">
        <w:t xml:space="preserve"> estimates of the temporal trend</w:t>
      </w:r>
      <w:r w:rsidR="00A401BA">
        <w:t xml:space="preserve"> in </w:t>
      </w:r>
      <w:r w:rsidR="00387204">
        <w:t>HWP</w:t>
      </w:r>
      <w:r w:rsidR="004551EC">
        <w:t>. Similarly</w:t>
      </w:r>
      <w:r w:rsidR="006F2B6D">
        <w:t>, Ohio collected latitude and longitude for most locations</w:t>
      </w:r>
      <w:r w:rsidR="004551EC">
        <w:t xml:space="preserve"> and incorporating habitat associated with observations improved the precision of the </w:t>
      </w:r>
      <w:r w:rsidR="0061028B">
        <w:t>estimated temporal trend</w:t>
      </w:r>
      <w:r w:rsidR="006F2B6D">
        <w:t>.</w:t>
      </w:r>
      <w:r w:rsidR="00B734EA" w:rsidRPr="00B734EA">
        <w:t xml:space="preserve"> </w:t>
      </w:r>
      <w:r w:rsidR="00B734EA">
        <w:t>We found that accounting for habitat type changed inferences about temporal trends in recruitment, which suggests it may be useful for summer sighting surveys to record coordinates of where observations occurred.</w:t>
      </w:r>
    </w:p>
    <w:p w14:paraId="6B03372B" w14:textId="66675A7A" w:rsidR="00010CD6" w:rsidRDefault="008576B9" w:rsidP="00833D2A">
      <w:pPr>
        <w:spacing w:line="480" w:lineRule="auto"/>
        <w:ind w:firstLine="720"/>
      </w:pPr>
      <w:r>
        <w:t xml:space="preserve">We demonstrated that accounting for when </w:t>
      </w:r>
      <w:r w:rsidR="009532F4">
        <w:t xml:space="preserve">and where observations are </w:t>
      </w:r>
      <w:r w:rsidR="00676D42">
        <w:t xml:space="preserve">obtained </w:t>
      </w:r>
      <w:r w:rsidR="00E92B17">
        <w:t>can greatly influence inferences from these</w:t>
      </w:r>
      <w:r>
        <w:t xml:space="preserve"> data. </w:t>
      </w:r>
      <w:r w:rsidR="005A1444">
        <w:t>A</w:t>
      </w:r>
      <w:r>
        <w:t>dvantage</w:t>
      </w:r>
      <w:r w:rsidR="005175A5">
        <w:t>s</w:t>
      </w:r>
      <w:r>
        <w:t xml:space="preserve"> of our statistical models </w:t>
      </w:r>
      <w:r w:rsidR="005175A5">
        <w:t>are</w:t>
      </w:r>
      <w:r>
        <w:t xml:space="preserve"> that analyses can encompass time periods over which the survey period changes within a state (e.g., Maryland and Virginia)</w:t>
      </w:r>
      <w:r w:rsidR="00222947">
        <w:t>;</w:t>
      </w:r>
      <w:r>
        <w:t xml:space="preserve"> analyses can use data from multiple states even when survey periods differ</w:t>
      </w:r>
      <w:r w:rsidR="00222947">
        <w:t>;</w:t>
      </w:r>
      <w:r w:rsidR="00E45F60">
        <w:t xml:space="preserve"> </w:t>
      </w:r>
      <w:r w:rsidR="00DF3F9B">
        <w:t xml:space="preserve">and </w:t>
      </w:r>
      <w:r w:rsidR="007705A5">
        <w:t xml:space="preserve">inferences can be made even when </w:t>
      </w:r>
      <w:r w:rsidR="00D7672A">
        <w:t xml:space="preserve">data </w:t>
      </w:r>
      <w:r w:rsidR="007705A5">
        <w:t>for some MUs are</w:t>
      </w:r>
      <w:r w:rsidR="00D7672A">
        <w:t xml:space="preserve"> limited or missing</w:t>
      </w:r>
      <w:r w:rsidR="00F25928">
        <w:t xml:space="preserve"> (e.g., New Jersey)</w:t>
      </w:r>
      <w:r>
        <w:t xml:space="preserve">. </w:t>
      </w:r>
      <w:r w:rsidR="00DF3F9B">
        <w:t xml:space="preserve">Furthermore, our models </w:t>
      </w:r>
      <w:r w:rsidR="001F69E1">
        <w:t>can account</w:t>
      </w:r>
      <w:r w:rsidR="003A1774">
        <w:t xml:space="preserve"> for potential biases introduced </w:t>
      </w:r>
      <w:r w:rsidR="00EB6074">
        <w:t xml:space="preserve">because of </w:t>
      </w:r>
      <w:r w:rsidR="003A1774">
        <w:t xml:space="preserve">the </w:t>
      </w:r>
      <w:r w:rsidR="00EB6074">
        <w:t xml:space="preserve">uncontrolled nature of how observations are collected </w:t>
      </w:r>
      <w:r w:rsidR="00E748A4">
        <w:t xml:space="preserve">temporally and </w:t>
      </w:r>
      <w:r w:rsidR="00EB6074">
        <w:t>spatially.</w:t>
      </w:r>
      <w:r w:rsidR="001F69E1">
        <w:t xml:space="preserve"> </w:t>
      </w:r>
      <w:r w:rsidR="00850298">
        <w:t>Perhaps most importantly, o</w:t>
      </w:r>
      <w:r w:rsidR="00010CD6" w:rsidRPr="001F69E1">
        <w:t>ur proposed approach offers the ability to investigate longer-term patterns of productivity in relation to factors such as changing climate or habitat conditions</w:t>
      </w:r>
      <w:r w:rsidR="000E0CCF">
        <w:t>.</w:t>
      </w:r>
    </w:p>
    <w:p w14:paraId="6556CCA9" w14:textId="0C88F55A" w:rsidR="00155C83" w:rsidRPr="000E199F" w:rsidRDefault="00155C83" w:rsidP="00833D2A">
      <w:pPr>
        <w:spacing w:line="480" w:lineRule="auto"/>
        <w:rPr>
          <w:b/>
          <w:bCs/>
        </w:rPr>
      </w:pPr>
      <w:r w:rsidRPr="000E199F">
        <w:rPr>
          <w:b/>
          <w:bCs/>
        </w:rPr>
        <w:lastRenderedPageBreak/>
        <w:t>ACKNOWLEDGMENTS</w:t>
      </w:r>
    </w:p>
    <w:p w14:paraId="22FCDAC7" w14:textId="3F7DA43D" w:rsidR="00136E85" w:rsidRDefault="00854053" w:rsidP="00833D2A">
      <w:pPr>
        <w:spacing w:line="480" w:lineRule="auto"/>
        <w:rPr>
          <w:rFonts w:eastAsia="Times New Roman"/>
        </w:rPr>
      </w:pPr>
      <w:r>
        <w:rPr>
          <w:rFonts w:eastAsia="Times New Roman"/>
        </w:rPr>
        <w:t xml:space="preserve">We thank K. </w:t>
      </w:r>
      <w:r w:rsidR="00044175">
        <w:rPr>
          <w:rFonts w:eastAsia="Times New Roman"/>
        </w:rPr>
        <w:t xml:space="preserve">J. </w:t>
      </w:r>
      <w:r>
        <w:rPr>
          <w:rFonts w:eastAsia="Times New Roman"/>
        </w:rPr>
        <w:t xml:space="preserve">Smelter for </w:t>
      </w:r>
      <w:r w:rsidR="00FC5E35">
        <w:rPr>
          <w:rFonts w:eastAsia="Times New Roman"/>
        </w:rPr>
        <w:t>creating</w:t>
      </w:r>
      <w:r>
        <w:rPr>
          <w:rFonts w:eastAsia="Times New Roman"/>
        </w:rPr>
        <w:t xml:space="preserve"> Figure 1 and J. Trowbridge for </w:t>
      </w:r>
      <w:r w:rsidR="007C2835">
        <w:rPr>
          <w:rFonts w:eastAsia="Times New Roman"/>
        </w:rPr>
        <w:t>creating the landcover covariates for Pennsylvania and Ohio</w:t>
      </w:r>
      <w:r w:rsidR="00DB7627">
        <w:rPr>
          <w:rFonts w:eastAsia="Times New Roman"/>
        </w:rPr>
        <w:t xml:space="preserve"> data.</w:t>
      </w:r>
      <w:r w:rsidR="00FF579A">
        <w:rPr>
          <w:rFonts w:eastAsia="Times New Roman"/>
        </w:rPr>
        <w:t xml:space="preserve"> </w:t>
      </w:r>
      <w:r w:rsidR="00136E85" w:rsidRPr="00B56356">
        <w:rPr>
          <w:rFonts w:eastAsia="Times New Roman"/>
        </w:rPr>
        <w:t>Any use of trade, firm, or product names is for descriptive purposes only and does not imply endorsement by the U.S. Government.</w:t>
      </w:r>
    </w:p>
    <w:p w14:paraId="455BC3D7" w14:textId="2D550B96" w:rsidR="003A3BC7" w:rsidRPr="003A3BC7" w:rsidRDefault="003A3BC7" w:rsidP="009B23A6">
      <w:pPr>
        <w:spacing w:after="0" w:line="480" w:lineRule="auto"/>
        <w:rPr>
          <w:rFonts w:eastAsia="Times New Roman"/>
          <w:b/>
          <w:bCs/>
        </w:rPr>
      </w:pPr>
      <w:r w:rsidRPr="003A3BC7">
        <w:rPr>
          <w:rFonts w:eastAsia="Times New Roman"/>
          <w:b/>
          <w:bCs/>
        </w:rPr>
        <w:t>ETHICS STATEMENT</w:t>
      </w:r>
    </w:p>
    <w:p w14:paraId="05F6488B" w14:textId="18A04FAD" w:rsidR="003A3BC7" w:rsidRPr="00B56356" w:rsidRDefault="003A3BC7" w:rsidP="009B23A6">
      <w:pPr>
        <w:spacing w:after="0" w:line="480" w:lineRule="auto"/>
        <w:rPr>
          <w:rFonts w:eastAsia="Times New Roman"/>
        </w:rPr>
      </w:pPr>
      <w:r>
        <w:rPr>
          <w:rFonts w:eastAsia="Times New Roman"/>
        </w:rPr>
        <w:t>The authors declare no conflict of interest.</w:t>
      </w:r>
    </w:p>
    <w:p w14:paraId="76791F89" w14:textId="2A42F327" w:rsidR="00F113C8" w:rsidRPr="000E199F" w:rsidRDefault="000E199F" w:rsidP="009B23A6">
      <w:pPr>
        <w:spacing w:after="0" w:line="480" w:lineRule="auto"/>
        <w:rPr>
          <w:b/>
          <w:bCs/>
        </w:rPr>
      </w:pPr>
      <w:r w:rsidRPr="000E199F">
        <w:rPr>
          <w:b/>
          <w:bCs/>
        </w:rPr>
        <w:t>REFERE</w:t>
      </w:r>
      <w:r>
        <w:rPr>
          <w:b/>
          <w:bCs/>
        </w:rPr>
        <w:t>NCES</w:t>
      </w:r>
    </w:p>
    <w:p w14:paraId="282AE8BA" w14:textId="45EE3ED1" w:rsidR="00874441" w:rsidRPr="00BB74A6" w:rsidRDefault="00874441" w:rsidP="009B23A6">
      <w:pPr>
        <w:spacing w:after="0" w:line="480" w:lineRule="auto"/>
        <w:ind w:left="720" w:hanging="720"/>
      </w:pPr>
      <w:proofErr w:type="spellStart"/>
      <w:r w:rsidRPr="00874441">
        <w:t>Bocinsky</w:t>
      </w:r>
      <w:proofErr w:type="spellEnd"/>
      <w:r w:rsidRPr="00874441">
        <w:t xml:space="preserve"> R</w:t>
      </w:r>
      <w:r>
        <w:t xml:space="preserve">. </w:t>
      </w:r>
      <w:r w:rsidRPr="00874441">
        <w:t>K</w:t>
      </w:r>
      <w:r>
        <w:t xml:space="preserve">. </w:t>
      </w:r>
      <w:r w:rsidRPr="00874441">
        <w:t xml:space="preserve">2024. </w:t>
      </w:r>
      <w:proofErr w:type="spellStart"/>
      <w:r w:rsidRPr="00874441">
        <w:t>FedData</w:t>
      </w:r>
      <w:proofErr w:type="spellEnd"/>
      <w:r w:rsidRPr="00874441">
        <w:t xml:space="preserve">: </w:t>
      </w:r>
      <w:r w:rsidR="00EC1EC3">
        <w:t>f</w:t>
      </w:r>
      <w:r w:rsidRPr="00874441">
        <w:t xml:space="preserve">unctions to </w:t>
      </w:r>
      <w:r w:rsidR="00EC1EC3">
        <w:t>a</w:t>
      </w:r>
      <w:r w:rsidRPr="00874441">
        <w:t xml:space="preserve">utomate </w:t>
      </w:r>
      <w:r w:rsidR="00EC1EC3">
        <w:t>d</w:t>
      </w:r>
      <w:r w:rsidRPr="00874441">
        <w:t xml:space="preserve">ownloading </w:t>
      </w:r>
      <w:r w:rsidR="00EC1EC3">
        <w:t>g</w:t>
      </w:r>
      <w:r w:rsidRPr="00874441">
        <w:t xml:space="preserve">eospatial </w:t>
      </w:r>
      <w:r w:rsidR="00EC1EC3">
        <w:t>d</w:t>
      </w:r>
      <w:r w:rsidRPr="00874441">
        <w:t xml:space="preserve">ata </w:t>
      </w:r>
      <w:r w:rsidR="00EC1EC3">
        <w:t>a</w:t>
      </w:r>
      <w:r w:rsidRPr="00874441">
        <w:t xml:space="preserve">vailable from </w:t>
      </w:r>
      <w:r w:rsidR="00EC1EC3">
        <w:t>s</w:t>
      </w:r>
      <w:r w:rsidRPr="00874441">
        <w:t xml:space="preserve">everal </w:t>
      </w:r>
      <w:r w:rsidR="00EC1EC3">
        <w:t>f</w:t>
      </w:r>
      <w:r w:rsidRPr="00874441">
        <w:t xml:space="preserve">ederated </w:t>
      </w:r>
      <w:r w:rsidR="00EC1EC3">
        <w:t>d</w:t>
      </w:r>
      <w:r w:rsidRPr="00874441">
        <w:t xml:space="preserve">ata </w:t>
      </w:r>
      <w:r w:rsidR="00EC1EC3">
        <w:t>s</w:t>
      </w:r>
      <w:r w:rsidRPr="00874441">
        <w:t xml:space="preserve">ources. </w:t>
      </w:r>
      <w:r w:rsidRPr="00BB74A6">
        <w:t xml:space="preserve">R package version 4.0.1, </w:t>
      </w:r>
      <w:hyperlink r:id="rId12" w:history="1">
        <w:r w:rsidR="00BB74A6" w:rsidRPr="00BB74A6">
          <w:rPr>
            <w:rStyle w:val="Hyperlink"/>
          </w:rPr>
          <w:t>https://CRAN.R-project.org/package=FedData</w:t>
        </w:r>
      </w:hyperlink>
      <w:r w:rsidR="00BB74A6" w:rsidRPr="00BB74A6">
        <w:t xml:space="preserve"> (accessed 5 August</w:t>
      </w:r>
      <w:r w:rsidR="00BB74A6">
        <w:t xml:space="preserve"> 2024)</w:t>
      </w:r>
      <w:r w:rsidRPr="00BB74A6">
        <w:t>.</w:t>
      </w:r>
    </w:p>
    <w:p w14:paraId="478CB50C" w14:textId="2606EF6F" w:rsidR="00814222" w:rsidRDefault="00814222" w:rsidP="009B23A6">
      <w:pPr>
        <w:spacing w:after="0" w:line="480" w:lineRule="auto"/>
        <w:ind w:left="720" w:hanging="720"/>
      </w:pPr>
      <w:r w:rsidRPr="67C4EA52">
        <w:t xml:space="preserve">Brooks M. E., K. Kristensen, K.J. van Benthem., A. Magnusson, C.W. Berg, A. Nielsen, H.J. Skaug, M. Maechler, and B.M. Bolker. 2017. </w:t>
      </w:r>
      <w:proofErr w:type="spellStart"/>
      <w:r w:rsidRPr="67C4EA52">
        <w:t>glmmTMB</w:t>
      </w:r>
      <w:proofErr w:type="spellEnd"/>
      <w:r w:rsidRPr="67C4EA52">
        <w:t xml:space="preserve"> balances speed and flexibility among packages for zero-inflated generalized linear mixed modeling. The R Journal 9(2)</w:t>
      </w:r>
      <w:r w:rsidR="00EC1EC3">
        <w:t>:</w:t>
      </w:r>
      <w:r w:rsidRPr="67C4EA52">
        <w:t xml:space="preserve">378–400. </w:t>
      </w:r>
    </w:p>
    <w:p w14:paraId="2B52334C" w14:textId="514F645E" w:rsidR="0098456B" w:rsidRDefault="0098456B" w:rsidP="009B23A6">
      <w:pPr>
        <w:spacing w:after="0" w:line="480" w:lineRule="auto"/>
        <w:ind w:left="720" w:hanging="720"/>
      </w:pPr>
      <w:r w:rsidRPr="00766CAA">
        <w:t>Buckland,</w:t>
      </w:r>
      <w:r>
        <w:t xml:space="preserve"> S. T.,</w:t>
      </w:r>
      <w:r w:rsidRPr="00766CAA">
        <w:t xml:space="preserve"> D</w:t>
      </w:r>
      <w:r>
        <w:t>.</w:t>
      </w:r>
      <w:r w:rsidRPr="00766CAA">
        <w:t xml:space="preserve"> R</w:t>
      </w:r>
      <w:r>
        <w:t>.</w:t>
      </w:r>
      <w:r w:rsidRPr="00766CAA">
        <w:t xml:space="preserve"> Anderson, K</w:t>
      </w:r>
      <w:r>
        <w:t>.</w:t>
      </w:r>
      <w:r w:rsidRPr="00766CAA">
        <w:t xml:space="preserve"> P</w:t>
      </w:r>
      <w:r>
        <w:t>.</w:t>
      </w:r>
      <w:r w:rsidRPr="00766CAA">
        <w:t xml:space="preserve"> Burnham, J</w:t>
      </w:r>
      <w:r>
        <w:t>.</w:t>
      </w:r>
      <w:r w:rsidRPr="00766CAA">
        <w:t xml:space="preserve"> L</w:t>
      </w:r>
      <w:r>
        <w:t>.</w:t>
      </w:r>
      <w:r w:rsidRPr="00766CAA">
        <w:t xml:space="preserve"> Laake, D</w:t>
      </w:r>
      <w:r>
        <w:t>.</w:t>
      </w:r>
      <w:r w:rsidRPr="00766CAA">
        <w:t xml:space="preserve"> L</w:t>
      </w:r>
      <w:r>
        <w:t>.</w:t>
      </w:r>
      <w:r w:rsidRPr="00766CAA">
        <w:t xml:space="preserve"> Borchers,</w:t>
      </w:r>
      <w:r w:rsidR="00EC1EC3">
        <w:t xml:space="preserve"> and </w:t>
      </w:r>
      <w:r w:rsidRPr="00766CAA">
        <w:t xml:space="preserve"> L</w:t>
      </w:r>
      <w:r>
        <w:t>.</w:t>
      </w:r>
      <w:r w:rsidRPr="00766CAA">
        <w:t xml:space="preserve"> Thomas</w:t>
      </w:r>
      <w:r>
        <w:t xml:space="preserve">. 2001. </w:t>
      </w:r>
      <w:r w:rsidRPr="003D60FA">
        <w:t xml:space="preserve">Introduction to distance sampling: </w:t>
      </w:r>
      <w:r w:rsidR="00EC1EC3">
        <w:t>e</w:t>
      </w:r>
      <w:r w:rsidRPr="003D60FA">
        <w:t>stimating abundance of biological populations</w:t>
      </w:r>
      <w:r>
        <w:t xml:space="preserve">. Oxford University Press, </w:t>
      </w:r>
      <w:r w:rsidR="00EC1EC3">
        <w:t>Oxford, England, United Kingdom</w:t>
      </w:r>
      <w:r>
        <w:t>.</w:t>
      </w:r>
    </w:p>
    <w:p w14:paraId="12549E9E" w14:textId="445AEFF6" w:rsidR="00207324" w:rsidRDefault="00207324" w:rsidP="009B23A6">
      <w:pPr>
        <w:spacing w:after="0" w:line="480" w:lineRule="auto"/>
        <w:ind w:left="720" w:hanging="720"/>
      </w:pPr>
      <w:r w:rsidRPr="00207324">
        <w:t>Burnham, K. P., and D. R. Anderson. 2002. Model selection and</w:t>
      </w:r>
      <w:r>
        <w:t xml:space="preserve"> </w:t>
      </w:r>
      <w:proofErr w:type="spellStart"/>
      <w:r w:rsidRPr="00207324">
        <w:t>multimodel</w:t>
      </w:r>
      <w:proofErr w:type="spellEnd"/>
      <w:r w:rsidRPr="00207324">
        <w:t xml:space="preserve"> inference: a practical information-theoretic approach. Second</w:t>
      </w:r>
      <w:r>
        <w:t xml:space="preserve"> </w:t>
      </w:r>
      <w:r w:rsidRPr="00207324">
        <w:t>edition. Springer, New York, New York, USA.</w:t>
      </w:r>
    </w:p>
    <w:p w14:paraId="65681F0F" w14:textId="272D5CFA" w:rsidR="00917247" w:rsidRDefault="00917247" w:rsidP="009B23A6">
      <w:pPr>
        <w:spacing w:after="0" w:line="480" w:lineRule="auto"/>
        <w:ind w:left="720" w:hanging="720"/>
      </w:pPr>
      <w:r w:rsidRPr="00CD1506">
        <w:t>Byrne</w:t>
      </w:r>
      <w:r w:rsidR="00CD1506" w:rsidRPr="00CD1506">
        <w:t>, M. E., M. J. Chamberlain, and</w:t>
      </w:r>
      <w:r w:rsidR="00CD1506">
        <w:t xml:space="preserve"> B. A. Collier. 2015. Potential density dependence in wild turkey productivity in the southeastern United State</w:t>
      </w:r>
      <w:r w:rsidR="00EC1EC3">
        <w:t>s</w:t>
      </w:r>
      <w:r w:rsidR="00CD1506">
        <w:t>. Proceedings of the National Wild Turkey Symposium 11:329–351.</w:t>
      </w:r>
    </w:p>
    <w:p w14:paraId="0513E8F1" w14:textId="67B18707" w:rsidR="002E73C7" w:rsidRPr="00CD1506" w:rsidRDefault="002E73C7" w:rsidP="009B23A6">
      <w:pPr>
        <w:spacing w:after="0" w:line="480" w:lineRule="auto"/>
        <w:ind w:left="720" w:hanging="720"/>
      </w:pPr>
      <w:r w:rsidRPr="002E73C7">
        <w:lastRenderedPageBreak/>
        <w:t xml:space="preserve">Fink, D., </w:t>
      </w:r>
      <w:r w:rsidR="00122428">
        <w:t xml:space="preserve">A. </w:t>
      </w:r>
      <w:r w:rsidRPr="002E73C7">
        <w:t xml:space="preserve">Johnston, </w:t>
      </w:r>
      <w:r w:rsidR="00122428">
        <w:t xml:space="preserve">M. </w:t>
      </w:r>
      <w:proofErr w:type="spellStart"/>
      <w:r w:rsidRPr="002E73C7">
        <w:t>Strimas</w:t>
      </w:r>
      <w:proofErr w:type="spellEnd"/>
      <w:r w:rsidRPr="002E73C7">
        <w:t xml:space="preserve">-Mackey, </w:t>
      </w:r>
      <w:r w:rsidR="00122428">
        <w:t xml:space="preserve">T. </w:t>
      </w:r>
      <w:r w:rsidRPr="002E73C7">
        <w:t xml:space="preserve">Auer, </w:t>
      </w:r>
      <w:r w:rsidR="00122428">
        <w:t xml:space="preserve">W. M. </w:t>
      </w:r>
      <w:proofErr w:type="spellStart"/>
      <w:r w:rsidRPr="002E73C7">
        <w:t>Hochachka</w:t>
      </w:r>
      <w:proofErr w:type="spellEnd"/>
      <w:r w:rsidRPr="002E73C7">
        <w:t xml:space="preserve">, </w:t>
      </w:r>
      <w:r w:rsidR="00122428">
        <w:t xml:space="preserve">S. </w:t>
      </w:r>
      <w:r w:rsidRPr="002E73C7">
        <w:t xml:space="preserve">Ligocki, </w:t>
      </w:r>
      <w:r w:rsidR="009351A5">
        <w:t>L. Oldham</w:t>
      </w:r>
      <w:r w:rsidRPr="002E73C7">
        <w:t xml:space="preserve"> </w:t>
      </w:r>
      <w:proofErr w:type="spellStart"/>
      <w:r w:rsidRPr="002E73C7">
        <w:t>Jaromczyk</w:t>
      </w:r>
      <w:proofErr w:type="spellEnd"/>
      <w:r w:rsidRPr="002E73C7">
        <w:t xml:space="preserve">, </w:t>
      </w:r>
      <w:r w:rsidR="007B0F60">
        <w:t xml:space="preserve">O. </w:t>
      </w:r>
      <w:r w:rsidRPr="002E73C7">
        <w:t xml:space="preserve">Robinson, </w:t>
      </w:r>
      <w:r w:rsidR="007B0F60">
        <w:t xml:space="preserve">C. </w:t>
      </w:r>
      <w:r w:rsidRPr="002E73C7">
        <w:t xml:space="preserve">Wood, </w:t>
      </w:r>
      <w:r w:rsidR="007B0F60">
        <w:t xml:space="preserve">S. </w:t>
      </w:r>
      <w:proofErr w:type="spellStart"/>
      <w:r w:rsidRPr="002E73C7">
        <w:t>Kelling</w:t>
      </w:r>
      <w:proofErr w:type="spellEnd"/>
      <w:r w:rsidRPr="002E73C7">
        <w:t xml:space="preserve">, </w:t>
      </w:r>
      <w:r w:rsidR="00122428">
        <w:t>and A. D.</w:t>
      </w:r>
      <w:r w:rsidRPr="002E73C7">
        <w:t xml:space="preserve"> Rodewald. 2023. A </w:t>
      </w:r>
      <w:r w:rsidR="00122428">
        <w:t>d</w:t>
      </w:r>
      <w:r w:rsidRPr="002E73C7">
        <w:t>ouble machine learning trend model for citizen science data. Methods in Ecology and Evolution 14</w:t>
      </w:r>
      <w:r w:rsidR="00EC1EC3">
        <w:t>:</w:t>
      </w:r>
      <w:r w:rsidRPr="002E73C7">
        <w:t>2435–2448.</w:t>
      </w:r>
    </w:p>
    <w:p w14:paraId="7626217C" w14:textId="63B021B3" w:rsidR="00F113C8" w:rsidRDefault="00F113C8" w:rsidP="009B23A6">
      <w:pPr>
        <w:spacing w:after="0" w:line="480" w:lineRule="auto"/>
        <w:ind w:left="720" w:hanging="720"/>
      </w:pPr>
      <w:r>
        <w:t xml:space="preserve">National Wild Turkey Federation Technical Committee. 2019. A standardized protocol for conducting wild turkey brood surveys. </w:t>
      </w:r>
      <w:r w:rsidR="005A1444">
        <w:t xml:space="preserve">National Wild Turkey Federation, </w:t>
      </w:r>
      <w:r w:rsidR="00DF7E01">
        <w:t>Edgefield, S</w:t>
      </w:r>
      <w:r w:rsidR="00116164">
        <w:t>outh Carolina, USA</w:t>
      </w:r>
      <w:r>
        <w:t>.</w:t>
      </w:r>
    </w:p>
    <w:p w14:paraId="5F4ED659" w14:textId="356F19EA" w:rsidR="00D51855" w:rsidRDefault="00D51855" w:rsidP="009B23A6">
      <w:pPr>
        <w:spacing w:after="0" w:line="480" w:lineRule="auto"/>
        <w:ind w:left="720" w:hanging="720"/>
      </w:pPr>
      <w:r w:rsidRPr="007729FA">
        <w:t>R Core Team. 202</w:t>
      </w:r>
      <w:r w:rsidR="00A43E2C">
        <w:t>4</w:t>
      </w:r>
      <w:r w:rsidRPr="007729FA">
        <w:t>. R: a language and environment for statistical computing. R Foundation for Statistical Computing, Vienna, Austria.</w:t>
      </w:r>
    </w:p>
    <w:p w14:paraId="477DEB36" w14:textId="731C4B7D" w:rsidR="00207324" w:rsidRDefault="00207324" w:rsidP="009B23A6">
      <w:pPr>
        <w:spacing w:after="0" w:line="480" w:lineRule="auto"/>
        <w:ind w:left="720" w:hanging="720"/>
      </w:pPr>
      <w:r w:rsidRPr="00207324">
        <w:t xml:space="preserve">Schaub, M., </w:t>
      </w:r>
      <w:r>
        <w:t>and M.</w:t>
      </w:r>
      <w:r w:rsidRPr="00207324">
        <w:t xml:space="preserve"> Kéry. 2012. Combining information in hierarchical models improves inferences in population ecology and demographic population analyses. </w:t>
      </w:r>
      <w:r w:rsidRPr="009466D2">
        <w:t>Animal Conservation</w:t>
      </w:r>
      <w:r w:rsidRPr="00207324">
        <w:t> </w:t>
      </w:r>
      <w:r w:rsidRPr="009466D2">
        <w:t>15</w:t>
      </w:r>
      <w:r>
        <w:t>:125-126</w:t>
      </w:r>
      <w:r w:rsidRPr="00207324">
        <w:t>.</w:t>
      </w:r>
    </w:p>
    <w:p w14:paraId="2E5CEF4E" w14:textId="4A7D644E" w:rsidR="00F113C8" w:rsidRPr="000C5370" w:rsidRDefault="00917247" w:rsidP="009B23A6">
      <w:pPr>
        <w:spacing w:after="0" w:line="480" w:lineRule="auto"/>
        <w:ind w:left="720" w:hanging="720"/>
      </w:pPr>
      <w:r w:rsidRPr="000C5370">
        <w:t>Wakeling</w:t>
      </w:r>
      <w:r w:rsidR="000C5370" w:rsidRPr="000C5370">
        <w:t xml:space="preserve">, B. F., J. M. Sandrini, S. P. </w:t>
      </w:r>
      <w:proofErr w:type="spellStart"/>
      <w:r w:rsidR="000C5370" w:rsidRPr="000C5370">
        <w:t>Leric</w:t>
      </w:r>
      <w:r w:rsidR="000C5370">
        <w:t>h</w:t>
      </w:r>
      <w:proofErr w:type="spellEnd"/>
      <w:r w:rsidR="000C5370">
        <w:t>, and C. Cardinal. 202</w:t>
      </w:r>
      <w:r w:rsidR="005F4110">
        <w:t>2</w:t>
      </w:r>
      <w:r w:rsidR="000C5370">
        <w:t xml:space="preserve">. A review of harvest and population monitoring methods for western wild turkeys. Wildlife Society Bulletin </w:t>
      </w:r>
      <w:r w:rsidR="00845B43">
        <w:t>46:e1281.</w:t>
      </w:r>
    </w:p>
    <w:p w14:paraId="56B38D19" w14:textId="732D3118" w:rsidR="0097594E" w:rsidRDefault="0097594E" w:rsidP="009B23A6">
      <w:pPr>
        <w:spacing w:after="0" w:line="480" w:lineRule="auto"/>
        <w:ind w:left="720" w:hanging="720"/>
      </w:pPr>
      <w:r>
        <w:t xml:space="preserve">Williams, B. K., J. D. Nichols, and M. J. Conroy. 2001. </w:t>
      </w:r>
      <w:r w:rsidR="00BD5519">
        <w:t xml:space="preserve">Analysis and management of animal populations: modeling estimation, and decision making. Academic Press, </w:t>
      </w:r>
      <w:r w:rsidR="004B731B">
        <w:t xml:space="preserve">London, </w:t>
      </w:r>
      <w:r w:rsidR="00EC1EC3">
        <w:t xml:space="preserve">England, </w:t>
      </w:r>
      <w:r w:rsidR="004B731B">
        <w:t>U</w:t>
      </w:r>
      <w:r w:rsidR="00EC1EC3">
        <w:t xml:space="preserve">nited </w:t>
      </w:r>
      <w:r w:rsidR="004B731B">
        <w:t>K</w:t>
      </w:r>
      <w:r w:rsidR="00EC1EC3">
        <w:t>ingdom</w:t>
      </w:r>
      <w:r w:rsidR="004B731B">
        <w:t>.</w:t>
      </w:r>
    </w:p>
    <w:p w14:paraId="6D45760A" w14:textId="77777777" w:rsidR="00EC1EC3" w:rsidRDefault="00EC1EC3">
      <w:r>
        <w:br w:type="page"/>
      </w:r>
    </w:p>
    <w:p w14:paraId="656B69F5" w14:textId="75738F18" w:rsidR="00EB1D9A" w:rsidRDefault="00EB1D9A" w:rsidP="00833D2A">
      <w:pPr>
        <w:spacing w:line="480" w:lineRule="auto"/>
        <w:ind w:left="720" w:hanging="720"/>
      </w:pPr>
      <w:r>
        <w:lastRenderedPageBreak/>
        <w:t>Figure Captions</w:t>
      </w:r>
    </w:p>
    <w:p w14:paraId="08189212" w14:textId="30845203" w:rsidR="00D034AC" w:rsidRDefault="00D034AC" w:rsidP="00833D2A">
      <w:pPr>
        <w:spacing w:line="480" w:lineRule="auto"/>
      </w:pPr>
      <w:r w:rsidRPr="00EF2035">
        <w:t>Figure 1.</w:t>
      </w:r>
      <w:r w:rsidRPr="006754FB">
        <w:t xml:space="preserve"> </w:t>
      </w:r>
      <w:r>
        <w:t>S</w:t>
      </w:r>
      <w:r w:rsidRPr="006754FB">
        <w:t>tates and management unit boundaries</w:t>
      </w:r>
      <w:r>
        <w:t xml:space="preserve"> (</w:t>
      </w:r>
      <w:r w:rsidR="00973FE5">
        <w:t xml:space="preserve">Maryland </w:t>
      </w:r>
      <w:r>
        <w:t>and O</w:t>
      </w:r>
      <w:r w:rsidR="00973FE5">
        <w:t>hio</w:t>
      </w:r>
      <w:r>
        <w:t>)</w:t>
      </w:r>
      <w:r w:rsidRPr="006754FB">
        <w:t>, or boundaries</w:t>
      </w:r>
      <w:r w:rsidRPr="00CA7867">
        <w:t xml:space="preserve"> </w:t>
      </w:r>
      <w:r>
        <w:t xml:space="preserve">of </w:t>
      </w:r>
      <w:r w:rsidRPr="006754FB">
        <w:t>consolidated</w:t>
      </w:r>
      <w:r>
        <w:t xml:space="preserve"> management units (N</w:t>
      </w:r>
      <w:r w:rsidR="00973FE5">
        <w:t xml:space="preserve">ew </w:t>
      </w:r>
      <w:r>
        <w:t>J</w:t>
      </w:r>
      <w:r w:rsidR="00973FE5">
        <w:t>ersey</w:t>
      </w:r>
      <w:r>
        <w:t>, N</w:t>
      </w:r>
      <w:r w:rsidR="00973FE5">
        <w:t xml:space="preserve">ew </w:t>
      </w:r>
      <w:r>
        <w:t>Y</w:t>
      </w:r>
      <w:r w:rsidR="00973FE5">
        <w:t>ork</w:t>
      </w:r>
      <w:r>
        <w:t>, P</w:t>
      </w:r>
      <w:r w:rsidR="00973FE5">
        <w:t>ennsylvania</w:t>
      </w:r>
      <w:r>
        <w:t>, V</w:t>
      </w:r>
      <w:r w:rsidR="00973FE5">
        <w:t>irginia</w:t>
      </w:r>
      <w:r>
        <w:t>), or physiographic regions (W</w:t>
      </w:r>
      <w:r w:rsidR="00973FE5">
        <w:t xml:space="preserve">est </w:t>
      </w:r>
      <w:r>
        <w:t>V</w:t>
      </w:r>
      <w:r w:rsidR="00973FE5">
        <w:t>irginia</w:t>
      </w:r>
      <w:r>
        <w:t xml:space="preserve">) with observations of wild turkey </w:t>
      </w:r>
      <w:r w:rsidR="00E84356">
        <w:t>(</w:t>
      </w:r>
      <w:r w:rsidR="00E84356" w:rsidRPr="001164C5">
        <w:rPr>
          <w:i/>
          <w:iCs/>
        </w:rPr>
        <w:t>Meleagris gall</w:t>
      </w:r>
      <w:r w:rsidR="00E84356">
        <w:rPr>
          <w:i/>
          <w:iCs/>
        </w:rPr>
        <w:t>o</w:t>
      </w:r>
      <w:r w:rsidR="00E84356" w:rsidRPr="001164C5">
        <w:rPr>
          <w:i/>
          <w:iCs/>
        </w:rPr>
        <w:t>pavo</w:t>
      </w:r>
      <w:r w:rsidR="00E84356">
        <w:t xml:space="preserve">) </w:t>
      </w:r>
      <w:r>
        <w:t>hens and poults, Maryland, New Jersey, New York, Ohio, Pennsylvania, Virginia, and West Virginia, USA</w:t>
      </w:r>
      <w:r w:rsidRPr="006754FB">
        <w:t>.</w:t>
      </w:r>
      <w:r>
        <w:t xml:space="preserve"> </w:t>
      </w:r>
    </w:p>
    <w:p w14:paraId="4CCBD6BD" w14:textId="657F018D" w:rsidR="00525789" w:rsidRDefault="00525789" w:rsidP="00833D2A">
      <w:pPr>
        <w:spacing w:line="480" w:lineRule="auto"/>
      </w:pPr>
      <w:r>
        <w:t xml:space="preserve">Figure 2. Mean date observations were obtained of wild turkeys </w:t>
      </w:r>
      <w:r w:rsidR="00A25465">
        <w:t>(</w:t>
      </w:r>
      <w:r w:rsidR="00A25465" w:rsidRPr="001164C5">
        <w:rPr>
          <w:i/>
          <w:iCs/>
        </w:rPr>
        <w:t>Meleagris gall</w:t>
      </w:r>
      <w:r w:rsidR="00A25465">
        <w:rPr>
          <w:i/>
          <w:iCs/>
        </w:rPr>
        <w:t>o</w:t>
      </w:r>
      <w:r w:rsidR="00A25465" w:rsidRPr="001164C5">
        <w:rPr>
          <w:i/>
          <w:iCs/>
        </w:rPr>
        <w:t>pavo</w:t>
      </w:r>
      <w:r w:rsidR="00A25465">
        <w:t xml:space="preserve">) </w:t>
      </w:r>
      <w:r>
        <w:t>for summer sighting surveys by year for 2000–2023 in Maryland (MD), New Jersey (NJ), New York (NY), Ohio (OH), Pennsylvania (PA), Virginia (VA), and West Virginia (WV), USA.</w:t>
      </w:r>
    </w:p>
    <w:p w14:paraId="34B83661" w14:textId="5B8222F7" w:rsidR="00563224" w:rsidRDefault="00563224" w:rsidP="00833D2A">
      <w:pPr>
        <w:spacing w:line="480" w:lineRule="auto"/>
      </w:pPr>
      <w:r>
        <w:t xml:space="preserve">Figure 3. Effect of day of year </w:t>
      </w:r>
      <w:r w:rsidR="00A31969">
        <w:t>with 95%</w:t>
      </w:r>
      <w:r w:rsidR="00A1399F">
        <w:t xml:space="preserve"> confidence intervals </w:t>
      </w:r>
      <w:r>
        <w:t>on the proportion of hens observed with poults during summer sighting surveys of wild turkey</w:t>
      </w:r>
      <w:r w:rsidR="00A25465">
        <w:t xml:space="preserve"> (</w:t>
      </w:r>
      <w:r w:rsidR="00A25465" w:rsidRPr="001164C5">
        <w:rPr>
          <w:i/>
          <w:iCs/>
        </w:rPr>
        <w:t>Meleagris gall</w:t>
      </w:r>
      <w:r w:rsidR="00A25465">
        <w:rPr>
          <w:i/>
          <w:iCs/>
        </w:rPr>
        <w:t>o</w:t>
      </w:r>
      <w:r w:rsidR="00A25465" w:rsidRPr="001164C5">
        <w:rPr>
          <w:i/>
          <w:iCs/>
        </w:rPr>
        <w:t>pavo</w:t>
      </w:r>
      <w:r w:rsidR="00A25465">
        <w:t>)</w:t>
      </w:r>
      <w:r>
        <w:t>, 2000–2023, in Maryland (MD), New Jersey (NJ), New York (NY), Ohio (OH), Pennsylvania (PA), Virginia (VA), and West Virginia (WV), USA.</w:t>
      </w:r>
    </w:p>
    <w:p w14:paraId="05CBFCE0" w14:textId="611B7FCA" w:rsidR="0023407B" w:rsidRDefault="0023407B" w:rsidP="00833D2A">
      <w:pPr>
        <w:spacing w:line="480" w:lineRule="auto"/>
      </w:pPr>
      <w:r>
        <w:t xml:space="preserve">Figure 4. Effect of day of year </w:t>
      </w:r>
      <w:r w:rsidR="00A1399F">
        <w:t xml:space="preserve">with 95% confidence intervals </w:t>
      </w:r>
      <w:r>
        <w:t>on the number of poults per brood during summer sighting surveys of wild turkey</w:t>
      </w:r>
      <w:r w:rsidR="00A25465">
        <w:t xml:space="preserve"> (</w:t>
      </w:r>
      <w:r w:rsidR="00A25465" w:rsidRPr="001164C5">
        <w:rPr>
          <w:i/>
          <w:iCs/>
        </w:rPr>
        <w:t>Meleagris gall</w:t>
      </w:r>
      <w:r w:rsidR="00A25465">
        <w:rPr>
          <w:i/>
          <w:iCs/>
        </w:rPr>
        <w:t>o</w:t>
      </w:r>
      <w:r w:rsidR="00A25465" w:rsidRPr="001164C5">
        <w:rPr>
          <w:i/>
          <w:iCs/>
        </w:rPr>
        <w:t>pavo</w:t>
      </w:r>
      <w:r w:rsidR="00A25465">
        <w:t>)</w:t>
      </w:r>
      <w:r>
        <w:t>, 2000–2023, in Maryland (MD), New Jersey (NJ), New York (NY), Ohio (OH), Pennsylvania (PA), Virginia (VA), and West Virginia (WV), USA.</w:t>
      </w:r>
    </w:p>
    <w:p w14:paraId="05A245EE" w14:textId="5F4AF835" w:rsidR="002B2493" w:rsidRDefault="0023407B" w:rsidP="00833D2A">
      <w:pPr>
        <w:spacing w:line="480" w:lineRule="auto"/>
      </w:pPr>
      <w:r>
        <w:t>Figure 5.  Estimated proportion of hens with poults (</w:t>
      </w:r>
      <w:r w:rsidR="00387204">
        <w:t>HWP</w:t>
      </w:r>
      <w:r>
        <w:t xml:space="preserve">) during summer sighting surveys </w:t>
      </w:r>
      <w:r w:rsidR="00A25465">
        <w:t>of wild turkey (</w:t>
      </w:r>
      <w:r w:rsidR="00A25465" w:rsidRPr="001164C5">
        <w:rPr>
          <w:i/>
          <w:iCs/>
        </w:rPr>
        <w:t>Meleagris gall</w:t>
      </w:r>
      <w:r w:rsidR="00A25465">
        <w:rPr>
          <w:i/>
          <w:iCs/>
        </w:rPr>
        <w:t>o</w:t>
      </w:r>
      <w:r w:rsidR="00A25465" w:rsidRPr="001164C5">
        <w:rPr>
          <w:i/>
          <w:iCs/>
        </w:rPr>
        <w:t>pavo</w:t>
      </w:r>
      <w:r w:rsidR="00A25465">
        <w:t xml:space="preserve">) </w:t>
      </w:r>
      <w:r>
        <w:t>in Ohio, Pennsylvania, and West Virginia, USA</w:t>
      </w:r>
      <w:r w:rsidR="00EC1EC3">
        <w:t>,</w:t>
      </w:r>
      <w:r>
        <w:t xml:space="preserve"> when repeat observations of the same birds, as reported by observers, are excluded (left column) and when all observations are included, 2016–2023. </w:t>
      </w:r>
      <w:r w:rsidR="00601FE0">
        <w:t>Error bars are 95% confidence intervals and h</w:t>
      </w:r>
      <w:r>
        <w:t>orizontal lines are for reference</w:t>
      </w:r>
      <w:r w:rsidR="003D27E3">
        <w:t xml:space="preserve"> to compare</w:t>
      </w:r>
      <w:r w:rsidR="00B556F4">
        <w:t xml:space="preserve"> estimates</w:t>
      </w:r>
      <w:r>
        <w:t>.</w:t>
      </w:r>
    </w:p>
    <w:p w14:paraId="6970A63B" w14:textId="5A20EF28" w:rsidR="0023407B" w:rsidRDefault="0023407B" w:rsidP="00833D2A">
      <w:pPr>
        <w:spacing w:line="480" w:lineRule="auto"/>
      </w:pPr>
      <w:r>
        <w:lastRenderedPageBreak/>
        <w:t xml:space="preserve">Figure 6. Estimated poults per brood (PPB) during summer sighting surveys </w:t>
      </w:r>
      <w:r w:rsidR="00A25465">
        <w:t>of wild turkey (</w:t>
      </w:r>
      <w:r w:rsidR="00A25465" w:rsidRPr="001164C5">
        <w:rPr>
          <w:i/>
          <w:iCs/>
        </w:rPr>
        <w:t>Meleagris gall</w:t>
      </w:r>
      <w:r w:rsidR="00A25465">
        <w:rPr>
          <w:i/>
          <w:iCs/>
        </w:rPr>
        <w:t>o</w:t>
      </w:r>
      <w:r w:rsidR="00A25465" w:rsidRPr="001164C5">
        <w:rPr>
          <w:i/>
          <w:iCs/>
        </w:rPr>
        <w:t>pavo</w:t>
      </w:r>
      <w:r w:rsidR="00A25465">
        <w:t xml:space="preserve">) </w:t>
      </w:r>
      <w:r>
        <w:t>in Ohio, Pennsylvania, and West Virginia, USA</w:t>
      </w:r>
      <w:r w:rsidR="00EC1EC3">
        <w:t>,</w:t>
      </w:r>
      <w:r>
        <w:t xml:space="preserve"> when repeat observations of the same birds, as reported by observers, are excluded (left column) and when all observations are included</w:t>
      </w:r>
      <w:r w:rsidR="003F2A90">
        <w:t xml:space="preserve"> (right column)</w:t>
      </w:r>
      <w:r>
        <w:t xml:space="preserve">, 2016–2023. </w:t>
      </w:r>
      <w:r w:rsidR="00601FE0">
        <w:t>Error bars are 95% confidence intervals and h</w:t>
      </w:r>
      <w:r>
        <w:t>orizontal lines are for reference</w:t>
      </w:r>
      <w:r w:rsidR="00B556F4" w:rsidRPr="00B556F4">
        <w:t xml:space="preserve"> </w:t>
      </w:r>
      <w:r w:rsidR="00B556F4">
        <w:t>to compare estimates</w:t>
      </w:r>
      <w:r>
        <w:t>.</w:t>
      </w:r>
    </w:p>
    <w:p w14:paraId="0C2F90B6" w14:textId="16829960" w:rsidR="00904D3A" w:rsidRDefault="00904D3A" w:rsidP="00904D3A">
      <w:pPr>
        <w:spacing w:line="480" w:lineRule="auto"/>
      </w:pPr>
      <w:r>
        <w:t>Figure 7. Multi-state wild turkey (</w:t>
      </w:r>
      <w:r w:rsidRPr="001164C5">
        <w:rPr>
          <w:i/>
          <w:iCs/>
        </w:rPr>
        <w:t>Meleagris gall</w:t>
      </w:r>
      <w:r>
        <w:rPr>
          <w:i/>
          <w:iCs/>
        </w:rPr>
        <w:t>o</w:t>
      </w:r>
      <w:r w:rsidRPr="001164C5">
        <w:rPr>
          <w:i/>
          <w:iCs/>
        </w:rPr>
        <w:t>pavo</w:t>
      </w:r>
      <w:r>
        <w:t>) model of the proportion of hens with poults, by management unit, for New Jersey</w:t>
      </w:r>
      <w:r w:rsidR="00973FE5">
        <w:t xml:space="preserve"> (NJ)</w:t>
      </w:r>
      <w:r>
        <w:t>, New York</w:t>
      </w:r>
      <w:r w:rsidR="00973FE5">
        <w:t xml:space="preserve"> (NY)</w:t>
      </w:r>
      <w:r>
        <w:t>, and Pennsylvania</w:t>
      </w:r>
      <w:r w:rsidR="00973FE5">
        <w:t xml:space="preserve"> (PA)</w:t>
      </w:r>
      <w:r>
        <w:t>, USA (top) and the effect of calendar day on the estimator (bottom), 2011</w:t>
      </w:r>
      <w:r>
        <w:softHyphen/>
        <w:t>–2023. The model demonstrates estimates can be obtained for years with missing data (New Jersey, 2020–2021; Pennsylvania, 2011–2017) and that different relationships for calendar day are retained (</w:t>
      </w:r>
      <w:r w:rsidRPr="00430A47">
        <w:rPr>
          <w:i/>
        </w:rPr>
        <w:t>cf</w:t>
      </w:r>
      <w:r>
        <w:t>. Figure 3).</w:t>
      </w:r>
    </w:p>
    <w:p w14:paraId="6097C320" w14:textId="53FCA80E" w:rsidR="00F52DDD" w:rsidRDefault="00987147" w:rsidP="00833D2A">
      <w:pPr>
        <w:spacing w:line="480" w:lineRule="auto"/>
      </w:pPr>
      <w:r>
        <w:t xml:space="preserve">Figure 8. Annual change in proportion of hens with poults over time and 90% confidence interval observed during summer sighting surveys of wild turkeys </w:t>
      </w:r>
      <w:r w:rsidR="001D7CEA">
        <w:t>(</w:t>
      </w:r>
      <w:r w:rsidR="001D7CEA" w:rsidRPr="001164C5">
        <w:rPr>
          <w:i/>
          <w:iCs/>
        </w:rPr>
        <w:t>Meleagris gall</w:t>
      </w:r>
      <w:r w:rsidR="001D7CEA">
        <w:rPr>
          <w:i/>
          <w:iCs/>
        </w:rPr>
        <w:t>o</w:t>
      </w:r>
      <w:r w:rsidR="001D7CEA" w:rsidRPr="001164C5">
        <w:rPr>
          <w:i/>
          <w:iCs/>
        </w:rPr>
        <w:t>pavo</w:t>
      </w:r>
      <w:r w:rsidR="001D7CEA">
        <w:t xml:space="preserve">) </w:t>
      </w:r>
      <w:r>
        <w:t xml:space="preserve">when calendar day of observations is incorporated in the model (black), when it is not (blue), and when both calendar day and proportion of developed area associated with the observation are included (orange); Maryland (MD), 2018–2023; New Jersey (NJ), 2000–2023; New York (NY), 2008–2023; Ohio (OH), 2017–2022; Pennsylvania (PA), 2017–2023; Virginia (VA), 2008–2023; West Virginia (WV), </w:t>
      </w:r>
      <w:r w:rsidR="00B10C4F">
        <w:t xml:space="preserve">USA, </w:t>
      </w:r>
      <w:r>
        <w:t>2016–2023</w:t>
      </w:r>
    </w:p>
    <w:p w14:paraId="41B553C7" w14:textId="77777777" w:rsidR="00F52DDD" w:rsidRDefault="00F52DDD" w:rsidP="00833D2A">
      <w:pPr>
        <w:spacing w:line="480" w:lineRule="auto"/>
      </w:pPr>
      <w:r>
        <w:br w:type="page"/>
      </w:r>
    </w:p>
    <w:p w14:paraId="3E101E24" w14:textId="6174DA30" w:rsidR="00F52DDD" w:rsidRPr="006754FB" w:rsidRDefault="00F52DDD" w:rsidP="00833D2A">
      <w:pPr>
        <w:pStyle w:val="ListParagraph"/>
        <w:spacing w:line="480" w:lineRule="auto"/>
        <w:ind w:left="0"/>
      </w:pPr>
      <w:r w:rsidRPr="006754FB">
        <w:lastRenderedPageBreak/>
        <w:t xml:space="preserve">Table 1. Percentage of data removed </w:t>
      </w:r>
      <w:r>
        <w:t>when excluding</w:t>
      </w:r>
      <w:r w:rsidRPr="006754FB">
        <w:t xml:space="preserve"> observations where ≥25% of </w:t>
      </w:r>
      <w:r>
        <w:t xml:space="preserve">wild </w:t>
      </w:r>
      <w:proofErr w:type="gramStart"/>
      <w:r>
        <w:t>turkeys</w:t>
      </w:r>
      <w:r w:rsidR="00465497">
        <w:t xml:space="preserve"> </w:t>
      </w:r>
      <w:r w:rsidRPr="006754FB">
        <w:t xml:space="preserve"> </w:t>
      </w:r>
      <w:r w:rsidR="00880CAB">
        <w:t>(</w:t>
      </w:r>
      <w:proofErr w:type="gramEnd"/>
      <w:r w:rsidR="00880CAB" w:rsidRPr="001164C5">
        <w:rPr>
          <w:i/>
          <w:iCs/>
        </w:rPr>
        <w:t>Meleagris gall</w:t>
      </w:r>
      <w:r w:rsidR="00880CAB">
        <w:rPr>
          <w:i/>
          <w:iCs/>
        </w:rPr>
        <w:t>o</w:t>
      </w:r>
      <w:r w:rsidR="00880CAB" w:rsidRPr="001164C5">
        <w:rPr>
          <w:i/>
          <w:iCs/>
        </w:rPr>
        <w:t>pavo</w:t>
      </w:r>
      <w:r w:rsidR="00880CAB">
        <w:t xml:space="preserve">) </w:t>
      </w:r>
      <w:r w:rsidRPr="006754FB">
        <w:t>were of unknown sex-age (Unknown), &gt;8 hens sighted without poults present (Hens), &gt;16 poults per hen (PPH), and whether the group had been previously reported by the observer (</w:t>
      </w:r>
      <w:r>
        <w:t>S</w:t>
      </w:r>
      <w:r w:rsidRPr="006754FB">
        <w:t>een before).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9"/>
        <w:gridCol w:w="1700"/>
        <w:gridCol w:w="1181"/>
        <w:gridCol w:w="1170"/>
        <w:gridCol w:w="1089"/>
        <w:gridCol w:w="1168"/>
        <w:gridCol w:w="1433"/>
      </w:tblGrid>
      <w:tr w:rsidR="00F52DDD" w:rsidRPr="00647C6D" w14:paraId="5F1039AD" w14:textId="77777777">
        <w:tc>
          <w:tcPr>
            <w:tcW w:w="1619" w:type="dxa"/>
            <w:tcBorders>
              <w:top w:val="single" w:sz="4" w:space="0" w:color="auto"/>
              <w:bottom w:val="single" w:sz="4" w:space="0" w:color="auto"/>
            </w:tcBorders>
          </w:tcPr>
          <w:p w14:paraId="2143FBF2" w14:textId="77777777" w:rsidR="005A1444" w:rsidRDefault="005A1444" w:rsidP="00833D2A">
            <w:pPr>
              <w:spacing w:line="480" w:lineRule="auto"/>
              <w:rPr>
                <w:rFonts w:ascii="Times New Roman" w:hAnsi="Times New Roman" w:cs="Times New Roman"/>
                <w:sz w:val="24"/>
                <w:szCs w:val="24"/>
              </w:rPr>
            </w:pPr>
          </w:p>
          <w:p w14:paraId="0B611556" w14:textId="28A6C799"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State</w:t>
            </w:r>
          </w:p>
        </w:tc>
        <w:tc>
          <w:tcPr>
            <w:tcW w:w="1700" w:type="dxa"/>
            <w:tcBorders>
              <w:top w:val="single" w:sz="4" w:space="0" w:color="auto"/>
              <w:bottom w:val="single" w:sz="4" w:space="0" w:color="auto"/>
            </w:tcBorders>
          </w:tcPr>
          <w:p w14:paraId="36AFE4A2" w14:textId="77777777" w:rsidR="005A1444" w:rsidRDefault="005A1444" w:rsidP="00833D2A">
            <w:pPr>
              <w:spacing w:line="480" w:lineRule="auto"/>
              <w:jc w:val="center"/>
              <w:rPr>
                <w:rFonts w:ascii="Times New Roman" w:hAnsi="Times New Roman" w:cs="Times New Roman"/>
                <w:sz w:val="24"/>
                <w:szCs w:val="24"/>
              </w:rPr>
            </w:pPr>
          </w:p>
          <w:p w14:paraId="267C37F2" w14:textId="22ABDFA8" w:rsidR="00F52DDD" w:rsidRPr="00647C6D" w:rsidRDefault="00F52DDD" w:rsidP="00833D2A">
            <w:pPr>
              <w:spacing w:line="480" w:lineRule="auto"/>
              <w:jc w:val="center"/>
              <w:rPr>
                <w:rFonts w:ascii="Times New Roman" w:hAnsi="Times New Roman" w:cs="Times New Roman"/>
                <w:sz w:val="24"/>
                <w:szCs w:val="24"/>
              </w:rPr>
            </w:pPr>
            <w:r w:rsidRPr="00647C6D">
              <w:rPr>
                <w:rFonts w:ascii="Times New Roman" w:hAnsi="Times New Roman" w:cs="Times New Roman"/>
                <w:sz w:val="24"/>
                <w:szCs w:val="24"/>
              </w:rPr>
              <w:t>Year</w:t>
            </w:r>
            <w:r>
              <w:rPr>
                <w:rFonts w:ascii="Times New Roman" w:hAnsi="Times New Roman" w:cs="Times New Roman"/>
                <w:sz w:val="24"/>
                <w:szCs w:val="24"/>
              </w:rPr>
              <w:t>s</w:t>
            </w:r>
          </w:p>
        </w:tc>
        <w:tc>
          <w:tcPr>
            <w:tcW w:w="1181" w:type="dxa"/>
            <w:tcBorders>
              <w:top w:val="single" w:sz="4" w:space="0" w:color="auto"/>
              <w:bottom w:val="single" w:sz="4" w:space="0" w:color="auto"/>
            </w:tcBorders>
          </w:tcPr>
          <w:p w14:paraId="12D220F5" w14:textId="77777777" w:rsidR="005A1444" w:rsidRDefault="005A1444" w:rsidP="00833D2A">
            <w:pPr>
              <w:spacing w:line="480" w:lineRule="auto"/>
              <w:jc w:val="center"/>
              <w:rPr>
                <w:rFonts w:ascii="Times New Roman" w:hAnsi="Times New Roman" w:cs="Times New Roman"/>
                <w:i/>
                <w:iCs/>
                <w:sz w:val="24"/>
                <w:szCs w:val="24"/>
              </w:rPr>
            </w:pPr>
          </w:p>
          <w:p w14:paraId="067AFF22" w14:textId="446932E4" w:rsidR="00F52DDD" w:rsidRPr="00647C6D" w:rsidRDefault="00F52DDD" w:rsidP="00833D2A">
            <w:pPr>
              <w:spacing w:line="480" w:lineRule="auto"/>
              <w:jc w:val="center"/>
              <w:rPr>
                <w:rFonts w:ascii="Times New Roman" w:hAnsi="Times New Roman" w:cs="Times New Roman"/>
                <w:i/>
                <w:iCs/>
                <w:sz w:val="24"/>
                <w:szCs w:val="24"/>
              </w:rPr>
            </w:pPr>
            <w:proofErr w:type="spellStart"/>
            <w:r w:rsidRPr="00647C6D">
              <w:rPr>
                <w:rFonts w:ascii="Times New Roman" w:hAnsi="Times New Roman" w:cs="Times New Roman"/>
                <w:i/>
                <w:iCs/>
                <w:sz w:val="24"/>
                <w:szCs w:val="24"/>
              </w:rPr>
              <w:t>n</w:t>
            </w:r>
            <w:r w:rsidRPr="00647C6D">
              <w:rPr>
                <w:rFonts w:ascii="Times New Roman" w:hAnsi="Times New Roman" w:cs="Times New Roman"/>
                <w:sz w:val="24"/>
                <w:szCs w:val="24"/>
                <w:vertAlign w:val="superscript"/>
              </w:rPr>
              <w:t>a</w:t>
            </w:r>
            <w:proofErr w:type="spellEnd"/>
          </w:p>
        </w:tc>
        <w:tc>
          <w:tcPr>
            <w:tcW w:w="1170" w:type="dxa"/>
            <w:tcBorders>
              <w:top w:val="single" w:sz="4" w:space="0" w:color="auto"/>
              <w:bottom w:val="single" w:sz="4" w:space="0" w:color="auto"/>
            </w:tcBorders>
          </w:tcPr>
          <w:p w14:paraId="379A6204" w14:textId="77777777" w:rsidR="00F52DDD" w:rsidRPr="00647C6D" w:rsidRDefault="00F52DDD" w:rsidP="00833D2A">
            <w:pPr>
              <w:spacing w:line="480" w:lineRule="auto"/>
              <w:jc w:val="center"/>
              <w:rPr>
                <w:rFonts w:ascii="Times New Roman" w:hAnsi="Times New Roman" w:cs="Times New Roman"/>
                <w:sz w:val="24"/>
                <w:szCs w:val="24"/>
              </w:rPr>
            </w:pPr>
            <w:r w:rsidRPr="00647C6D">
              <w:rPr>
                <w:rFonts w:ascii="Times New Roman" w:hAnsi="Times New Roman" w:cs="Times New Roman"/>
                <w:sz w:val="24"/>
                <w:szCs w:val="24"/>
              </w:rPr>
              <w:t>Unknown (%)</w:t>
            </w:r>
          </w:p>
        </w:tc>
        <w:tc>
          <w:tcPr>
            <w:tcW w:w="1089" w:type="dxa"/>
            <w:tcBorders>
              <w:top w:val="single" w:sz="4" w:space="0" w:color="auto"/>
              <w:bottom w:val="single" w:sz="4" w:space="0" w:color="auto"/>
            </w:tcBorders>
          </w:tcPr>
          <w:p w14:paraId="38AF02CE" w14:textId="77777777" w:rsidR="00F52DDD" w:rsidRPr="00647C6D" w:rsidRDefault="00F52DDD" w:rsidP="00833D2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&gt;8 </w:t>
            </w:r>
            <w:r w:rsidRPr="00647C6D">
              <w:rPr>
                <w:rFonts w:ascii="Times New Roman" w:hAnsi="Times New Roman" w:cs="Times New Roman"/>
                <w:sz w:val="24"/>
                <w:szCs w:val="24"/>
              </w:rPr>
              <w:t>Hens (%)</w:t>
            </w:r>
          </w:p>
        </w:tc>
        <w:tc>
          <w:tcPr>
            <w:tcW w:w="1168" w:type="dxa"/>
            <w:tcBorders>
              <w:top w:val="single" w:sz="4" w:space="0" w:color="auto"/>
              <w:bottom w:val="single" w:sz="4" w:space="0" w:color="auto"/>
            </w:tcBorders>
          </w:tcPr>
          <w:p w14:paraId="2D0B5A06" w14:textId="77777777" w:rsidR="00F52DDD" w:rsidRPr="00647C6D" w:rsidRDefault="00F52DDD" w:rsidP="00833D2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&gt;16 </w:t>
            </w:r>
            <w:r w:rsidRPr="00647C6D">
              <w:rPr>
                <w:rFonts w:ascii="Times New Roman" w:hAnsi="Times New Roman" w:cs="Times New Roman"/>
                <w:sz w:val="24"/>
                <w:szCs w:val="24"/>
              </w:rPr>
              <w:t>PPH (%)</w:t>
            </w:r>
          </w:p>
        </w:tc>
        <w:tc>
          <w:tcPr>
            <w:tcW w:w="1433" w:type="dxa"/>
            <w:tcBorders>
              <w:top w:val="single" w:sz="4" w:space="0" w:color="auto"/>
              <w:bottom w:val="single" w:sz="4" w:space="0" w:color="auto"/>
            </w:tcBorders>
          </w:tcPr>
          <w:p w14:paraId="27897312" w14:textId="77777777" w:rsidR="00F52DDD" w:rsidRPr="00647C6D" w:rsidRDefault="00F52DDD" w:rsidP="00833D2A">
            <w:pPr>
              <w:spacing w:line="480" w:lineRule="auto"/>
              <w:jc w:val="center"/>
              <w:rPr>
                <w:rFonts w:ascii="Times New Roman" w:hAnsi="Times New Roman" w:cs="Times New Roman"/>
                <w:sz w:val="24"/>
                <w:szCs w:val="24"/>
              </w:rPr>
            </w:pPr>
            <w:r w:rsidRPr="00647C6D">
              <w:rPr>
                <w:rFonts w:ascii="Times New Roman" w:hAnsi="Times New Roman" w:cs="Times New Roman"/>
                <w:sz w:val="24"/>
                <w:szCs w:val="24"/>
              </w:rPr>
              <w:t>Seen before (%)</w:t>
            </w:r>
          </w:p>
        </w:tc>
      </w:tr>
      <w:tr w:rsidR="00F52DDD" w:rsidRPr="00647C6D" w14:paraId="14EA27DA" w14:textId="77777777">
        <w:tc>
          <w:tcPr>
            <w:tcW w:w="1619" w:type="dxa"/>
            <w:tcBorders>
              <w:top w:val="single" w:sz="4" w:space="0" w:color="auto"/>
            </w:tcBorders>
          </w:tcPr>
          <w:p w14:paraId="0C818E46" w14:textId="77777777" w:rsidR="00F52DDD" w:rsidRPr="00647C6D" w:rsidRDefault="00F52DDD" w:rsidP="00833D2A">
            <w:pPr>
              <w:spacing w:line="480" w:lineRule="auto"/>
              <w:rPr>
                <w:rFonts w:ascii="Times New Roman" w:hAnsi="Times New Roman" w:cs="Times New Roman"/>
                <w:sz w:val="24"/>
                <w:szCs w:val="24"/>
              </w:rPr>
            </w:pPr>
            <w:proofErr w:type="spellStart"/>
            <w:r w:rsidRPr="00647C6D">
              <w:rPr>
                <w:rFonts w:ascii="Times New Roman" w:hAnsi="Times New Roman" w:cs="Times New Roman"/>
                <w:sz w:val="24"/>
                <w:szCs w:val="24"/>
              </w:rPr>
              <w:t>Maryland</w:t>
            </w:r>
            <w:r w:rsidRPr="00647C6D">
              <w:rPr>
                <w:rFonts w:ascii="Times New Roman" w:hAnsi="Times New Roman" w:cs="Times New Roman"/>
                <w:sz w:val="24"/>
                <w:szCs w:val="24"/>
                <w:vertAlign w:val="superscript"/>
              </w:rPr>
              <w:t>b</w:t>
            </w:r>
            <w:proofErr w:type="spellEnd"/>
          </w:p>
        </w:tc>
        <w:tc>
          <w:tcPr>
            <w:tcW w:w="1700" w:type="dxa"/>
            <w:tcBorders>
              <w:top w:val="single" w:sz="4" w:space="0" w:color="auto"/>
            </w:tcBorders>
          </w:tcPr>
          <w:p w14:paraId="613BC089"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2003–2023</w:t>
            </w:r>
          </w:p>
        </w:tc>
        <w:tc>
          <w:tcPr>
            <w:tcW w:w="1181" w:type="dxa"/>
            <w:tcBorders>
              <w:top w:val="single" w:sz="4" w:space="0" w:color="auto"/>
            </w:tcBorders>
          </w:tcPr>
          <w:p w14:paraId="4C562EF2"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11,181</w:t>
            </w:r>
          </w:p>
        </w:tc>
        <w:tc>
          <w:tcPr>
            <w:tcW w:w="1170" w:type="dxa"/>
            <w:tcBorders>
              <w:top w:val="single" w:sz="4" w:space="0" w:color="auto"/>
            </w:tcBorders>
          </w:tcPr>
          <w:p w14:paraId="2153D853"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2.6</w:t>
            </w:r>
          </w:p>
        </w:tc>
        <w:tc>
          <w:tcPr>
            <w:tcW w:w="1089" w:type="dxa"/>
            <w:tcBorders>
              <w:top w:val="single" w:sz="4" w:space="0" w:color="auto"/>
            </w:tcBorders>
          </w:tcPr>
          <w:p w14:paraId="289EBCE6"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0.56</w:t>
            </w:r>
          </w:p>
        </w:tc>
        <w:tc>
          <w:tcPr>
            <w:tcW w:w="1168" w:type="dxa"/>
            <w:tcBorders>
              <w:top w:val="single" w:sz="4" w:space="0" w:color="auto"/>
            </w:tcBorders>
          </w:tcPr>
          <w:p w14:paraId="6CC187BD"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0.06</w:t>
            </w:r>
          </w:p>
        </w:tc>
        <w:tc>
          <w:tcPr>
            <w:tcW w:w="1433" w:type="dxa"/>
            <w:tcBorders>
              <w:top w:val="single" w:sz="4" w:space="0" w:color="auto"/>
            </w:tcBorders>
          </w:tcPr>
          <w:p w14:paraId="578142BD" w14:textId="77777777" w:rsidR="00F52DDD" w:rsidRPr="00647C6D" w:rsidRDefault="00F52DDD" w:rsidP="00833D2A">
            <w:pPr>
              <w:spacing w:line="480" w:lineRule="auto"/>
              <w:ind w:right="288"/>
              <w:jc w:val="right"/>
              <w:rPr>
                <w:rFonts w:ascii="Times New Roman" w:hAnsi="Times New Roman" w:cs="Times New Roman"/>
                <w:sz w:val="24"/>
                <w:szCs w:val="24"/>
              </w:rPr>
            </w:pPr>
          </w:p>
        </w:tc>
      </w:tr>
      <w:tr w:rsidR="00F52DDD" w:rsidRPr="00647C6D" w14:paraId="757DD014" w14:textId="77777777">
        <w:tc>
          <w:tcPr>
            <w:tcW w:w="1619" w:type="dxa"/>
          </w:tcPr>
          <w:p w14:paraId="76078BD7" w14:textId="77777777"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New Jersey</w:t>
            </w:r>
          </w:p>
        </w:tc>
        <w:tc>
          <w:tcPr>
            <w:tcW w:w="1700" w:type="dxa"/>
          </w:tcPr>
          <w:p w14:paraId="1A8CB969"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2000–2023</w:t>
            </w:r>
            <w:r w:rsidRPr="00E03954">
              <w:rPr>
                <w:rFonts w:ascii="Times New Roman" w:hAnsi="Times New Roman" w:cs="Times New Roman"/>
                <w:sz w:val="24"/>
                <w:szCs w:val="24"/>
                <w:vertAlign w:val="superscript"/>
              </w:rPr>
              <w:t>c</w:t>
            </w:r>
          </w:p>
        </w:tc>
        <w:tc>
          <w:tcPr>
            <w:tcW w:w="1181" w:type="dxa"/>
          </w:tcPr>
          <w:p w14:paraId="23B19FD4" w14:textId="77777777" w:rsidR="00F52DDD" w:rsidRPr="00647C6D" w:rsidRDefault="00F52DDD" w:rsidP="00833D2A">
            <w:pPr>
              <w:spacing w:line="480" w:lineRule="auto"/>
              <w:ind w:right="144"/>
              <w:jc w:val="right"/>
              <w:rPr>
                <w:rFonts w:ascii="Times New Roman" w:hAnsi="Times New Roman" w:cs="Times New Roman"/>
                <w:sz w:val="24"/>
                <w:szCs w:val="24"/>
              </w:rPr>
            </w:pPr>
            <w:r>
              <w:rPr>
                <w:rFonts w:ascii="Times New Roman" w:hAnsi="Times New Roman" w:cs="Times New Roman"/>
                <w:sz w:val="24"/>
                <w:szCs w:val="24"/>
              </w:rPr>
              <w:t>3,463</w:t>
            </w:r>
          </w:p>
        </w:tc>
        <w:tc>
          <w:tcPr>
            <w:tcW w:w="1170" w:type="dxa"/>
          </w:tcPr>
          <w:p w14:paraId="704D41B5"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1.9</w:t>
            </w:r>
          </w:p>
        </w:tc>
        <w:tc>
          <w:tcPr>
            <w:tcW w:w="1089" w:type="dxa"/>
          </w:tcPr>
          <w:p w14:paraId="5EDEB7B6" w14:textId="77777777" w:rsidR="00F52DDD" w:rsidRPr="00647C6D" w:rsidRDefault="00F52DDD" w:rsidP="00833D2A">
            <w:pPr>
              <w:spacing w:line="480" w:lineRule="auto"/>
              <w:ind w:right="144"/>
              <w:jc w:val="right"/>
              <w:rPr>
                <w:rFonts w:ascii="Times New Roman" w:hAnsi="Times New Roman" w:cs="Times New Roman"/>
                <w:sz w:val="24"/>
                <w:szCs w:val="24"/>
              </w:rPr>
            </w:pPr>
            <w:r>
              <w:rPr>
                <w:rFonts w:ascii="Times New Roman" w:hAnsi="Times New Roman" w:cs="Times New Roman"/>
                <w:sz w:val="24"/>
                <w:szCs w:val="24"/>
              </w:rPr>
              <w:t>&lt;</w:t>
            </w:r>
            <w:r w:rsidRPr="00647C6D">
              <w:rPr>
                <w:rFonts w:ascii="Times New Roman" w:hAnsi="Times New Roman" w:cs="Times New Roman"/>
                <w:sz w:val="24"/>
                <w:szCs w:val="24"/>
              </w:rPr>
              <w:t>0.</w:t>
            </w:r>
            <w:r>
              <w:rPr>
                <w:rFonts w:ascii="Times New Roman" w:hAnsi="Times New Roman" w:cs="Times New Roman"/>
                <w:sz w:val="24"/>
                <w:szCs w:val="24"/>
              </w:rPr>
              <w:t>01</w:t>
            </w:r>
          </w:p>
        </w:tc>
        <w:tc>
          <w:tcPr>
            <w:tcW w:w="1168" w:type="dxa"/>
          </w:tcPr>
          <w:p w14:paraId="213A9DCE"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&lt;</w:t>
            </w:r>
            <w:r w:rsidRPr="00647C6D">
              <w:rPr>
                <w:rFonts w:ascii="Times New Roman" w:hAnsi="Times New Roman" w:cs="Times New Roman"/>
                <w:sz w:val="24"/>
                <w:szCs w:val="24"/>
              </w:rPr>
              <w:t>0.</w:t>
            </w:r>
            <w:r>
              <w:rPr>
                <w:rFonts w:ascii="Times New Roman" w:hAnsi="Times New Roman" w:cs="Times New Roman"/>
                <w:sz w:val="24"/>
                <w:szCs w:val="24"/>
              </w:rPr>
              <w:t>01</w:t>
            </w:r>
          </w:p>
        </w:tc>
        <w:tc>
          <w:tcPr>
            <w:tcW w:w="1433" w:type="dxa"/>
          </w:tcPr>
          <w:p w14:paraId="60C4B5C2"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12.3</w:t>
            </w:r>
            <w:r w:rsidRPr="00E03954">
              <w:rPr>
                <w:rFonts w:ascii="Times New Roman" w:hAnsi="Times New Roman" w:cs="Times New Roman"/>
                <w:sz w:val="24"/>
                <w:szCs w:val="24"/>
                <w:vertAlign w:val="superscript"/>
              </w:rPr>
              <w:t>c</w:t>
            </w:r>
          </w:p>
        </w:tc>
      </w:tr>
      <w:tr w:rsidR="00F52DDD" w:rsidRPr="00647C6D" w14:paraId="5A08C1FE" w14:textId="77777777">
        <w:tc>
          <w:tcPr>
            <w:tcW w:w="1619" w:type="dxa"/>
          </w:tcPr>
          <w:p w14:paraId="76A49216" w14:textId="77777777"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 xml:space="preserve">New </w:t>
            </w:r>
            <w:proofErr w:type="spellStart"/>
            <w:r w:rsidRPr="00647C6D">
              <w:rPr>
                <w:rFonts w:ascii="Times New Roman" w:hAnsi="Times New Roman" w:cs="Times New Roman"/>
                <w:sz w:val="24"/>
                <w:szCs w:val="24"/>
              </w:rPr>
              <w:t>York</w:t>
            </w:r>
            <w:r w:rsidRPr="00647C6D">
              <w:rPr>
                <w:rFonts w:ascii="Times New Roman" w:hAnsi="Times New Roman" w:cs="Times New Roman"/>
                <w:sz w:val="24"/>
                <w:szCs w:val="24"/>
                <w:vertAlign w:val="superscript"/>
              </w:rPr>
              <w:t>b</w:t>
            </w:r>
            <w:proofErr w:type="spellEnd"/>
          </w:p>
        </w:tc>
        <w:tc>
          <w:tcPr>
            <w:tcW w:w="1700" w:type="dxa"/>
          </w:tcPr>
          <w:p w14:paraId="22855BE4"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2005–2023</w:t>
            </w:r>
          </w:p>
        </w:tc>
        <w:tc>
          <w:tcPr>
            <w:tcW w:w="1181" w:type="dxa"/>
          </w:tcPr>
          <w:p w14:paraId="71230414"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13,490</w:t>
            </w:r>
          </w:p>
        </w:tc>
        <w:tc>
          <w:tcPr>
            <w:tcW w:w="1170" w:type="dxa"/>
          </w:tcPr>
          <w:p w14:paraId="676073B1"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2.9</w:t>
            </w:r>
          </w:p>
        </w:tc>
        <w:tc>
          <w:tcPr>
            <w:tcW w:w="1089" w:type="dxa"/>
          </w:tcPr>
          <w:p w14:paraId="7A433406"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0.73</w:t>
            </w:r>
          </w:p>
        </w:tc>
        <w:tc>
          <w:tcPr>
            <w:tcW w:w="1168" w:type="dxa"/>
          </w:tcPr>
          <w:p w14:paraId="7F2FCB81"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0.07</w:t>
            </w:r>
          </w:p>
        </w:tc>
        <w:tc>
          <w:tcPr>
            <w:tcW w:w="1433" w:type="dxa"/>
          </w:tcPr>
          <w:p w14:paraId="679F017B" w14:textId="77777777" w:rsidR="00F52DDD" w:rsidRPr="00647C6D" w:rsidRDefault="00F52DDD" w:rsidP="00833D2A">
            <w:pPr>
              <w:spacing w:line="480" w:lineRule="auto"/>
              <w:ind w:right="288"/>
              <w:jc w:val="right"/>
              <w:rPr>
                <w:rFonts w:ascii="Times New Roman" w:hAnsi="Times New Roman" w:cs="Times New Roman"/>
                <w:sz w:val="24"/>
                <w:szCs w:val="24"/>
              </w:rPr>
            </w:pPr>
          </w:p>
        </w:tc>
      </w:tr>
      <w:tr w:rsidR="00F52DDD" w:rsidRPr="00647C6D" w14:paraId="3A31C31E" w14:textId="77777777">
        <w:tc>
          <w:tcPr>
            <w:tcW w:w="1619" w:type="dxa"/>
          </w:tcPr>
          <w:p w14:paraId="1D072636" w14:textId="77777777"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Ohio</w:t>
            </w:r>
          </w:p>
        </w:tc>
        <w:tc>
          <w:tcPr>
            <w:tcW w:w="1700" w:type="dxa"/>
          </w:tcPr>
          <w:p w14:paraId="36519F8A"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2009–2023</w:t>
            </w:r>
          </w:p>
        </w:tc>
        <w:tc>
          <w:tcPr>
            <w:tcW w:w="1181" w:type="dxa"/>
          </w:tcPr>
          <w:p w14:paraId="74623444"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13,494</w:t>
            </w:r>
          </w:p>
        </w:tc>
        <w:tc>
          <w:tcPr>
            <w:tcW w:w="1170" w:type="dxa"/>
          </w:tcPr>
          <w:p w14:paraId="767C0B50"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4.1</w:t>
            </w:r>
          </w:p>
        </w:tc>
        <w:tc>
          <w:tcPr>
            <w:tcW w:w="1089" w:type="dxa"/>
          </w:tcPr>
          <w:p w14:paraId="0FCAEA96"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1.70</w:t>
            </w:r>
          </w:p>
        </w:tc>
        <w:tc>
          <w:tcPr>
            <w:tcW w:w="1168" w:type="dxa"/>
          </w:tcPr>
          <w:p w14:paraId="76962CF8"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0.19</w:t>
            </w:r>
          </w:p>
        </w:tc>
        <w:tc>
          <w:tcPr>
            <w:tcW w:w="1433" w:type="dxa"/>
          </w:tcPr>
          <w:p w14:paraId="7A4813EF"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5.</w:t>
            </w:r>
            <w:r>
              <w:rPr>
                <w:rFonts w:ascii="Times New Roman" w:hAnsi="Times New Roman" w:cs="Times New Roman"/>
                <w:sz w:val="24"/>
                <w:szCs w:val="24"/>
              </w:rPr>
              <w:t>4</w:t>
            </w:r>
          </w:p>
        </w:tc>
      </w:tr>
      <w:tr w:rsidR="00F52DDD" w:rsidRPr="00647C6D" w14:paraId="356CA712" w14:textId="77777777">
        <w:tc>
          <w:tcPr>
            <w:tcW w:w="1619" w:type="dxa"/>
          </w:tcPr>
          <w:p w14:paraId="22172327" w14:textId="77777777"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Pennsylvania</w:t>
            </w:r>
          </w:p>
        </w:tc>
        <w:tc>
          <w:tcPr>
            <w:tcW w:w="1700" w:type="dxa"/>
          </w:tcPr>
          <w:p w14:paraId="6CAC4D0E"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2017–2023</w:t>
            </w:r>
          </w:p>
        </w:tc>
        <w:tc>
          <w:tcPr>
            <w:tcW w:w="1181" w:type="dxa"/>
          </w:tcPr>
          <w:p w14:paraId="291513A4"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14,838</w:t>
            </w:r>
          </w:p>
        </w:tc>
        <w:tc>
          <w:tcPr>
            <w:tcW w:w="1170" w:type="dxa"/>
          </w:tcPr>
          <w:p w14:paraId="289F304E"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3.7</w:t>
            </w:r>
          </w:p>
        </w:tc>
        <w:tc>
          <w:tcPr>
            <w:tcW w:w="1089" w:type="dxa"/>
          </w:tcPr>
          <w:p w14:paraId="7E0CDCE0"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0.94</w:t>
            </w:r>
          </w:p>
        </w:tc>
        <w:tc>
          <w:tcPr>
            <w:tcW w:w="1168" w:type="dxa"/>
          </w:tcPr>
          <w:p w14:paraId="4E827496"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0.10</w:t>
            </w:r>
          </w:p>
        </w:tc>
        <w:tc>
          <w:tcPr>
            <w:tcW w:w="1433" w:type="dxa"/>
          </w:tcPr>
          <w:p w14:paraId="7DBF7807"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18.0</w:t>
            </w:r>
          </w:p>
        </w:tc>
      </w:tr>
      <w:tr w:rsidR="00F52DDD" w:rsidRPr="00647C6D" w14:paraId="29C68D7F" w14:textId="77777777">
        <w:tc>
          <w:tcPr>
            <w:tcW w:w="1619" w:type="dxa"/>
          </w:tcPr>
          <w:p w14:paraId="24522134" w14:textId="77777777" w:rsidR="00F52DDD" w:rsidRPr="00647C6D" w:rsidRDefault="00F52DDD" w:rsidP="00833D2A">
            <w:pPr>
              <w:spacing w:line="480" w:lineRule="auto"/>
              <w:rPr>
                <w:rFonts w:ascii="Times New Roman" w:hAnsi="Times New Roman" w:cs="Times New Roman"/>
                <w:sz w:val="24"/>
                <w:szCs w:val="24"/>
              </w:rPr>
            </w:pPr>
            <w:proofErr w:type="spellStart"/>
            <w:r w:rsidRPr="00647C6D">
              <w:rPr>
                <w:rFonts w:ascii="Times New Roman" w:hAnsi="Times New Roman" w:cs="Times New Roman"/>
                <w:sz w:val="24"/>
                <w:szCs w:val="24"/>
              </w:rPr>
              <w:t>Virginia</w:t>
            </w:r>
            <w:r w:rsidRPr="00647C6D">
              <w:rPr>
                <w:rFonts w:ascii="Times New Roman" w:hAnsi="Times New Roman" w:cs="Times New Roman"/>
                <w:sz w:val="24"/>
                <w:szCs w:val="24"/>
                <w:vertAlign w:val="superscript"/>
              </w:rPr>
              <w:t>b</w:t>
            </w:r>
            <w:proofErr w:type="spellEnd"/>
          </w:p>
        </w:tc>
        <w:tc>
          <w:tcPr>
            <w:tcW w:w="1700" w:type="dxa"/>
          </w:tcPr>
          <w:p w14:paraId="7DD07C30"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2008–2023</w:t>
            </w:r>
          </w:p>
        </w:tc>
        <w:tc>
          <w:tcPr>
            <w:tcW w:w="1181" w:type="dxa"/>
          </w:tcPr>
          <w:p w14:paraId="42393566"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3,786</w:t>
            </w:r>
          </w:p>
        </w:tc>
        <w:tc>
          <w:tcPr>
            <w:tcW w:w="1170" w:type="dxa"/>
          </w:tcPr>
          <w:p w14:paraId="27C25C8D"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1.8</w:t>
            </w:r>
          </w:p>
        </w:tc>
        <w:tc>
          <w:tcPr>
            <w:tcW w:w="1089" w:type="dxa"/>
          </w:tcPr>
          <w:p w14:paraId="66656689"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1.10</w:t>
            </w:r>
          </w:p>
        </w:tc>
        <w:tc>
          <w:tcPr>
            <w:tcW w:w="1168" w:type="dxa"/>
          </w:tcPr>
          <w:p w14:paraId="5B1B8363"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0.03</w:t>
            </w:r>
          </w:p>
        </w:tc>
        <w:tc>
          <w:tcPr>
            <w:tcW w:w="1433" w:type="dxa"/>
          </w:tcPr>
          <w:p w14:paraId="498C6334" w14:textId="77777777" w:rsidR="00F52DDD" w:rsidRPr="00647C6D" w:rsidRDefault="00F52DDD" w:rsidP="00833D2A">
            <w:pPr>
              <w:spacing w:line="480" w:lineRule="auto"/>
              <w:ind w:right="288"/>
              <w:jc w:val="right"/>
              <w:rPr>
                <w:rFonts w:ascii="Times New Roman" w:hAnsi="Times New Roman" w:cs="Times New Roman"/>
                <w:sz w:val="24"/>
                <w:szCs w:val="24"/>
              </w:rPr>
            </w:pPr>
          </w:p>
        </w:tc>
      </w:tr>
      <w:tr w:rsidR="00F52DDD" w:rsidRPr="00647C6D" w14:paraId="7EB53FA4" w14:textId="77777777">
        <w:tc>
          <w:tcPr>
            <w:tcW w:w="1619" w:type="dxa"/>
            <w:tcBorders>
              <w:bottom w:val="single" w:sz="4" w:space="0" w:color="auto"/>
            </w:tcBorders>
          </w:tcPr>
          <w:p w14:paraId="412EFF2D" w14:textId="77777777" w:rsidR="00F52DDD" w:rsidRPr="00647C6D" w:rsidRDefault="00F52DDD" w:rsidP="00833D2A">
            <w:pPr>
              <w:spacing w:line="480" w:lineRule="auto"/>
              <w:rPr>
                <w:rFonts w:ascii="Times New Roman" w:hAnsi="Times New Roman" w:cs="Times New Roman"/>
                <w:sz w:val="24"/>
                <w:szCs w:val="24"/>
              </w:rPr>
            </w:pPr>
            <w:r w:rsidRPr="00647C6D">
              <w:rPr>
                <w:rFonts w:ascii="Times New Roman" w:hAnsi="Times New Roman" w:cs="Times New Roman"/>
                <w:sz w:val="24"/>
                <w:szCs w:val="24"/>
              </w:rPr>
              <w:t>West Virginia</w:t>
            </w:r>
          </w:p>
        </w:tc>
        <w:tc>
          <w:tcPr>
            <w:tcW w:w="1700" w:type="dxa"/>
            <w:tcBorders>
              <w:bottom w:val="single" w:sz="4" w:space="0" w:color="auto"/>
            </w:tcBorders>
          </w:tcPr>
          <w:p w14:paraId="43004A79" w14:textId="77777777" w:rsidR="00F52DDD" w:rsidRPr="00647C6D" w:rsidRDefault="00F52DDD" w:rsidP="00833D2A">
            <w:pPr>
              <w:spacing w:line="480" w:lineRule="auto"/>
              <w:ind w:right="288"/>
              <w:jc w:val="right"/>
              <w:rPr>
                <w:rFonts w:ascii="Times New Roman" w:hAnsi="Times New Roman" w:cs="Times New Roman"/>
                <w:sz w:val="24"/>
                <w:szCs w:val="24"/>
              </w:rPr>
            </w:pPr>
            <w:r>
              <w:rPr>
                <w:rFonts w:ascii="Times New Roman" w:hAnsi="Times New Roman" w:cs="Times New Roman"/>
                <w:sz w:val="24"/>
                <w:szCs w:val="24"/>
              </w:rPr>
              <w:t>2016–2023</w:t>
            </w:r>
          </w:p>
        </w:tc>
        <w:tc>
          <w:tcPr>
            <w:tcW w:w="1181" w:type="dxa"/>
            <w:tcBorders>
              <w:bottom w:val="single" w:sz="4" w:space="0" w:color="auto"/>
            </w:tcBorders>
          </w:tcPr>
          <w:p w14:paraId="7D35D7B9"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2,440</w:t>
            </w:r>
          </w:p>
        </w:tc>
        <w:tc>
          <w:tcPr>
            <w:tcW w:w="1170" w:type="dxa"/>
            <w:tcBorders>
              <w:bottom w:val="single" w:sz="4" w:space="0" w:color="auto"/>
            </w:tcBorders>
          </w:tcPr>
          <w:p w14:paraId="15A1D742"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1.4</w:t>
            </w:r>
          </w:p>
        </w:tc>
        <w:tc>
          <w:tcPr>
            <w:tcW w:w="1089" w:type="dxa"/>
            <w:tcBorders>
              <w:bottom w:val="single" w:sz="4" w:space="0" w:color="auto"/>
            </w:tcBorders>
          </w:tcPr>
          <w:p w14:paraId="7CCBCCF9" w14:textId="77777777" w:rsidR="00F52DDD" w:rsidRPr="00647C6D" w:rsidRDefault="00F52DDD" w:rsidP="00833D2A">
            <w:pPr>
              <w:spacing w:line="480" w:lineRule="auto"/>
              <w:ind w:right="144"/>
              <w:jc w:val="right"/>
              <w:rPr>
                <w:rFonts w:ascii="Times New Roman" w:hAnsi="Times New Roman" w:cs="Times New Roman"/>
                <w:sz w:val="24"/>
                <w:szCs w:val="24"/>
              </w:rPr>
            </w:pPr>
            <w:r w:rsidRPr="00647C6D">
              <w:rPr>
                <w:rFonts w:ascii="Times New Roman" w:hAnsi="Times New Roman" w:cs="Times New Roman"/>
                <w:sz w:val="24"/>
                <w:szCs w:val="24"/>
              </w:rPr>
              <w:t>0.61</w:t>
            </w:r>
          </w:p>
        </w:tc>
        <w:tc>
          <w:tcPr>
            <w:tcW w:w="1168" w:type="dxa"/>
            <w:tcBorders>
              <w:bottom w:val="single" w:sz="4" w:space="0" w:color="auto"/>
            </w:tcBorders>
          </w:tcPr>
          <w:p w14:paraId="31837008"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0.04</w:t>
            </w:r>
          </w:p>
        </w:tc>
        <w:tc>
          <w:tcPr>
            <w:tcW w:w="1433" w:type="dxa"/>
            <w:tcBorders>
              <w:bottom w:val="single" w:sz="4" w:space="0" w:color="auto"/>
            </w:tcBorders>
          </w:tcPr>
          <w:p w14:paraId="1A6DBB40" w14:textId="77777777" w:rsidR="00F52DDD" w:rsidRPr="00647C6D" w:rsidRDefault="00F52DDD" w:rsidP="00833D2A">
            <w:pPr>
              <w:spacing w:line="480" w:lineRule="auto"/>
              <w:ind w:right="288"/>
              <w:jc w:val="right"/>
              <w:rPr>
                <w:rFonts w:ascii="Times New Roman" w:hAnsi="Times New Roman" w:cs="Times New Roman"/>
                <w:sz w:val="24"/>
                <w:szCs w:val="24"/>
              </w:rPr>
            </w:pPr>
            <w:r w:rsidRPr="00647C6D">
              <w:rPr>
                <w:rFonts w:ascii="Times New Roman" w:hAnsi="Times New Roman" w:cs="Times New Roman"/>
                <w:sz w:val="24"/>
                <w:szCs w:val="24"/>
              </w:rPr>
              <w:t>7.3</w:t>
            </w:r>
          </w:p>
        </w:tc>
      </w:tr>
    </w:tbl>
    <w:p w14:paraId="0A577C07" w14:textId="77777777" w:rsidR="00F52DDD" w:rsidRPr="006754FB" w:rsidRDefault="00F52DDD" w:rsidP="0065618A">
      <w:pPr>
        <w:spacing w:after="0" w:line="480" w:lineRule="auto"/>
      </w:pPr>
      <w:proofErr w:type="gramStart"/>
      <w:r w:rsidRPr="006754FB">
        <w:rPr>
          <w:vertAlign w:val="superscript"/>
        </w:rPr>
        <w:t>a</w:t>
      </w:r>
      <w:r w:rsidRPr="006754FB">
        <w:t xml:space="preserve"> Number of</w:t>
      </w:r>
      <w:proofErr w:type="gramEnd"/>
      <w:r w:rsidRPr="006754FB">
        <w:t xml:space="preserve"> observations before filtering</w:t>
      </w:r>
    </w:p>
    <w:p w14:paraId="593DDF59" w14:textId="77777777" w:rsidR="00F52DDD" w:rsidRDefault="00F52DDD" w:rsidP="0065618A">
      <w:pPr>
        <w:spacing w:after="0" w:line="480" w:lineRule="auto"/>
      </w:pPr>
      <w:r w:rsidRPr="006754FB">
        <w:rPr>
          <w:vertAlign w:val="superscript"/>
        </w:rPr>
        <w:t>b</w:t>
      </w:r>
      <w:r w:rsidRPr="006754FB">
        <w:t xml:space="preserve"> </w:t>
      </w:r>
      <w:r>
        <w:t>S</w:t>
      </w:r>
      <w:r w:rsidRPr="006754FB">
        <w:t xml:space="preserve">tates </w:t>
      </w:r>
      <w:r>
        <w:t xml:space="preserve">that </w:t>
      </w:r>
      <w:r w:rsidRPr="006754FB">
        <w:t>request observers not record repeat sightings.</w:t>
      </w:r>
    </w:p>
    <w:p w14:paraId="11612444" w14:textId="3249701F" w:rsidR="00F52DDD" w:rsidRDefault="00F52DDD" w:rsidP="0065618A">
      <w:pPr>
        <w:spacing w:after="0" w:line="480" w:lineRule="auto"/>
      </w:pPr>
      <w:r w:rsidRPr="00E03954">
        <w:rPr>
          <w:vertAlign w:val="superscript"/>
        </w:rPr>
        <w:t>c</w:t>
      </w:r>
      <w:r>
        <w:t xml:space="preserve"> New Jersey did not collect data in 2000–2001 and only recorded whether an observation of turkeys was previously reported during 2022–2023 (</w:t>
      </w:r>
      <w:r w:rsidRPr="0010570A">
        <w:rPr>
          <w:i/>
          <w:iCs/>
        </w:rPr>
        <w:t>n</w:t>
      </w:r>
      <w:r>
        <w:t xml:space="preserve"> = 565).</w:t>
      </w:r>
      <w:r>
        <w:br w:type="page"/>
      </w:r>
    </w:p>
    <w:p w14:paraId="0216EF22" w14:textId="01880684" w:rsidR="00F52DDD" w:rsidRPr="006754FB" w:rsidRDefault="00F52DDD" w:rsidP="00833D2A">
      <w:pPr>
        <w:spacing w:line="480" w:lineRule="auto"/>
      </w:pPr>
      <w:r w:rsidRPr="006754FB">
        <w:lastRenderedPageBreak/>
        <w:t xml:space="preserve">Table 2. Number of observations </w:t>
      </w:r>
      <w:r w:rsidR="00147D94">
        <w:t>of wild turkey (</w:t>
      </w:r>
      <w:r w:rsidR="00147D94" w:rsidRPr="001164C5">
        <w:rPr>
          <w:i/>
          <w:iCs/>
        </w:rPr>
        <w:t>Meleagris gall</w:t>
      </w:r>
      <w:r w:rsidR="00147D94">
        <w:rPr>
          <w:i/>
          <w:iCs/>
        </w:rPr>
        <w:t>o</w:t>
      </w:r>
      <w:r w:rsidR="00147D94" w:rsidRPr="001164C5">
        <w:rPr>
          <w:i/>
          <w:iCs/>
        </w:rPr>
        <w:t>pavo</w:t>
      </w:r>
      <w:r w:rsidR="00147D94">
        <w:t xml:space="preserve">) </w:t>
      </w:r>
      <w:r w:rsidRPr="006754FB">
        <w:t xml:space="preserve">by month and year </w:t>
      </w:r>
      <w:r>
        <w:t xml:space="preserve">prior to filtering data according to </w:t>
      </w:r>
      <w:r w:rsidR="00B953AD">
        <w:t xml:space="preserve">the </w:t>
      </w:r>
      <w:r>
        <w:t>N</w:t>
      </w:r>
      <w:r w:rsidR="00147D94">
        <w:t xml:space="preserve">ational </w:t>
      </w:r>
      <w:r>
        <w:t>W</w:t>
      </w:r>
      <w:r w:rsidR="00147D94">
        <w:t xml:space="preserve">ild </w:t>
      </w:r>
      <w:r>
        <w:t>T</w:t>
      </w:r>
      <w:r w:rsidR="00147D94">
        <w:t xml:space="preserve">urkey </w:t>
      </w:r>
      <w:r>
        <w:t>F</w:t>
      </w:r>
      <w:r w:rsidR="00147D94">
        <w:t>ederation</w:t>
      </w:r>
      <w:r>
        <w:t xml:space="preserve"> protocol</w:t>
      </w:r>
      <w:r w:rsidRPr="006754FB">
        <w:t>.</w:t>
      </w:r>
      <w:r>
        <w:t xml:space="preserve"> Maryland and Virginia changed the </w:t>
      </w:r>
      <w:proofErr w:type="gramStart"/>
      <w:r>
        <w:t>time period</w:t>
      </w:r>
      <w:proofErr w:type="gramEnd"/>
      <w:r>
        <w:t xml:space="preserve"> when data were collected.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345"/>
        <w:gridCol w:w="1515"/>
        <w:gridCol w:w="1515"/>
        <w:gridCol w:w="1564"/>
        <w:gridCol w:w="1670"/>
      </w:tblGrid>
      <w:tr w:rsidR="00F52DDD" w:rsidRPr="006754FB" w14:paraId="591D0A84" w14:textId="77777777">
        <w:tc>
          <w:tcPr>
            <w:tcW w:w="1751" w:type="dxa"/>
            <w:tcBorders>
              <w:top w:val="single" w:sz="4" w:space="0" w:color="auto"/>
            </w:tcBorders>
          </w:tcPr>
          <w:p w14:paraId="44E0AF3D" w14:textId="77777777" w:rsidR="00F52DDD" w:rsidRPr="006754FB" w:rsidRDefault="00F52DDD" w:rsidP="00833D2A">
            <w:pPr>
              <w:spacing w:line="480" w:lineRule="auto"/>
              <w:rPr>
                <w:rFonts w:ascii="Times New Roman" w:hAnsi="Times New Roman" w:cs="Times New Roman"/>
                <w:sz w:val="24"/>
                <w:szCs w:val="24"/>
              </w:rPr>
            </w:pPr>
          </w:p>
        </w:tc>
        <w:tc>
          <w:tcPr>
            <w:tcW w:w="1345" w:type="dxa"/>
            <w:tcBorders>
              <w:top w:val="single" w:sz="4" w:space="0" w:color="auto"/>
            </w:tcBorders>
          </w:tcPr>
          <w:p w14:paraId="7AAF805D" w14:textId="77777777" w:rsidR="00F52DDD" w:rsidRPr="006754FB" w:rsidRDefault="00F52DDD" w:rsidP="00833D2A">
            <w:pPr>
              <w:spacing w:line="480" w:lineRule="auto"/>
              <w:jc w:val="center"/>
              <w:rPr>
                <w:rFonts w:ascii="Times New Roman" w:hAnsi="Times New Roman" w:cs="Times New Roman"/>
                <w:sz w:val="24"/>
                <w:szCs w:val="24"/>
              </w:rPr>
            </w:pPr>
          </w:p>
        </w:tc>
        <w:tc>
          <w:tcPr>
            <w:tcW w:w="6264" w:type="dxa"/>
            <w:gridSpan w:val="4"/>
            <w:tcBorders>
              <w:top w:val="single" w:sz="4" w:space="0" w:color="auto"/>
              <w:bottom w:val="single" w:sz="4" w:space="0" w:color="auto"/>
            </w:tcBorders>
          </w:tcPr>
          <w:p w14:paraId="39DC7263"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Number of observations by month</w:t>
            </w:r>
          </w:p>
        </w:tc>
      </w:tr>
      <w:tr w:rsidR="00F52DDD" w:rsidRPr="006754FB" w14:paraId="38CC10FE" w14:textId="77777777">
        <w:tc>
          <w:tcPr>
            <w:tcW w:w="1751" w:type="dxa"/>
            <w:tcBorders>
              <w:bottom w:val="single" w:sz="4" w:space="0" w:color="auto"/>
            </w:tcBorders>
          </w:tcPr>
          <w:p w14:paraId="4A295FE4"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State</w:t>
            </w:r>
          </w:p>
        </w:tc>
        <w:tc>
          <w:tcPr>
            <w:tcW w:w="1345" w:type="dxa"/>
            <w:tcBorders>
              <w:bottom w:val="single" w:sz="4" w:space="0" w:color="auto"/>
            </w:tcBorders>
          </w:tcPr>
          <w:p w14:paraId="305083EC"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Years</w:t>
            </w:r>
          </w:p>
        </w:tc>
        <w:tc>
          <w:tcPr>
            <w:tcW w:w="1515" w:type="dxa"/>
            <w:tcBorders>
              <w:top w:val="single" w:sz="4" w:space="0" w:color="auto"/>
              <w:bottom w:val="single" w:sz="4" w:space="0" w:color="auto"/>
            </w:tcBorders>
          </w:tcPr>
          <w:p w14:paraId="1BE1C343"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June</w:t>
            </w:r>
          </w:p>
        </w:tc>
        <w:tc>
          <w:tcPr>
            <w:tcW w:w="1515" w:type="dxa"/>
            <w:tcBorders>
              <w:top w:val="single" w:sz="4" w:space="0" w:color="auto"/>
              <w:bottom w:val="single" w:sz="4" w:space="0" w:color="auto"/>
            </w:tcBorders>
          </w:tcPr>
          <w:p w14:paraId="3F0CA29A"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July</w:t>
            </w:r>
          </w:p>
        </w:tc>
        <w:tc>
          <w:tcPr>
            <w:tcW w:w="1564" w:type="dxa"/>
            <w:tcBorders>
              <w:top w:val="single" w:sz="4" w:space="0" w:color="auto"/>
              <w:bottom w:val="single" w:sz="4" w:space="0" w:color="auto"/>
            </w:tcBorders>
          </w:tcPr>
          <w:p w14:paraId="62C6CFCD"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August</w:t>
            </w:r>
          </w:p>
        </w:tc>
        <w:tc>
          <w:tcPr>
            <w:tcW w:w="1670" w:type="dxa"/>
            <w:tcBorders>
              <w:top w:val="single" w:sz="4" w:space="0" w:color="auto"/>
              <w:bottom w:val="single" w:sz="4" w:space="0" w:color="auto"/>
            </w:tcBorders>
          </w:tcPr>
          <w:p w14:paraId="001ECDDC" w14:textId="77777777" w:rsidR="00F52DDD" w:rsidRPr="006754FB" w:rsidRDefault="00F52DDD" w:rsidP="00833D2A">
            <w:pPr>
              <w:spacing w:line="480" w:lineRule="auto"/>
              <w:jc w:val="center"/>
              <w:rPr>
                <w:rFonts w:ascii="Times New Roman" w:hAnsi="Times New Roman" w:cs="Times New Roman"/>
                <w:sz w:val="24"/>
                <w:szCs w:val="24"/>
              </w:rPr>
            </w:pPr>
            <w:r w:rsidRPr="006754FB">
              <w:rPr>
                <w:rFonts w:ascii="Times New Roman" w:hAnsi="Times New Roman" w:cs="Times New Roman"/>
                <w:sz w:val="24"/>
                <w:szCs w:val="24"/>
              </w:rPr>
              <w:t>September</w:t>
            </w:r>
          </w:p>
        </w:tc>
      </w:tr>
      <w:tr w:rsidR="00F52DDD" w:rsidRPr="006754FB" w14:paraId="66C3BE98" w14:textId="77777777">
        <w:tc>
          <w:tcPr>
            <w:tcW w:w="1751" w:type="dxa"/>
            <w:tcBorders>
              <w:top w:val="single" w:sz="4" w:space="0" w:color="auto"/>
            </w:tcBorders>
          </w:tcPr>
          <w:p w14:paraId="07B4B03A"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Maryland</w:t>
            </w:r>
          </w:p>
        </w:tc>
        <w:tc>
          <w:tcPr>
            <w:tcW w:w="1345" w:type="dxa"/>
            <w:tcBorders>
              <w:top w:val="single" w:sz="4" w:space="0" w:color="auto"/>
            </w:tcBorders>
          </w:tcPr>
          <w:p w14:paraId="39D95BA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2003–2008</w:t>
            </w:r>
          </w:p>
        </w:tc>
        <w:tc>
          <w:tcPr>
            <w:tcW w:w="1515" w:type="dxa"/>
            <w:tcBorders>
              <w:top w:val="single" w:sz="4" w:space="0" w:color="auto"/>
            </w:tcBorders>
          </w:tcPr>
          <w:p w14:paraId="629E643E"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1,021</w:t>
            </w:r>
          </w:p>
        </w:tc>
        <w:tc>
          <w:tcPr>
            <w:tcW w:w="1515" w:type="dxa"/>
            <w:tcBorders>
              <w:top w:val="single" w:sz="4" w:space="0" w:color="auto"/>
            </w:tcBorders>
          </w:tcPr>
          <w:p w14:paraId="71789668"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845</w:t>
            </w:r>
          </w:p>
        </w:tc>
        <w:tc>
          <w:tcPr>
            <w:tcW w:w="1564" w:type="dxa"/>
            <w:tcBorders>
              <w:top w:val="single" w:sz="4" w:space="0" w:color="auto"/>
            </w:tcBorders>
          </w:tcPr>
          <w:p w14:paraId="3A2F0599"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672</w:t>
            </w:r>
          </w:p>
        </w:tc>
        <w:tc>
          <w:tcPr>
            <w:tcW w:w="1670" w:type="dxa"/>
            <w:tcBorders>
              <w:top w:val="single" w:sz="4" w:space="0" w:color="auto"/>
            </w:tcBorders>
          </w:tcPr>
          <w:p w14:paraId="38F69520"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284</w:t>
            </w:r>
          </w:p>
        </w:tc>
      </w:tr>
      <w:tr w:rsidR="00F52DDD" w:rsidRPr="006754FB" w14:paraId="3350413E" w14:textId="77777777">
        <w:tc>
          <w:tcPr>
            <w:tcW w:w="1751" w:type="dxa"/>
          </w:tcPr>
          <w:p w14:paraId="7E73C27A" w14:textId="77777777" w:rsidR="00F52DDD" w:rsidRPr="006754FB" w:rsidRDefault="00F52DDD" w:rsidP="00833D2A">
            <w:pPr>
              <w:spacing w:line="480" w:lineRule="auto"/>
              <w:rPr>
                <w:rFonts w:ascii="Times New Roman" w:hAnsi="Times New Roman" w:cs="Times New Roman"/>
                <w:sz w:val="24"/>
                <w:szCs w:val="24"/>
              </w:rPr>
            </w:pPr>
          </w:p>
        </w:tc>
        <w:tc>
          <w:tcPr>
            <w:tcW w:w="1345" w:type="dxa"/>
          </w:tcPr>
          <w:p w14:paraId="39F8CCC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2009–2023</w:t>
            </w:r>
          </w:p>
        </w:tc>
        <w:tc>
          <w:tcPr>
            <w:tcW w:w="1515" w:type="dxa"/>
          </w:tcPr>
          <w:p w14:paraId="18D52EA3"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15" w:type="dxa"/>
          </w:tcPr>
          <w:p w14:paraId="456AE11B"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4,863</w:t>
            </w:r>
          </w:p>
        </w:tc>
        <w:tc>
          <w:tcPr>
            <w:tcW w:w="1564" w:type="dxa"/>
          </w:tcPr>
          <w:p w14:paraId="304AA3FF"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3,496</w:t>
            </w:r>
          </w:p>
        </w:tc>
        <w:tc>
          <w:tcPr>
            <w:tcW w:w="1670" w:type="dxa"/>
          </w:tcPr>
          <w:p w14:paraId="3A8249A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083E7008" w14:textId="77777777">
        <w:tc>
          <w:tcPr>
            <w:tcW w:w="1751" w:type="dxa"/>
          </w:tcPr>
          <w:p w14:paraId="28E3BC7E"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New Jersey</w:t>
            </w:r>
          </w:p>
        </w:tc>
        <w:tc>
          <w:tcPr>
            <w:tcW w:w="1345" w:type="dxa"/>
          </w:tcPr>
          <w:p w14:paraId="43C306DD"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2000–2023</w:t>
            </w:r>
          </w:p>
        </w:tc>
        <w:tc>
          <w:tcPr>
            <w:tcW w:w="1515" w:type="dxa"/>
          </w:tcPr>
          <w:p w14:paraId="2BEB2500"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1,199</w:t>
            </w:r>
          </w:p>
        </w:tc>
        <w:tc>
          <w:tcPr>
            <w:tcW w:w="1515" w:type="dxa"/>
          </w:tcPr>
          <w:p w14:paraId="76F74D3C"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1,034</w:t>
            </w:r>
          </w:p>
        </w:tc>
        <w:tc>
          <w:tcPr>
            <w:tcW w:w="1564" w:type="dxa"/>
          </w:tcPr>
          <w:p w14:paraId="085AE7A5"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806</w:t>
            </w:r>
          </w:p>
        </w:tc>
        <w:tc>
          <w:tcPr>
            <w:tcW w:w="1670" w:type="dxa"/>
          </w:tcPr>
          <w:p w14:paraId="2275475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424</w:t>
            </w:r>
          </w:p>
        </w:tc>
      </w:tr>
      <w:tr w:rsidR="00F52DDD" w:rsidRPr="006754FB" w14:paraId="1BE7FDD1" w14:textId="77777777">
        <w:tc>
          <w:tcPr>
            <w:tcW w:w="1751" w:type="dxa"/>
          </w:tcPr>
          <w:p w14:paraId="5E5CA8D0"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New York</w:t>
            </w:r>
          </w:p>
        </w:tc>
        <w:tc>
          <w:tcPr>
            <w:tcW w:w="1345" w:type="dxa"/>
          </w:tcPr>
          <w:p w14:paraId="23C51F7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2005–2023</w:t>
            </w:r>
          </w:p>
        </w:tc>
        <w:tc>
          <w:tcPr>
            <w:tcW w:w="1515" w:type="dxa"/>
          </w:tcPr>
          <w:p w14:paraId="5C54BAEC"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15" w:type="dxa"/>
          </w:tcPr>
          <w:p w14:paraId="3993CD65"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64" w:type="dxa"/>
          </w:tcPr>
          <w:p w14:paraId="763B777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13,490</w:t>
            </w:r>
          </w:p>
        </w:tc>
        <w:tc>
          <w:tcPr>
            <w:tcW w:w="1670" w:type="dxa"/>
          </w:tcPr>
          <w:p w14:paraId="626370B7"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561FFC2F" w14:textId="77777777">
        <w:tc>
          <w:tcPr>
            <w:tcW w:w="1751" w:type="dxa"/>
          </w:tcPr>
          <w:p w14:paraId="2E00EC88"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Ohio</w:t>
            </w:r>
          </w:p>
        </w:tc>
        <w:tc>
          <w:tcPr>
            <w:tcW w:w="1345" w:type="dxa"/>
          </w:tcPr>
          <w:p w14:paraId="747EDA52"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2009–2023</w:t>
            </w:r>
          </w:p>
        </w:tc>
        <w:tc>
          <w:tcPr>
            <w:tcW w:w="1515" w:type="dxa"/>
          </w:tcPr>
          <w:p w14:paraId="418A6F7B"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4,828</w:t>
            </w:r>
          </w:p>
        </w:tc>
        <w:tc>
          <w:tcPr>
            <w:tcW w:w="1515" w:type="dxa"/>
          </w:tcPr>
          <w:p w14:paraId="76E3868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5,089</w:t>
            </w:r>
          </w:p>
        </w:tc>
        <w:tc>
          <w:tcPr>
            <w:tcW w:w="1564" w:type="dxa"/>
          </w:tcPr>
          <w:p w14:paraId="11AD5991"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3,577</w:t>
            </w:r>
          </w:p>
        </w:tc>
        <w:tc>
          <w:tcPr>
            <w:tcW w:w="1670" w:type="dxa"/>
          </w:tcPr>
          <w:p w14:paraId="4251C5D9"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1EBEB8AD" w14:textId="77777777">
        <w:tc>
          <w:tcPr>
            <w:tcW w:w="1751" w:type="dxa"/>
          </w:tcPr>
          <w:p w14:paraId="241A7590"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Pennsylvania</w:t>
            </w:r>
          </w:p>
        </w:tc>
        <w:tc>
          <w:tcPr>
            <w:tcW w:w="1345" w:type="dxa"/>
          </w:tcPr>
          <w:p w14:paraId="261CCAA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2017–2023</w:t>
            </w:r>
          </w:p>
        </w:tc>
        <w:tc>
          <w:tcPr>
            <w:tcW w:w="1515" w:type="dxa"/>
          </w:tcPr>
          <w:p w14:paraId="39979BD2"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15" w:type="dxa"/>
          </w:tcPr>
          <w:p w14:paraId="0841ACBF"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7,783</w:t>
            </w:r>
          </w:p>
        </w:tc>
        <w:tc>
          <w:tcPr>
            <w:tcW w:w="1564" w:type="dxa"/>
          </w:tcPr>
          <w:p w14:paraId="5A8CCC9D"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7,055</w:t>
            </w:r>
          </w:p>
        </w:tc>
        <w:tc>
          <w:tcPr>
            <w:tcW w:w="1670" w:type="dxa"/>
          </w:tcPr>
          <w:p w14:paraId="669289D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0A2F9854" w14:textId="77777777">
        <w:tc>
          <w:tcPr>
            <w:tcW w:w="1751" w:type="dxa"/>
          </w:tcPr>
          <w:p w14:paraId="15BF87D6"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Virginia</w:t>
            </w:r>
          </w:p>
        </w:tc>
        <w:tc>
          <w:tcPr>
            <w:tcW w:w="1345" w:type="dxa"/>
          </w:tcPr>
          <w:p w14:paraId="6FCADF0D"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2008–2009</w:t>
            </w:r>
          </w:p>
        </w:tc>
        <w:tc>
          <w:tcPr>
            <w:tcW w:w="1515" w:type="dxa"/>
          </w:tcPr>
          <w:p w14:paraId="54DBEC68"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157</w:t>
            </w:r>
          </w:p>
        </w:tc>
        <w:tc>
          <w:tcPr>
            <w:tcW w:w="1515" w:type="dxa"/>
          </w:tcPr>
          <w:p w14:paraId="14094732"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147</w:t>
            </w:r>
          </w:p>
        </w:tc>
        <w:tc>
          <w:tcPr>
            <w:tcW w:w="1564" w:type="dxa"/>
          </w:tcPr>
          <w:p w14:paraId="42FD14D7"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158</w:t>
            </w:r>
          </w:p>
        </w:tc>
        <w:tc>
          <w:tcPr>
            <w:tcW w:w="1670" w:type="dxa"/>
          </w:tcPr>
          <w:p w14:paraId="0215677B"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391F3176" w14:textId="77777777">
        <w:tc>
          <w:tcPr>
            <w:tcW w:w="1751" w:type="dxa"/>
          </w:tcPr>
          <w:p w14:paraId="5EF37C4C" w14:textId="77777777" w:rsidR="00F52DDD" w:rsidRPr="006754FB" w:rsidRDefault="00F52DDD" w:rsidP="00833D2A">
            <w:pPr>
              <w:spacing w:line="480" w:lineRule="auto"/>
              <w:rPr>
                <w:rFonts w:ascii="Times New Roman" w:hAnsi="Times New Roman" w:cs="Times New Roman"/>
                <w:sz w:val="24"/>
                <w:szCs w:val="24"/>
              </w:rPr>
            </w:pPr>
          </w:p>
        </w:tc>
        <w:tc>
          <w:tcPr>
            <w:tcW w:w="1345" w:type="dxa"/>
          </w:tcPr>
          <w:p w14:paraId="3DF45FC5"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2010–2017</w:t>
            </w:r>
          </w:p>
        </w:tc>
        <w:tc>
          <w:tcPr>
            <w:tcW w:w="1515" w:type="dxa"/>
          </w:tcPr>
          <w:p w14:paraId="630ACFE5"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15" w:type="dxa"/>
          </w:tcPr>
          <w:p w14:paraId="30D6816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64" w:type="dxa"/>
          </w:tcPr>
          <w:p w14:paraId="302EED8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1,467</w:t>
            </w:r>
          </w:p>
        </w:tc>
        <w:tc>
          <w:tcPr>
            <w:tcW w:w="1670" w:type="dxa"/>
          </w:tcPr>
          <w:p w14:paraId="135B858D"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43CB8E08" w14:textId="77777777" w:rsidTr="009466D2">
        <w:tc>
          <w:tcPr>
            <w:tcW w:w="1751" w:type="dxa"/>
          </w:tcPr>
          <w:p w14:paraId="7CB96164" w14:textId="77777777" w:rsidR="00F52DDD" w:rsidRPr="006754FB" w:rsidRDefault="00F52DDD" w:rsidP="00833D2A">
            <w:pPr>
              <w:spacing w:line="480" w:lineRule="auto"/>
              <w:rPr>
                <w:rFonts w:ascii="Times New Roman" w:hAnsi="Times New Roman" w:cs="Times New Roman"/>
                <w:sz w:val="24"/>
                <w:szCs w:val="24"/>
              </w:rPr>
            </w:pPr>
          </w:p>
        </w:tc>
        <w:tc>
          <w:tcPr>
            <w:tcW w:w="1345" w:type="dxa"/>
          </w:tcPr>
          <w:p w14:paraId="6EDA3E40"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2018–2023</w:t>
            </w:r>
          </w:p>
        </w:tc>
        <w:tc>
          <w:tcPr>
            <w:tcW w:w="1515" w:type="dxa"/>
          </w:tcPr>
          <w:p w14:paraId="45930015"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c>
          <w:tcPr>
            <w:tcW w:w="1515" w:type="dxa"/>
          </w:tcPr>
          <w:p w14:paraId="3376EF9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943</w:t>
            </w:r>
          </w:p>
        </w:tc>
        <w:tc>
          <w:tcPr>
            <w:tcW w:w="1564" w:type="dxa"/>
          </w:tcPr>
          <w:p w14:paraId="74D20BAE"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914</w:t>
            </w:r>
          </w:p>
        </w:tc>
        <w:tc>
          <w:tcPr>
            <w:tcW w:w="1670" w:type="dxa"/>
          </w:tcPr>
          <w:p w14:paraId="39170946"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r w:rsidR="00F52DDD" w:rsidRPr="006754FB" w14:paraId="42A81A40" w14:textId="77777777" w:rsidTr="009466D2">
        <w:tc>
          <w:tcPr>
            <w:tcW w:w="1751" w:type="dxa"/>
            <w:tcBorders>
              <w:bottom w:val="single" w:sz="4" w:space="0" w:color="auto"/>
            </w:tcBorders>
          </w:tcPr>
          <w:p w14:paraId="7314AD4F" w14:textId="77777777" w:rsidR="00F52DDD" w:rsidRPr="006754FB" w:rsidRDefault="00F52DDD" w:rsidP="00833D2A">
            <w:pPr>
              <w:spacing w:line="480" w:lineRule="auto"/>
              <w:rPr>
                <w:rFonts w:ascii="Times New Roman" w:hAnsi="Times New Roman" w:cs="Times New Roman"/>
                <w:sz w:val="24"/>
                <w:szCs w:val="24"/>
              </w:rPr>
            </w:pPr>
            <w:r w:rsidRPr="006754FB">
              <w:rPr>
                <w:rFonts w:ascii="Times New Roman" w:hAnsi="Times New Roman" w:cs="Times New Roman"/>
                <w:sz w:val="24"/>
                <w:szCs w:val="24"/>
              </w:rPr>
              <w:t>West Virginia</w:t>
            </w:r>
          </w:p>
        </w:tc>
        <w:tc>
          <w:tcPr>
            <w:tcW w:w="1345" w:type="dxa"/>
            <w:tcBorders>
              <w:bottom w:val="single" w:sz="4" w:space="0" w:color="auto"/>
            </w:tcBorders>
          </w:tcPr>
          <w:p w14:paraId="7B4998D2"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2016–2023</w:t>
            </w:r>
          </w:p>
        </w:tc>
        <w:tc>
          <w:tcPr>
            <w:tcW w:w="1515" w:type="dxa"/>
            <w:tcBorders>
              <w:bottom w:val="single" w:sz="4" w:space="0" w:color="auto"/>
            </w:tcBorders>
          </w:tcPr>
          <w:p w14:paraId="5178AA7F"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877</w:t>
            </w:r>
          </w:p>
        </w:tc>
        <w:tc>
          <w:tcPr>
            <w:tcW w:w="1515" w:type="dxa"/>
            <w:tcBorders>
              <w:bottom w:val="single" w:sz="4" w:space="0" w:color="auto"/>
            </w:tcBorders>
          </w:tcPr>
          <w:p w14:paraId="1D31ADDE"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851</w:t>
            </w:r>
          </w:p>
        </w:tc>
        <w:tc>
          <w:tcPr>
            <w:tcW w:w="1564" w:type="dxa"/>
            <w:tcBorders>
              <w:bottom w:val="single" w:sz="4" w:space="0" w:color="auto"/>
            </w:tcBorders>
          </w:tcPr>
          <w:p w14:paraId="15E7EE6D"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712</w:t>
            </w:r>
          </w:p>
        </w:tc>
        <w:tc>
          <w:tcPr>
            <w:tcW w:w="1670" w:type="dxa"/>
            <w:tcBorders>
              <w:bottom w:val="single" w:sz="4" w:space="0" w:color="auto"/>
            </w:tcBorders>
          </w:tcPr>
          <w:p w14:paraId="7DB277BA" w14:textId="77777777" w:rsidR="00F52DDD" w:rsidRPr="006754FB" w:rsidRDefault="00F52DDD" w:rsidP="00833D2A">
            <w:pPr>
              <w:spacing w:line="480" w:lineRule="auto"/>
              <w:jc w:val="right"/>
              <w:rPr>
                <w:rFonts w:ascii="Times New Roman" w:hAnsi="Times New Roman" w:cs="Times New Roman"/>
                <w:sz w:val="24"/>
                <w:szCs w:val="24"/>
              </w:rPr>
            </w:pPr>
            <w:r w:rsidRPr="006754FB">
              <w:rPr>
                <w:rFonts w:ascii="Times New Roman" w:hAnsi="Times New Roman" w:cs="Times New Roman"/>
                <w:sz w:val="24"/>
                <w:szCs w:val="24"/>
              </w:rPr>
              <w:t>0</w:t>
            </w:r>
          </w:p>
        </w:tc>
      </w:tr>
    </w:tbl>
    <w:p w14:paraId="2530E0F3" w14:textId="77777777" w:rsidR="00D66FD3" w:rsidRDefault="00D66FD3" w:rsidP="00833D2A">
      <w:pPr>
        <w:spacing w:line="480" w:lineRule="auto"/>
        <w:sectPr w:rsidR="00D66FD3" w:rsidSect="00905338">
          <w:headerReference w:type="default" r:id="rId13"/>
          <w:pgSz w:w="12240" w:h="15840"/>
          <w:pgMar w:top="1440" w:right="1440" w:bottom="1440" w:left="1440" w:header="720" w:footer="720" w:gutter="0"/>
          <w:lnNumType w:countBy="1" w:restart="continuous"/>
          <w:cols w:space="720"/>
          <w:titlePg/>
          <w:docGrid w:linePitch="360"/>
        </w:sectPr>
      </w:pPr>
    </w:p>
    <w:p w14:paraId="34CF4888" w14:textId="168609C2" w:rsidR="00927C7B" w:rsidRDefault="00927C7B" w:rsidP="00833D2A">
      <w:pPr>
        <w:spacing w:line="480" w:lineRule="auto"/>
      </w:pPr>
      <w:r>
        <w:lastRenderedPageBreak/>
        <w:t xml:space="preserve">Table 3. Model selection results for models of the proportion of hens with poults that did not include repeat observations of wild turkey </w:t>
      </w:r>
      <w:r w:rsidR="00B953AD">
        <w:t>(</w:t>
      </w:r>
      <w:r w:rsidR="00B953AD" w:rsidRPr="001164C5">
        <w:rPr>
          <w:i/>
          <w:iCs/>
        </w:rPr>
        <w:t>Meleagris gall</w:t>
      </w:r>
      <w:r w:rsidR="00B953AD">
        <w:rPr>
          <w:i/>
          <w:iCs/>
        </w:rPr>
        <w:t>o</w:t>
      </w:r>
      <w:r w:rsidR="00B953AD" w:rsidRPr="001164C5">
        <w:rPr>
          <w:i/>
          <w:iCs/>
        </w:rPr>
        <w:t>pavo</w:t>
      </w:r>
      <w:r w:rsidR="00B953AD">
        <w:t xml:space="preserve">) </w:t>
      </w:r>
      <w:r>
        <w:t>during summer sighting surveys in mid-Atlantic states, 2000–2023.</w:t>
      </w:r>
      <w:r>
        <w:tab/>
      </w:r>
    </w:p>
    <w:tbl>
      <w:tblPr>
        <w:tblStyle w:val="TableGrid"/>
        <w:tblW w:w="14670"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540"/>
        <w:gridCol w:w="900"/>
        <w:gridCol w:w="236"/>
        <w:gridCol w:w="484"/>
        <w:gridCol w:w="810"/>
        <w:gridCol w:w="236"/>
        <w:gridCol w:w="484"/>
        <w:gridCol w:w="810"/>
        <w:gridCol w:w="270"/>
        <w:gridCol w:w="540"/>
        <w:gridCol w:w="810"/>
        <w:gridCol w:w="270"/>
        <w:gridCol w:w="540"/>
        <w:gridCol w:w="990"/>
        <w:gridCol w:w="270"/>
        <w:gridCol w:w="540"/>
        <w:gridCol w:w="810"/>
        <w:gridCol w:w="270"/>
        <w:gridCol w:w="540"/>
        <w:gridCol w:w="990"/>
      </w:tblGrid>
      <w:tr w:rsidR="004F6E48" w:rsidRPr="00C17FA7" w14:paraId="18C18FC2" w14:textId="77777777" w:rsidTr="00430A47">
        <w:tc>
          <w:tcPr>
            <w:tcW w:w="3330" w:type="dxa"/>
            <w:tcBorders>
              <w:top w:val="single" w:sz="4" w:space="0" w:color="auto"/>
            </w:tcBorders>
          </w:tcPr>
          <w:p w14:paraId="21C019B1" w14:textId="77777777" w:rsidR="004F6E48" w:rsidRPr="00C17FA7" w:rsidRDefault="004F6E48" w:rsidP="00833D2A">
            <w:pPr>
              <w:spacing w:line="480" w:lineRule="auto"/>
            </w:pPr>
          </w:p>
        </w:tc>
        <w:tc>
          <w:tcPr>
            <w:tcW w:w="11340" w:type="dxa"/>
            <w:gridSpan w:val="20"/>
            <w:tcBorders>
              <w:top w:val="single" w:sz="4" w:space="0" w:color="auto"/>
              <w:bottom w:val="single" w:sz="4" w:space="0" w:color="auto"/>
            </w:tcBorders>
          </w:tcPr>
          <w:p w14:paraId="36F965C2" w14:textId="098361A7" w:rsidR="004F6E48" w:rsidRPr="00430A47" w:rsidRDefault="004F6E48" w:rsidP="007268EF">
            <w:pPr>
              <w:spacing w:line="480" w:lineRule="auto"/>
              <w:jc w:val="center"/>
              <w:rPr>
                <w:rFonts w:ascii="Times New Roman" w:hAnsi="Times New Roman" w:cs="Times New Roman"/>
                <w:sz w:val="24"/>
                <w:szCs w:val="24"/>
              </w:rPr>
            </w:pPr>
            <w:r w:rsidRPr="004F6E48">
              <w:t>State</w:t>
            </w:r>
          </w:p>
        </w:tc>
      </w:tr>
      <w:tr w:rsidR="00100C71" w:rsidRPr="00C17FA7" w14:paraId="1C7C9E84" w14:textId="77777777" w:rsidTr="00430A47">
        <w:tc>
          <w:tcPr>
            <w:tcW w:w="3330" w:type="dxa"/>
          </w:tcPr>
          <w:p w14:paraId="0F1E559D" w14:textId="77777777" w:rsidR="00927C7B" w:rsidRPr="00C17FA7" w:rsidRDefault="00927C7B" w:rsidP="00833D2A">
            <w:pPr>
              <w:spacing w:line="480" w:lineRule="auto"/>
              <w:rPr>
                <w:rFonts w:ascii="Times New Roman" w:hAnsi="Times New Roman" w:cs="Times New Roman"/>
                <w:sz w:val="24"/>
                <w:szCs w:val="24"/>
              </w:rPr>
            </w:pPr>
          </w:p>
        </w:tc>
        <w:tc>
          <w:tcPr>
            <w:tcW w:w="1440" w:type="dxa"/>
            <w:gridSpan w:val="2"/>
            <w:tcBorders>
              <w:top w:val="single" w:sz="4" w:space="0" w:color="auto"/>
              <w:bottom w:val="single" w:sz="4" w:space="0" w:color="auto"/>
            </w:tcBorders>
          </w:tcPr>
          <w:p w14:paraId="33844131" w14:textId="77777777" w:rsidR="004F6E48" w:rsidRDefault="004F6E48" w:rsidP="007268EF">
            <w:pPr>
              <w:spacing w:line="480" w:lineRule="auto"/>
              <w:jc w:val="center"/>
              <w:rPr>
                <w:rFonts w:ascii="Times New Roman" w:hAnsi="Times New Roman" w:cs="Times New Roman"/>
                <w:sz w:val="24"/>
                <w:szCs w:val="24"/>
              </w:rPr>
            </w:pPr>
          </w:p>
          <w:p w14:paraId="19C71119" w14:textId="7EB65267"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Maryland</w:t>
            </w:r>
          </w:p>
        </w:tc>
        <w:tc>
          <w:tcPr>
            <w:tcW w:w="236" w:type="dxa"/>
            <w:tcBorders>
              <w:top w:val="single" w:sz="4" w:space="0" w:color="auto"/>
            </w:tcBorders>
          </w:tcPr>
          <w:p w14:paraId="04E7B43E" w14:textId="77777777" w:rsidR="00927C7B" w:rsidRPr="00C17FA7" w:rsidRDefault="00927C7B" w:rsidP="007268EF">
            <w:pPr>
              <w:spacing w:line="480" w:lineRule="auto"/>
              <w:jc w:val="center"/>
              <w:rPr>
                <w:rFonts w:ascii="Times New Roman" w:hAnsi="Times New Roman" w:cs="Times New Roman"/>
                <w:sz w:val="24"/>
                <w:szCs w:val="24"/>
              </w:rPr>
            </w:pPr>
          </w:p>
        </w:tc>
        <w:tc>
          <w:tcPr>
            <w:tcW w:w="1294" w:type="dxa"/>
            <w:gridSpan w:val="2"/>
            <w:tcBorders>
              <w:top w:val="single" w:sz="4" w:space="0" w:color="auto"/>
              <w:bottom w:val="single" w:sz="4" w:space="0" w:color="auto"/>
            </w:tcBorders>
          </w:tcPr>
          <w:p w14:paraId="47FA5EED" w14:textId="77777777"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New Jersey</w:t>
            </w:r>
          </w:p>
        </w:tc>
        <w:tc>
          <w:tcPr>
            <w:tcW w:w="236" w:type="dxa"/>
            <w:tcBorders>
              <w:top w:val="single" w:sz="4" w:space="0" w:color="auto"/>
            </w:tcBorders>
          </w:tcPr>
          <w:p w14:paraId="6B1890F9" w14:textId="77777777" w:rsidR="00927C7B" w:rsidRPr="00C17FA7" w:rsidRDefault="00927C7B" w:rsidP="007268EF">
            <w:pPr>
              <w:spacing w:line="480" w:lineRule="auto"/>
              <w:jc w:val="center"/>
              <w:rPr>
                <w:rFonts w:ascii="Times New Roman" w:hAnsi="Times New Roman" w:cs="Times New Roman"/>
                <w:sz w:val="24"/>
                <w:szCs w:val="24"/>
              </w:rPr>
            </w:pPr>
          </w:p>
        </w:tc>
        <w:tc>
          <w:tcPr>
            <w:tcW w:w="1294" w:type="dxa"/>
            <w:gridSpan w:val="2"/>
            <w:tcBorders>
              <w:top w:val="single" w:sz="4" w:space="0" w:color="auto"/>
              <w:bottom w:val="single" w:sz="4" w:space="0" w:color="auto"/>
            </w:tcBorders>
          </w:tcPr>
          <w:p w14:paraId="2737FA6D" w14:textId="77777777" w:rsidR="004F6E48" w:rsidRDefault="004F6E48" w:rsidP="007268EF">
            <w:pPr>
              <w:spacing w:line="480" w:lineRule="auto"/>
              <w:jc w:val="center"/>
              <w:rPr>
                <w:rFonts w:ascii="Times New Roman" w:hAnsi="Times New Roman" w:cs="Times New Roman"/>
                <w:sz w:val="24"/>
                <w:szCs w:val="24"/>
              </w:rPr>
            </w:pPr>
          </w:p>
          <w:p w14:paraId="287E895C" w14:textId="08DD2743"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New York</w:t>
            </w:r>
          </w:p>
        </w:tc>
        <w:tc>
          <w:tcPr>
            <w:tcW w:w="270" w:type="dxa"/>
            <w:tcBorders>
              <w:top w:val="single" w:sz="4" w:space="0" w:color="auto"/>
            </w:tcBorders>
          </w:tcPr>
          <w:p w14:paraId="19684D4A" w14:textId="77777777" w:rsidR="00927C7B" w:rsidRPr="00C17FA7" w:rsidRDefault="00927C7B" w:rsidP="007268EF">
            <w:pPr>
              <w:spacing w:line="480" w:lineRule="auto"/>
              <w:jc w:val="center"/>
              <w:rPr>
                <w:rFonts w:ascii="Times New Roman" w:hAnsi="Times New Roman" w:cs="Times New Roman"/>
                <w:sz w:val="24"/>
                <w:szCs w:val="24"/>
              </w:rPr>
            </w:pPr>
          </w:p>
        </w:tc>
        <w:tc>
          <w:tcPr>
            <w:tcW w:w="1350" w:type="dxa"/>
            <w:gridSpan w:val="2"/>
            <w:tcBorders>
              <w:top w:val="single" w:sz="4" w:space="0" w:color="auto"/>
              <w:bottom w:val="single" w:sz="4" w:space="0" w:color="auto"/>
            </w:tcBorders>
          </w:tcPr>
          <w:p w14:paraId="071471C3" w14:textId="77777777" w:rsidR="004F6E48" w:rsidRDefault="004F6E48" w:rsidP="007268EF">
            <w:pPr>
              <w:spacing w:line="480" w:lineRule="auto"/>
              <w:jc w:val="center"/>
              <w:rPr>
                <w:rFonts w:ascii="Times New Roman" w:hAnsi="Times New Roman" w:cs="Times New Roman"/>
                <w:sz w:val="24"/>
                <w:szCs w:val="24"/>
              </w:rPr>
            </w:pPr>
          </w:p>
          <w:p w14:paraId="5169D291" w14:textId="2C1D9CC8"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Ohio</w:t>
            </w:r>
          </w:p>
        </w:tc>
        <w:tc>
          <w:tcPr>
            <w:tcW w:w="270" w:type="dxa"/>
            <w:tcBorders>
              <w:top w:val="single" w:sz="4" w:space="0" w:color="auto"/>
            </w:tcBorders>
          </w:tcPr>
          <w:p w14:paraId="63BFF7D7" w14:textId="77777777" w:rsidR="00927C7B" w:rsidRPr="00C17FA7" w:rsidRDefault="00927C7B" w:rsidP="007268EF">
            <w:pPr>
              <w:spacing w:line="480" w:lineRule="auto"/>
              <w:jc w:val="center"/>
              <w:rPr>
                <w:rFonts w:ascii="Times New Roman" w:hAnsi="Times New Roman" w:cs="Times New Roman"/>
                <w:sz w:val="24"/>
                <w:szCs w:val="24"/>
              </w:rPr>
            </w:pPr>
          </w:p>
        </w:tc>
        <w:tc>
          <w:tcPr>
            <w:tcW w:w="1530" w:type="dxa"/>
            <w:gridSpan w:val="2"/>
            <w:tcBorders>
              <w:top w:val="single" w:sz="4" w:space="0" w:color="auto"/>
              <w:bottom w:val="single" w:sz="4" w:space="0" w:color="auto"/>
            </w:tcBorders>
          </w:tcPr>
          <w:p w14:paraId="7735AC42" w14:textId="77777777" w:rsidR="004F6E48" w:rsidRDefault="004F6E48" w:rsidP="007268EF">
            <w:pPr>
              <w:spacing w:line="480" w:lineRule="auto"/>
              <w:jc w:val="center"/>
              <w:rPr>
                <w:rFonts w:ascii="Times New Roman" w:hAnsi="Times New Roman" w:cs="Times New Roman"/>
                <w:sz w:val="24"/>
                <w:szCs w:val="24"/>
              </w:rPr>
            </w:pPr>
          </w:p>
          <w:p w14:paraId="5693D3E9" w14:textId="1B110691"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Pennsylvania</w:t>
            </w:r>
          </w:p>
        </w:tc>
        <w:tc>
          <w:tcPr>
            <w:tcW w:w="270" w:type="dxa"/>
            <w:tcBorders>
              <w:top w:val="single" w:sz="4" w:space="0" w:color="auto"/>
            </w:tcBorders>
          </w:tcPr>
          <w:p w14:paraId="00358590" w14:textId="77777777" w:rsidR="00927C7B" w:rsidRPr="00C17FA7" w:rsidRDefault="00927C7B" w:rsidP="007268EF">
            <w:pPr>
              <w:spacing w:line="480" w:lineRule="auto"/>
              <w:jc w:val="center"/>
              <w:rPr>
                <w:rFonts w:ascii="Times New Roman" w:hAnsi="Times New Roman" w:cs="Times New Roman"/>
                <w:sz w:val="24"/>
                <w:szCs w:val="24"/>
              </w:rPr>
            </w:pPr>
          </w:p>
        </w:tc>
        <w:tc>
          <w:tcPr>
            <w:tcW w:w="1350" w:type="dxa"/>
            <w:gridSpan w:val="2"/>
            <w:tcBorders>
              <w:top w:val="single" w:sz="4" w:space="0" w:color="auto"/>
              <w:bottom w:val="single" w:sz="4" w:space="0" w:color="auto"/>
            </w:tcBorders>
          </w:tcPr>
          <w:p w14:paraId="1F7447CD" w14:textId="77777777" w:rsidR="004F6E48" w:rsidRDefault="004F6E48" w:rsidP="007268EF">
            <w:pPr>
              <w:spacing w:line="480" w:lineRule="auto"/>
              <w:jc w:val="center"/>
              <w:rPr>
                <w:rFonts w:ascii="Times New Roman" w:hAnsi="Times New Roman" w:cs="Times New Roman"/>
                <w:sz w:val="24"/>
                <w:szCs w:val="24"/>
              </w:rPr>
            </w:pPr>
          </w:p>
          <w:p w14:paraId="205198B7" w14:textId="21E3139E"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Virginia</w:t>
            </w:r>
          </w:p>
        </w:tc>
        <w:tc>
          <w:tcPr>
            <w:tcW w:w="270" w:type="dxa"/>
            <w:tcBorders>
              <w:top w:val="single" w:sz="4" w:space="0" w:color="auto"/>
            </w:tcBorders>
          </w:tcPr>
          <w:p w14:paraId="755C6F2F" w14:textId="77777777" w:rsidR="00927C7B" w:rsidRPr="00C17FA7" w:rsidRDefault="00927C7B" w:rsidP="007268EF">
            <w:pPr>
              <w:spacing w:line="480" w:lineRule="auto"/>
              <w:jc w:val="center"/>
              <w:rPr>
                <w:rFonts w:ascii="Times New Roman" w:hAnsi="Times New Roman" w:cs="Times New Roman"/>
                <w:sz w:val="24"/>
                <w:szCs w:val="24"/>
              </w:rPr>
            </w:pPr>
          </w:p>
        </w:tc>
        <w:tc>
          <w:tcPr>
            <w:tcW w:w="1530" w:type="dxa"/>
            <w:gridSpan w:val="2"/>
            <w:tcBorders>
              <w:top w:val="single" w:sz="4" w:space="0" w:color="auto"/>
              <w:bottom w:val="single" w:sz="4" w:space="0" w:color="auto"/>
            </w:tcBorders>
          </w:tcPr>
          <w:p w14:paraId="40C174B7" w14:textId="77777777" w:rsidR="004F6E48" w:rsidRDefault="004F6E48" w:rsidP="007268EF">
            <w:pPr>
              <w:spacing w:line="480" w:lineRule="auto"/>
              <w:jc w:val="center"/>
              <w:rPr>
                <w:rFonts w:ascii="Times New Roman" w:hAnsi="Times New Roman" w:cs="Times New Roman"/>
                <w:sz w:val="24"/>
                <w:szCs w:val="24"/>
              </w:rPr>
            </w:pPr>
          </w:p>
          <w:p w14:paraId="762249F8" w14:textId="3D1098C4" w:rsidR="00927C7B" w:rsidRPr="00C17FA7" w:rsidRDefault="00927C7B" w:rsidP="007268EF">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West Virginia</w:t>
            </w:r>
          </w:p>
        </w:tc>
      </w:tr>
      <w:tr w:rsidR="00DA46F6" w:rsidRPr="00C17FA7" w14:paraId="2FF0C751" w14:textId="77777777" w:rsidTr="00044C12">
        <w:tc>
          <w:tcPr>
            <w:tcW w:w="3330" w:type="dxa"/>
            <w:tcBorders>
              <w:bottom w:val="single" w:sz="4" w:space="0" w:color="auto"/>
            </w:tcBorders>
          </w:tcPr>
          <w:p w14:paraId="093F83E9" w14:textId="33961AA8" w:rsidR="00927C7B" w:rsidRPr="00C17FA7" w:rsidRDefault="00927C7B" w:rsidP="00833D2A">
            <w:pPr>
              <w:spacing w:line="480" w:lineRule="auto"/>
              <w:rPr>
                <w:rFonts w:ascii="Times New Roman" w:hAnsi="Times New Roman" w:cs="Times New Roman"/>
                <w:sz w:val="24"/>
                <w:szCs w:val="24"/>
              </w:rPr>
            </w:pPr>
            <w:proofErr w:type="spellStart"/>
            <w:r w:rsidRPr="00C17FA7">
              <w:rPr>
                <w:rFonts w:ascii="Times New Roman" w:hAnsi="Times New Roman" w:cs="Times New Roman"/>
                <w:sz w:val="24"/>
                <w:szCs w:val="24"/>
              </w:rPr>
              <w:t>Model</w:t>
            </w:r>
            <w:r w:rsidR="00A71B45">
              <w:rPr>
                <w:vertAlign w:val="superscript"/>
              </w:rPr>
              <w:t>c</w:t>
            </w:r>
            <w:proofErr w:type="spellEnd"/>
          </w:p>
        </w:tc>
        <w:tc>
          <w:tcPr>
            <w:tcW w:w="540" w:type="dxa"/>
            <w:tcBorders>
              <w:top w:val="single" w:sz="4" w:space="0" w:color="auto"/>
              <w:bottom w:val="single" w:sz="4" w:space="0" w:color="auto"/>
            </w:tcBorders>
          </w:tcPr>
          <w:p w14:paraId="64B444B4" w14:textId="715F7E7A"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r w:rsidR="00E9407A" w:rsidRPr="00E9407A">
              <w:rPr>
                <w:rFonts w:ascii="Times New Roman" w:hAnsi="Times New Roman" w:cs="Times New Roman"/>
                <w:sz w:val="24"/>
                <w:szCs w:val="24"/>
                <w:vertAlign w:val="superscript"/>
              </w:rPr>
              <w:t>a</w:t>
            </w:r>
          </w:p>
        </w:tc>
        <w:tc>
          <w:tcPr>
            <w:tcW w:w="900" w:type="dxa"/>
            <w:tcBorders>
              <w:top w:val="single" w:sz="4" w:space="0" w:color="auto"/>
              <w:bottom w:val="single" w:sz="4" w:space="0" w:color="auto"/>
            </w:tcBorders>
          </w:tcPr>
          <w:p w14:paraId="72BC9D08" w14:textId="43DF9E12" w:rsidR="00927C7B" w:rsidRPr="00C17FA7" w:rsidRDefault="00927C7B" w:rsidP="00833D2A">
            <w:pPr>
              <w:spacing w:line="480" w:lineRule="auto"/>
              <w:rPr>
                <w:rFonts w:ascii="Times New Roman" w:hAnsi="Times New Roman" w:cs="Times New Roman"/>
                <w:sz w:val="24"/>
                <w:szCs w:val="24"/>
              </w:rPr>
            </w:pPr>
            <w:proofErr w:type="spellStart"/>
            <w:r w:rsidRPr="00C17FA7">
              <w:rPr>
                <w:rFonts w:ascii="Times New Roman" w:hAnsi="Times New Roman" w:cs="Times New Roman"/>
                <w:sz w:val="24"/>
                <w:szCs w:val="24"/>
              </w:rPr>
              <w:t>ΔAIC</w:t>
            </w:r>
            <w:r w:rsidR="00E9407A">
              <w:rPr>
                <w:rFonts w:ascii="Times New Roman" w:hAnsi="Times New Roman" w:cs="Times New Roman"/>
                <w:sz w:val="24"/>
                <w:szCs w:val="24"/>
                <w:vertAlign w:val="superscript"/>
              </w:rPr>
              <w:t>b</w:t>
            </w:r>
            <w:proofErr w:type="spellEnd"/>
          </w:p>
        </w:tc>
        <w:tc>
          <w:tcPr>
            <w:tcW w:w="236" w:type="dxa"/>
            <w:tcBorders>
              <w:bottom w:val="single" w:sz="4" w:space="0" w:color="auto"/>
            </w:tcBorders>
          </w:tcPr>
          <w:p w14:paraId="48E12E79" w14:textId="77777777" w:rsidR="00927C7B" w:rsidRPr="00C17FA7" w:rsidRDefault="00927C7B" w:rsidP="00833D2A">
            <w:pPr>
              <w:spacing w:line="480" w:lineRule="auto"/>
              <w:rPr>
                <w:rFonts w:ascii="Times New Roman" w:hAnsi="Times New Roman" w:cs="Times New Roman"/>
                <w:sz w:val="24"/>
                <w:szCs w:val="24"/>
              </w:rPr>
            </w:pPr>
          </w:p>
        </w:tc>
        <w:tc>
          <w:tcPr>
            <w:tcW w:w="484" w:type="dxa"/>
            <w:tcBorders>
              <w:top w:val="single" w:sz="4" w:space="0" w:color="auto"/>
              <w:bottom w:val="single" w:sz="4" w:space="0" w:color="auto"/>
            </w:tcBorders>
          </w:tcPr>
          <w:p w14:paraId="01C0A776"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56E502A1"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36" w:type="dxa"/>
            <w:tcBorders>
              <w:bottom w:val="single" w:sz="4" w:space="0" w:color="auto"/>
            </w:tcBorders>
          </w:tcPr>
          <w:p w14:paraId="2AA2AD23" w14:textId="77777777" w:rsidR="00927C7B" w:rsidRPr="00C17FA7" w:rsidRDefault="00927C7B" w:rsidP="00833D2A">
            <w:pPr>
              <w:spacing w:line="480" w:lineRule="auto"/>
              <w:rPr>
                <w:rFonts w:ascii="Times New Roman" w:hAnsi="Times New Roman" w:cs="Times New Roman"/>
                <w:sz w:val="24"/>
                <w:szCs w:val="24"/>
              </w:rPr>
            </w:pPr>
          </w:p>
        </w:tc>
        <w:tc>
          <w:tcPr>
            <w:tcW w:w="484" w:type="dxa"/>
            <w:tcBorders>
              <w:top w:val="single" w:sz="4" w:space="0" w:color="auto"/>
              <w:bottom w:val="single" w:sz="4" w:space="0" w:color="auto"/>
            </w:tcBorders>
          </w:tcPr>
          <w:p w14:paraId="3DD8EF9B"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466CE99F"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5B4B4A35" w14:textId="77777777" w:rsidR="00927C7B" w:rsidRPr="00C17FA7" w:rsidRDefault="00927C7B" w:rsidP="00833D2A">
            <w:pPr>
              <w:spacing w:line="480" w:lineRule="auto"/>
              <w:rPr>
                <w:rFonts w:ascii="Times New Roman" w:hAnsi="Times New Roman" w:cs="Times New Roman"/>
                <w:sz w:val="24"/>
                <w:szCs w:val="24"/>
              </w:rPr>
            </w:pPr>
          </w:p>
        </w:tc>
        <w:tc>
          <w:tcPr>
            <w:tcW w:w="540" w:type="dxa"/>
            <w:tcBorders>
              <w:top w:val="single" w:sz="4" w:space="0" w:color="auto"/>
              <w:bottom w:val="single" w:sz="4" w:space="0" w:color="auto"/>
            </w:tcBorders>
          </w:tcPr>
          <w:p w14:paraId="726ABE19" w14:textId="77777777" w:rsidR="00927C7B" w:rsidRPr="00C17FA7" w:rsidRDefault="00927C7B" w:rsidP="00833D2A">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040BC60A" w14:textId="77777777" w:rsidR="00927C7B" w:rsidRPr="00C17FA7" w:rsidRDefault="00927C7B" w:rsidP="00833D2A">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52B911F9" w14:textId="77777777" w:rsidR="00927C7B" w:rsidRPr="00C17FA7" w:rsidRDefault="00927C7B" w:rsidP="00833D2A">
            <w:pPr>
              <w:spacing w:line="480" w:lineRule="auto"/>
              <w:jc w:val="center"/>
              <w:rPr>
                <w:rFonts w:ascii="Times New Roman" w:hAnsi="Times New Roman" w:cs="Times New Roman"/>
                <w:sz w:val="24"/>
                <w:szCs w:val="24"/>
              </w:rPr>
            </w:pPr>
          </w:p>
        </w:tc>
        <w:tc>
          <w:tcPr>
            <w:tcW w:w="540" w:type="dxa"/>
            <w:tcBorders>
              <w:top w:val="single" w:sz="4" w:space="0" w:color="auto"/>
              <w:bottom w:val="single" w:sz="4" w:space="0" w:color="auto"/>
            </w:tcBorders>
          </w:tcPr>
          <w:p w14:paraId="20F35AF8" w14:textId="77777777" w:rsidR="00927C7B" w:rsidRPr="00C17FA7" w:rsidRDefault="00927C7B" w:rsidP="00833D2A">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K</w:t>
            </w:r>
          </w:p>
        </w:tc>
        <w:tc>
          <w:tcPr>
            <w:tcW w:w="990" w:type="dxa"/>
            <w:tcBorders>
              <w:top w:val="single" w:sz="4" w:space="0" w:color="auto"/>
              <w:bottom w:val="single" w:sz="4" w:space="0" w:color="auto"/>
            </w:tcBorders>
          </w:tcPr>
          <w:p w14:paraId="32F5A9F2" w14:textId="77777777" w:rsidR="00927C7B" w:rsidRPr="00C17FA7" w:rsidRDefault="00927C7B" w:rsidP="00833D2A">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15857831" w14:textId="77777777" w:rsidR="00927C7B" w:rsidRPr="00C17FA7" w:rsidRDefault="00927C7B" w:rsidP="00833D2A">
            <w:pPr>
              <w:spacing w:line="480" w:lineRule="auto"/>
              <w:jc w:val="center"/>
              <w:rPr>
                <w:rFonts w:ascii="Times New Roman" w:hAnsi="Times New Roman" w:cs="Times New Roman"/>
                <w:sz w:val="24"/>
                <w:szCs w:val="24"/>
              </w:rPr>
            </w:pPr>
          </w:p>
        </w:tc>
        <w:tc>
          <w:tcPr>
            <w:tcW w:w="540" w:type="dxa"/>
            <w:tcBorders>
              <w:top w:val="single" w:sz="4" w:space="0" w:color="auto"/>
              <w:bottom w:val="single" w:sz="4" w:space="0" w:color="auto"/>
            </w:tcBorders>
          </w:tcPr>
          <w:p w14:paraId="3C60AA05"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636760D3"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0FFA64C8" w14:textId="77777777" w:rsidR="00927C7B" w:rsidRPr="00C17FA7" w:rsidRDefault="00927C7B" w:rsidP="00833D2A">
            <w:pPr>
              <w:spacing w:line="480" w:lineRule="auto"/>
              <w:rPr>
                <w:rFonts w:ascii="Times New Roman" w:hAnsi="Times New Roman" w:cs="Times New Roman"/>
                <w:sz w:val="24"/>
                <w:szCs w:val="24"/>
              </w:rPr>
            </w:pPr>
          </w:p>
        </w:tc>
        <w:tc>
          <w:tcPr>
            <w:tcW w:w="540" w:type="dxa"/>
            <w:tcBorders>
              <w:top w:val="single" w:sz="4" w:space="0" w:color="auto"/>
              <w:bottom w:val="single" w:sz="4" w:space="0" w:color="auto"/>
            </w:tcBorders>
          </w:tcPr>
          <w:p w14:paraId="13F9163D"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990" w:type="dxa"/>
            <w:tcBorders>
              <w:top w:val="single" w:sz="4" w:space="0" w:color="auto"/>
              <w:bottom w:val="single" w:sz="4" w:space="0" w:color="auto"/>
            </w:tcBorders>
          </w:tcPr>
          <w:p w14:paraId="55D6E3DF" w14:textId="77777777" w:rsidR="00927C7B" w:rsidRPr="00C17FA7" w:rsidRDefault="00927C7B" w:rsidP="00833D2A">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r>
      <w:tr w:rsidR="00DA46F6" w:rsidRPr="00C17FA7" w14:paraId="4F6CC09E" w14:textId="77777777" w:rsidTr="00044C12">
        <w:tc>
          <w:tcPr>
            <w:tcW w:w="3330" w:type="dxa"/>
          </w:tcPr>
          <w:p w14:paraId="5B62DC87" w14:textId="3053EDE7" w:rsidR="008D0A14" w:rsidRPr="009B76E4" w:rsidRDefault="008D0A14" w:rsidP="008D0A14">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 DOY</w:t>
            </w:r>
            <w:r w:rsidRPr="00C17FA7">
              <w:rPr>
                <w:rFonts w:ascii="Times New Roman" w:hAnsi="Times New Roman" w:cs="Times New Roman"/>
                <w:sz w:val="24"/>
                <w:szCs w:val="24"/>
                <w:vertAlign w:val="superscript"/>
              </w:rPr>
              <w:t>2</w:t>
            </w:r>
            <w:r>
              <w:rPr>
                <w:rFonts w:ascii="Times New Roman" w:hAnsi="Times New Roman" w:cs="Times New Roman"/>
                <w:sz w:val="24"/>
                <w:szCs w:val="24"/>
              </w:rPr>
              <w:t xml:space="preserve"> (MU)</w:t>
            </w:r>
          </w:p>
        </w:tc>
        <w:tc>
          <w:tcPr>
            <w:tcW w:w="540" w:type="dxa"/>
          </w:tcPr>
          <w:p w14:paraId="7AB30FA4"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8</w:t>
            </w:r>
          </w:p>
        </w:tc>
        <w:tc>
          <w:tcPr>
            <w:tcW w:w="900" w:type="dxa"/>
          </w:tcPr>
          <w:p w14:paraId="426BF64C" w14:textId="14911305" w:rsidR="008D0A14" w:rsidRPr="00C17FA7" w:rsidRDefault="001027B9"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39.3</w:t>
            </w:r>
          </w:p>
        </w:tc>
        <w:tc>
          <w:tcPr>
            <w:tcW w:w="236" w:type="dxa"/>
          </w:tcPr>
          <w:p w14:paraId="42D494DB"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705F67D4"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25</w:t>
            </w:r>
          </w:p>
        </w:tc>
        <w:tc>
          <w:tcPr>
            <w:tcW w:w="810" w:type="dxa"/>
          </w:tcPr>
          <w:p w14:paraId="171F1ACB" w14:textId="645C7248" w:rsidR="008D0A14" w:rsidRPr="00C17FA7" w:rsidRDefault="00656770"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497.5</w:t>
            </w:r>
          </w:p>
        </w:tc>
        <w:tc>
          <w:tcPr>
            <w:tcW w:w="236" w:type="dxa"/>
          </w:tcPr>
          <w:p w14:paraId="1F538B14"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630B53FB"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22</w:t>
            </w:r>
          </w:p>
        </w:tc>
        <w:tc>
          <w:tcPr>
            <w:tcW w:w="810" w:type="dxa"/>
          </w:tcPr>
          <w:p w14:paraId="44A1BC98" w14:textId="3DFCC690" w:rsidR="008D0A14" w:rsidRPr="00C17FA7" w:rsidRDefault="001F36B7"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146.7</w:t>
            </w:r>
          </w:p>
        </w:tc>
        <w:tc>
          <w:tcPr>
            <w:tcW w:w="270" w:type="dxa"/>
          </w:tcPr>
          <w:p w14:paraId="0BCCE917"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4F16D0FA"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8</w:t>
            </w:r>
          </w:p>
        </w:tc>
        <w:tc>
          <w:tcPr>
            <w:tcW w:w="810" w:type="dxa"/>
          </w:tcPr>
          <w:p w14:paraId="395BD472" w14:textId="14C9616F" w:rsidR="008D0A14" w:rsidRPr="00C17FA7" w:rsidRDefault="005C71E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270" w:type="dxa"/>
          </w:tcPr>
          <w:p w14:paraId="12F1FA26"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68164A63"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8</w:t>
            </w:r>
          </w:p>
        </w:tc>
        <w:tc>
          <w:tcPr>
            <w:tcW w:w="990" w:type="dxa"/>
          </w:tcPr>
          <w:p w14:paraId="3A3095DA" w14:textId="49991D5B" w:rsidR="008D0A14" w:rsidRPr="00C17FA7" w:rsidRDefault="008D0A1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r w:rsidR="004D00D4">
              <w:rPr>
                <w:rFonts w:ascii="Times New Roman" w:hAnsi="Times New Roman" w:cs="Times New Roman"/>
                <w:sz w:val="24"/>
                <w:szCs w:val="24"/>
              </w:rPr>
              <w:t>49.3</w:t>
            </w:r>
          </w:p>
        </w:tc>
        <w:tc>
          <w:tcPr>
            <w:tcW w:w="270" w:type="dxa"/>
          </w:tcPr>
          <w:p w14:paraId="74F19685"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732873B6"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19</w:t>
            </w:r>
          </w:p>
        </w:tc>
        <w:tc>
          <w:tcPr>
            <w:tcW w:w="810" w:type="dxa"/>
          </w:tcPr>
          <w:p w14:paraId="71EBEFA5" w14:textId="120806CD" w:rsidR="008D0A14" w:rsidRPr="00C17FA7" w:rsidRDefault="0051129E"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r w:rsidR="0005314F">
              <w:rPr>
                <w:rFonts w:ascii="Times New Roman" w:hAnsi="Times New Roman" w:cs="Times New Roman"/>
                <w:sz w:val="24"/>
                <w:szCs w:val="24"/>
              </w:rPr>
              <w:t>2.4</w:t>
            </w:r>
          </w:p>
        </w:tc>
        <w:tc>
          <w:tcPr>
            <w:tcW w:w="270" w:type="dxa"/>
          </w:tcPr>
          <w:p w14:paraId="035587C1"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03459F81"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11</w:t>
            </w:r>
          </w:p>
        </w:tc>
        <w:tc>
          <w:tcPr>
            <w:tcW w:w="990" w:type="dxa"/>
          </w:tcPr>
          <w:p w14:paraId="2104C7AB" w14:textId="7EC67852" w:rsidR="008D0A14" w:rsidRPr="00C17FA7" w:rsidRDefault="006B0E83"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80.8</w:t>
            </w:r>
          </w:p>
        </w:tc>
      </w:tr>
      <w:tr w:rsidR="00DA46F6" w:rsidRPr="00C17FA7" w14:paraId="3EA59232" w14:textId="77777777" w:rsidTr="00044C12">
        <w:tc>
          <w:tcPr>
            <w:tcW w:w="3330" w:type="dxa"/>
          </w:tcPr>
          <w:p w14:paraId="1A26418C" w14:textId="4E0A9819" w:rsidR="008D0A14" w:rsidRPr="00C17FA7" w:rsidRDefault="008D0A14" w:rsidP="008D0A14">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w:t>
            </w:r>
            <w:r>
              <w:rPr>
                <w:rFonts w:ascii="Times New Roman" w:hAnsi="Times New Roman" w:cs="Times New Roman"/>
                <w:sz w:val="24"/>
                <w:szCs w:val="24"/>
              </w:rPr>
              <w:t xml:space="preserve"> (MU)</w:t>
            </w:r>
          </w:p>
        </w:tc>
        <w:tc>
          <w:tcPr>
            <w:tcW w:w="540" w:type="dxa"/>
          </w:tcPr>
          <w:p w14:paraId="48AD4AA9"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7</w:t>
            </w:r>
          </w:p>
        </w:tc>
        <w:tc>
          <w:tcPr>
            <w:tcW w:w="900" w:type="dxa"/>
          </w:tcPr>
          <w:p w14:paraId="3B161514" w14:textId="082289F3" w:rsidR="008D0A14" w:rsidRPr="00C17FA7" w:rsidRDefault="001027B9"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38.1</w:t>
            </w:r>
          </w:p>
        </w:tc>
        <w:tc>
          <w:tcPr>
            <w:tcW w:w="236" w:type="dxa"/>
          </w:tcPr>
          <w:p w14:paraId="59337861"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269E1275"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24</w:t>
            </w:r>
          </w:p>
        </w:tc>
        <w:tc>
          <w:tcPr>
            <w:tcW w:w="810" w:type="dxa"/>
          </w:tcPr>
          <w:p w14:paraId="1936D797" w14:textId="58F998AC" w:rsidR="008D0A14" w:rsidRPr="00C17FA7" w:rsidRDefault="00656770"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531.2</w:t>
            </w:r>
          </w:p>
        </w:tc>
        <w:tc>
          <w:tcPr>
            <w:tcW w:w="236" w:type="dxa"/>
          </w:tcPr>
          <w:p w14:paraId="67F98176"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69E88240"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21</w:t>
            </w:r>
          </w:p>
        </w:tc>
        <w:tc>
          <w:tcPr>
            <w:tcW w:w="810" w:type="dxa"/>
          </w:tcPr>
          <w:p w14:paraId="17D9D128" w14:textId="491FD790" w:rsidR="008D0A14" w:rsidRPr="00C17FA7" w:rsidRDefault="001F36B7"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189.7</w:t>
            </w:r>
          </w:p>
        </w:tc>
        <w:tc>
          <w:tcPr>
            <w:tcW w:w="270" w:type="dxa"/>
          </w:tcPr>
          <w:p w14:paraId="1A39A155"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2FEEFD64"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7</w:t>
            </w:r>
          </w:p>
        </w:tc>
        <w:tc>
          <w:tcPr>
            <w:tcW w:w="810" w:type="dxa"/>
          </w:tcPr>
          <w:p w14:paraId="7E7BB20D" w14:textId="0444E2F9" w:rsidR="008D0A14" w:rsidRPr="00C17FA7" w:rsidRDefault="005C71E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76.7</w:t>
            </w:r>
          </w:p>
        </w:tc>
        <w:tc>
          <w:tcPr>
            <w:tcW w:w="270" w:type="dxa"/>
          </w:tcPr>
          <w:p w14:paraId="6A6A9CEC"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171301D9"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7</w:t>
            </w:r>
          </w:p>
        </w:tc>
        <w:tc>
          <w:tcPr>
            <w:tcW w:w="990" w:type="dxa"/>
          </w:tcPr>
          <w:p w14:paraId="4F3A9BD3" w14:textId="7A62F325" w:rsidR="008D0A14" w:rsidRPr="00C17FA7" w:rsidRDefault="008D0A1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16</w:t>
            </w:r>
            <w:r w:rsidR="0005314F">
              <w:rPr>
                <w:rFonts w:ascii="Times New Roman" w:hAnsi="Times New Roman" w:cs="Times New Roman"/>
                <w:sz w:val="24"/>
                <w:szCs w:val="24"/>
              </w:rPr>
              <w:t>2.6</w:t>
            </w:r>
          </w:p>
        </w:tc>
        <w:tc>
          <w:tcPr>
            <w:tcW w:w="270" w:type="dxa"/>
          </w:tcPr>
          <w:p w14:paraId="1678DE1F"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35EE1764"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18</w:t>
            </w:r>
          </w:p>
        </w:tc>
        <w:tc>
          <w:tcPr>
            <w:tcW w:w="810" w:type="dxa"/>
          </w:tcPr>
          <w:p w14:paraId="0A041FCA" w14:textId="4116CB87" w:rsidR="008D0A14" w:rsidRPr="00C17FA7" w:rsidRDefault="0051129E"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r w:rsidR="00841DD9">
              <w:rPr>
                <w:rFonts w:ascii="Times New Roman" w:hAnsi="Times New Roman" w:cs="Times New Roman"/>
                <w:sz w:val="24"/>
                <w:szCs w:val="24"/>
              </w:rPr>
              <w:t>32.8</w:t>
            </w:r>
          </w:p>
        </w:tc>
        <w:tc>
          <w:tcPr>
            <w:tcW w:w="270" w:type="dxa"/>
          </w:tcPr>
          <w:p w14:paraId="5B442E4C"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61B0F000"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10</w:t>
            </w:r>
          </w:p>
        </w:tc>
        <w:tc>
          <w:tcPr>
            <w:tcW w:w="990" w:type="dxa"/>
          </w:tcPr>
          <w:p w14:paraId="5BF41A66" w14:textId="538225DC" w:rsidR="008D0A14" w:rsidRPr="00C17FA7" w:rsidRDefault="006B0E83"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151.8</w:t>
            </w:r>
          </w:p>
        </w:tc>
      </w:tr>
      <w:tr w:rsidR="00DA46F6" w:rsidRPr="00C17FA7" w14:paraId="27C0D3BD" w14:textId="77777777" w:rsidTr="00044C12">
        <w:tc>
          <w:tcPr>
            <w:tcW w:w="3330" w:type="dxa"/>
          </w:tcPr>
          <w:p w14:paraId="70E66B84" w14:textId="5C83B173" w:rsidR="008D0A14" w:rsidRPr="00C17FA7" w:rsidRDefault="008D0A14" w:rsidP="008D0A14">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w:t>
            </w:r>
            <w:r>
              <w:rPr>
                <w:rFonts w:ascii="Times New Roman" w:hAnsi="Times New Roman" w:cs="Times New Roman"/>
                <w:sz w:val="24"/>
                <w:szCs w:val="24"/>
              </w:rPr>
              <w:t xml:space="preserve"> (MU)</w:t>
            </w:r>
          </w:p>
        </w:tc>
        <w:tc>
          <w:tcPr>
            <w:tcW w:w="540" w:type="dxa"/>
          </w:tcPr>
          <w:p w14:paraId="52B7A19C"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6</w:t>
            </w:r>
          </w:p>
        </w:tc>
        <w:tc>
          <w:tcPr>
            <w:tcW w:w="900" w:type="dxa"/>
          </w:tcPr>
          <w:p w14:paraId="69BFC4D9" w14:textId="3EAE5AA4" w:rsidR="008D0A14" w:rsidRPr="00C17FA7" w:rsidRDefault="001027B9"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217.9</w:t>
            </w:r>
          </w:p>
        </w:tc>
        <w:tc>
          <w:tcPr>
            <w:tcW w:w="236" w:type="dxa"/>
          </w:tcPr>
          <w:p w14:paraId="7CEF973D"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0E89FA45"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23</w:t>
            </w:r>
          </w:p>
        </w:tc>
        <w:tc>
          <w:tcPr>
            <w:tcW w:w="810" w:type="dxa"/>
          </w:tcPr>
          <w:p w14:paraId="5E52ED53" w14:textId="228AC1E7" w:rsidR="008D0A14" w:rsidRPr="00C17FA7" w:rsidRDefault="004D00D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874.2</w:t>
            </w:r>
          </w:p>
        </w:tc>
        <w:tc>
          <w:tcPr>
            <w:tcW w:w="236" w:type="dxa"/>
          </w:tcPr>
          <w:p w14:paraId="2E677533" w14:textId="77777777" w:rsidR="008D0A14" w:rsidRPr="00C17FA7" w:rsidRDefault="008D0A14" w:rsidP="008D0A14">
            <w:pPr>
              <w:spacing w:line="480" w:lineRule="auto"/>
              <w:jc w:val="right"/>
              <w:rPr>
                <w:rFonts w:ascii="Times New Roman" w:hAnsi="Times New Roman" w:cs="Times New Roman"/>
                <w:sz w:val="24"/>
                <w:szCs w:val="24"/>
              </w:rPr>
            </w:pPr>
          </w:p>
        </w:tc>
        <w:tc>
          <w:tcPr>
            <w:tcW w:w="484" w:type="dxa"/>
          </w:tcPr>
          <w:p w14:paraId="5207FC85"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20</w:t>
            </w:r>
          </w:p>
        </w:tc>
        <w:tc>
          <w:tcPr>
            <w:tcW w:w="810" w:type="dxa"/>
          </w:tcPr>
          <w:p w14:paraId="176F4FBD" w14:textId="465ABAF1" w:rsidR="008D0A14" w:rsidRPr="00C17FA7" w:rsidRDefault="001F36B7"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187.8</w:t>
            </w:r>
          </w:p>
        </w:tc>
        <w:tc>
          <w:tcPr>
            <w:tcW w:w="270" w:type="dxa"/>
          </w:tcPr>
          <w:p w14:paraId="2452BBD6"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14FCC0BC"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6</w:t>
            </w:r>
          </w:p>
        </w:tc>
        <w:tc>
          <w:tcPr>
            <w:tcW w:w="810" w:type="dxa"/>
          </w:tcPr>
          <w:p w14:paraId="3F7AA46B" w14:textId="64352CE5" w:rsidR="008D0A14" w:rsidRPr="00C17FA7" w:rsidRDefault="005C71E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636.6</w:t>
            </w:r>
          </w:p>
        </w:tc>
        <w:tc>
          <w:tcPr>
            <w:tcW w:w="270" w:type="dxa"/>
          </w:tcPr>
          <w:p w14:paraId="5F027895"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7CD8D28D"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6</w:t>
            </w:r>
          </w:p>
        </w:tc>
        <w:tc>
          <w:tcPr>
            <w:tcW w:w="990" w:type="dxa"/>
          </w:tcPr>
          <w:p w14:paraId="2512770A" w14:textId="403D75D0" w:rsidR="008D0A14" w:rsidRPr="00C17FA7" w:rsidRDefault="008D0A14"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29</w:t>
            </w:r>
            <w:r w:rsidR="0005314F">
              <w:rPr>
                <w:rFonts w:ascii="Times New Roman" w:hAnsi="Times New Roman" w:cs="Times New Roman"/>
                <w:sz w:val="24"/>
                <w:szCs w:val="24"/>
              </w:rPr>
              <w:t>8.5</w:t>
            </w:r>
          </w:p>
        </w:tc>
        <w:tc>
          <w:tcPr>
            <w:tcW w:w="270" w:type="dxa"/>
          </w:tcPr>
          <w:p w14:paraId="506D9260"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16953B41"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17</w:t>
            </w:r>
          </w:p>
        </w:tc>
        <w:tc>
          <w:tcPr>
            <w:tcW w:w="810" w:type="dxa"/>
          </w:tcPr>
          <w:p w14:paraId="760EDFF0" w14:textId="10DD7D90" w:rsidR="008D0A14" w:rsidRPr="00C17FA7" w:rsidRDefault="0051129E"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r w:rsidR="00841DD9">
              <w:rPr>
                <w:rFonts w:ascii="Times New Roman" w:hAnsi="Times New Roman" w:cs="Times New Roman"/>
                <w:sz w:val="24"/>
                <w:szCs w:val="24"/>
              </w:rPr>
              <w:t>30.9</w:t>
            </w:r>
          </w:p>
        </w:tc>
        <w:tc>
          <w:tcPr>
            <w:tcW w:w="270" w:type="dxa"/>
          </w:tcPr>
          <w:p w14:paraId="33B1E449" w14:textId="77777777" w:rsidR="008D0A14" w:rsidRPr="00C17FA7" w:rsidRDefault="008D0A14" w:rsidP="008D0A14">
            <w:pPr>
              <w:spacing w:line="480" w:lineRule="auto"/>
              <w:jc w:val="right"/>
              <w:rPr>
                <w:rFonts w:ascii="Times New Roman" w:hAnsi="Times New Roman" w:cs="Times New Roman"/>
                <w:sz w:val="24"/>
                <w:szCs w:val="24"/>
              </w:rPr>
            </w:pPr>
          </w:p>
        </w:tc>
        <w:tc>
          <w:tcPr>
            <w:tcW w:w="540" w:type="dxa"/>
          </w:tcPr>
          <w:p w14:paraId="4A8FA627" w14:textId="77777777" w:rsidR="008D0A14" w:rsidRPr="00C17FA7" w:rsidRDefault="008D0A14" w:rsidP="008D0A14">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9</w:t>
            </w:r>
          </w:p>
        </w:tc>
        <w:tc>
          <w:tcPr>
            <w:tcW w:w="990" w:type="dxa"/>
          </w:tcPr>
          <w:p w14:paraId="03E5F3A6" w14:textId="6A26A79E" w:rsidR="008D0A14" w:rsidRPr="00C17FA7" w:rsidRDefault="006B0E83" w:rsidP="008D0A14">
            <w:pPr>
              <w:spacing w:line="480" w:lineRule="auto"/>
              <w:jc w:val="right"/>
              <w:rPr>
                <w:rFonts w:ascii="Times New Roman" w:hAnsi="Times New Roman" w:cs="Times New Roman"/>
                <w:sz w:val="24"/>
                <w:szCs w:val="24"/>
              </w:rPr>
            </w:pPr>
            <w:r>
              <w:rPr>
                <w:rFonts w:ascii="Times New Roman" w:hAnsi="Times New Roman" w:cs="Times New Roman"/>
                <w:sz w:val="24"/>
                <w:szCs w:val="24"/>
              </w:rPr>
              <w:t>279.9</w:t>
            </w:r>
          </w:p>
        </w:tc>
      </w:tr>
      <w:tr w:rsidR="00DA46F6" w:rsidRPr="00C17FA7" w14:paraId="56581FFF" w14:textId="77777777" w:rsidTr="00044C12">
        <w:tc>
          <w:tcPr>
            <w:tcW w:w="3330" w:type="dxa"/>
          </w:tcPr>
          <w:p w14:paraId="41A12F55" w14:textId="1D430571" w:rsidR="006B0E83" w:rsidRPr="00786E77" w:rsidRDefault="006B0E83" w:rsidP="006B0E83">
            <w:pPr>
              <w:spacing w:line="480" w:lineRule="auto"/>
              <w:rPr>
                <w:rFonts w:ascii="Times New Roman" w:hAnsi="Times New Roman" w:cs="Times New Roman"/>
                <w:sz w:val="24"/>
                <w:szCs w:val="24"/>
              </w:rPr>
            </w:pPr>
            <w:r w:rsidRPr="00786E77">
              <w:rPr>
                <w:rFonts w:ascii="Times New Roman" w:hAnsi="Times New Roman" w:cs="Times New Roman"/>
                <w:sz w:val="24"/>
                <w:szCs w:val="24"/>
              </w:rPr>
              <w:t xml:space="preserve"> Year, DOY, DOY</w:t>
            </w:r>
            <w:r w:rsidRPr="00786E77">
              <w:rPr>
                <w:rFonts w:ascii="Times New Roman" w:hAnsi="Times New Roman" w:cs="Times New Roman"/>
                <w:sz w:val="24"/>
                <w:szCs w:val="24"/>
                <w:vertAlign w:val="superscript"/>
              </w:rPr>
              <w:t>2</w:t>
            </w:r>
            <w:r w:rsidRPr="00786E77">
              <w:rPr>
                <w:rFonts w:ascii="Times New Roman" w:hAnsi="Times New Roman" w:cs="Times New Roman"/>
                <w:sz w:val="24"/>
                <w:szCs w:val="24"/>
              </w:rPr>
              <w:t xml:space="preserve"> (MU × Y</w:t>
            </w:r>
            <w:r w:rsidRPr="00A71B45">
              <w:rPr>
                <w:rFonts w:ascii="Times New Roman" w:hAnsi="Times New Roman" w:cs="Times New Roman"/>
                <w:sz w:val="24"/>
                <w:szCs w:val="24"/>
              </w:rPr>
              <w:t>ear</w:t>
            </w:r>
            <w:r>
              <w:rPr>
                <w:rFonts w:ascii="Times New Roman" w:hAnsi="Times New Roman" w:cs="Times New Roman"/>
                <w:sz w:val="24"/>
                <w:szCs w:val="24"/>
              </w:rPr>
              <w:t>)</w:t>
            </w:r>
          </w:p>
        </w:tc>
        <w:tc>
          <w:tcPr>
            <w:tcW w:w="540" w:type="dxa"/>
          </w:tcPr>
          <w:p w14:paraId="5FA1AAEA" w14:textId="1E4E3B0C"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900" w:type="dxa"/>
          </w:tcPr>
          <w:p w14:paraId="5826C772" w14:textId="41ED05D9"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0.4</w:t>
            </w:r>
          </w:p>
        </w:tc>
        <w:tc>
          <w:tcPr>
            <w:tcW w:w="236" w:type="dxa"/>
          </w:tcPr>
          <w:p w14:paraId="62BE4497" w14:textId="77777777" w:rsidR="006B0E83" w:rsidRPr="00C17FA7" w:rsidRDefault="006B0E83" w:rsidP="006B0E83">
            <w:pPr>
              <w:spacing w:line="480" w:lineRule="auto"/>
              <w:jc w:val="right"/>
              <w:rPr>
                <w:rFonts w:ascii="Times New Roman" w:hAnsi="Times New Roman" w:cs="Times New Roman"/>
                <w:sz w:val="24"/>
                <w:szCs w:val="24"/>
              </w:rPr>
            </w:pPr>
          </w:p>
        </w:tc>
        <w:tc>
          <w:tcPr>
            <w:tcW w:w="484" w:type="dxa"/>
          </w:tcPr>
          <w:p w14:paraId="385A4F70" w14:textId="0EB4CE20"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10" w:type="dxa"/>
          </w:tcPr>
          <w:p w14:paraId="7BA65BD1" w14:textId="16315B96"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36" w:type="dxa"/>
          </w:tcPr>
          <w:p w14:paraId="381D62DA" w14:textId="77777777" w:rsidR="006B0E83" w:rsidRPr="00C17FA7" w:rsidRDefault="006B0E83" w:rsidP="006B0E83">
            <w:pPr>
              <w:spacing w:line="480" w:lineRule="auto"/>
              <w:jc w:val="right"/>
              <w:rPr>
                <w:rFonts w:ascii="Times New Roman" w:hAnsi="Times New Roman" w:cs="Times New Roman"/>
                <w:sz w:val="24"/>
                <w:szCs w:val="24"/>
              </w:rPr>
            </w:pPr>
          </w:p>
        </w:tc>
        <w:tc>
          <w:tcPr>
            <w:tcW w:w="484" w:type="dxa"/>
          </w:tcPr>
          <w:p w14:paraId="5A661DD6" w14:textId="7A2A223D" w:rsidR="006B0E83" w:rsidRPr="00C17FA7" w:rsidRDefault="006B0E83" w:rsidP="006B0E83">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22</w:t>
            </w:r>
          </w:p>
        </w:tc>
        <w:tc>
          <w:tcPr>
            <w:tcW w:w="810" w:type="dxa"/>
          </w:tcPr>
          <w:p w14:paraId="1A937003" w14:textId="712B7457"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253CF1B1" w14:textId="77777777" w:rsidR="006B0E83" w:rsidRPr="00C17FA7" w:rsidRDefault="006B0E83" w:rsidP="006B0E83">
            <w:pPr>
              <w:spacing w:line="480" w:lineRule="auto"/>
              <w:jc w:val="right"/>
              <w:rPr>
                <w:rFonts w:ascii="Times New Roman" w:hAnsi="Times New Roman" w:cs="Times New Roman"/>
                <w:sz w:val="24"/>
                <w:szCs w:val="24"/>
              </w:rPr>
            </w:pPr>
          </w:p>
        </w:tc>
        <w:tc>
          <w:tcPr>
            <w:tcW w:w="540" w:type="dxa"/>
          </w:tcPr>
          <w:p w14:paraId="2E10DB88" w14:textId="08019E3E" w:rsidR="006B0E83" w:rsidRPr="00C17FA7" w:rsidRDefault="006B0E83" w:rsidP="006B0E83">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8</w:t>
            </w:r>
          </w:p>
        </w:tc>
        <w:tc>
          <w:tcPr>
            <w:tcW w:w="810" w:type="dxa"/>
          </w:tcPr>
          <w:p w14:paraId="57C2CE24" w14:textId="25EBD176"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676B1DD5" w14:textId="77777777" w:rsidR="006B0E83" w:rsidRPr="00C17FA7" w:rsidRDefault="006B0E83" w:rsidP="006B0E83">
            <w:pPr>
              <w:spacing w:line="480" w:lineRule="auto"/>
              <w:jc w:val="right"/>
              <w:rPr>
                <w:rFonts w:ascii="Times New Roman" w:hAnsi="Times New Roman" w:cs="Times New Roman"/>
                <w:sz w:val="24"/>
                <w:szCs w:val="24"/>
              </w:rPr>
            </w:pPr>
          </w:p>
        </w:tc>
        <w:tc>
          <w:tcPr>
            <w:tcW w:w="540" w:type="dxa"/>
          </w:tcPr>
          <w:p w14:paraId="13645DA8" w14:textId="0CCFBFDB" w:rsidR="006B0E83" w:rsidRPr="00C17FA7" w:rsidRDefault="006B0E83" w:rsidP="006B0E83">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8</w:t>
            </w:r>
          </w:p>
        </w:tc>
        <w:tc>
          <w:tcPr>
            <w:tcW w:w="990" w:type="dxa"/>
          </w:tcPr>
          <w:p w14:paraId="0C69B161" w14:textId="3A168262"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4DC68452" w14:textId="77777777" w:rsidR="006B0E83" w:rsidRPr="00C17FA7" w:rsidRDefault="006B0E83" w:rsidP="006B0E83">
            <w:pPr>
              <w:spacing w:line="480" w:lineRule="auto"/>
              <w:jc w:val="right"/>
              <w:rPr>
                <w:rFonts w:ascii="Times New Roman" w:hAnsi="Times New Roman" w:cs="Times New Roman"/>
                <w:sz w:val="24"/>
                <w:szCs w:val="24"/>
              </w:rPr>
            </w:pPr>
          </w:p>
        </w:tc>
        <w:tc>
          <w:tcPr>
            <w:tcW w:w="540" w:type="dxa"/>
          </w:tcPr>
          <w:p w14:paraId="53CF0C76" w14:textId="075DA786" w:rsidR="006B0E83" w:rsidRPr="00C17FA7" w:rsidRDefault="006B0E83" w:rsidP="006B0E83">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19</w:t>
            </w:r>
          </w:p>
        </w:tc>
        <w:tc>
          <w:tcPr>
            <w:tcW w:w="810" w:type="dxa"/>
          </w:tcPr>
          <w:p w14:paraId="491E006E" w14:textId="6E58FDCF" w:rsidR="006B0E83" w:rsidRPr="00C17FA7" w:rsidRDefault="006B0E83"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1F035594" w14:textId="77777777" w:rsidR="006B0E83" w:rsidRPr="00C17FA7" w:rsidRDefault="006B0E83" w:rsidP="006B0E83">
            <w:pPr>
              <w:spacing w:line="480" w:lineRule="auto"/>
              <w:jc w:val="right"/>
              <w:rPr>
                <w:rFonts w:ascii="Times New Roman" w:hAnsi="Times New Roman" w:cs="Times New Roman"/>
                <w:sz w:val="24"/>
                <w:szCs w:val="24"/>
              </w:rPr>
            </w:pPr>
          </w:p>
        </w:tc>
        <w:tc>
          <w:tcPr>
            <w:tcW w:w="540" w:type="dxa"/>
          </w:tcPr>
          <w:p w14:paraId="5DF6CB88" w14:textId="3819DF75" w:rsidR="006B0E83" w:rsidRPr="00C17FA7" w:rsidRDefault="006B0E83" w:rsidP="006B0E83">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11</w:t>
            </w:r>
          </w:p>
        </w:tc>
        <w:tc>
          <w:tcPr>
            <w:tcW w:w="990" w:type="dxa"/>
          </w:tcPr>
          <w:p w14:paraId="5FEB0628" w14:textId="58BCC53E" w:rsidR="006B0E83" w:rsidRPr="00C17FA7" w:rsidRDefault="00100C71" w:rsidP="006B0E83">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r>
      <w:tr w:rsidR="00DA46F6" w:rsidRPr="00C17FA7" w14:paraId="7147C9B3" w14:textId="77777777" w:rsidTr="00044C12">
        <w:tc>
          <w:tcPr>
            <w:tcW w:w="3330" w:type="dxa"/>
          </w:tcPr>
          <w:p w14:paraId="0DD04FF5" w14:textId="0CD3C379" w:rsidR="00100C71" w:rsidRPr="00C17FA7" w:rsidRDefault="00100C71" w:rsidP="00100C71">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w:t>
            </w:r>
            <w:r>
              <w:rPr>
                <w:rFonts w:ascii="Times New Roman" w:hAnsi="Times New Roman" w:cs="Times New Roman"/>
                <w:sz w:val="24"/>
                <w:szCs w:val="24"/>
              </w:rPr>
              <w:t xml:space="preserve"> </w:t>
            </w:r>
            <w:r w:rsidRPr="00786E77">
              <w:rPr>
                <w:rFonts w:ascii="Times New Roman" w:hAnsi="Times New Roman" w:cs="Times New Roman"/>
                <w:sz w:val="24"/>
                <w:szCs w:val="24"/>
              </w:rPr>
              <w:t>(MU × Y</w:t>
            </w:r>
            <w:r w:rsidRPr="00E56488">
              <w:rPr>
                <w:rFonts w:ascii="Times New Roman" w:hAnsi="Times New Roman" w:cs="Times New Roman"/>
                <w:sz w:val="24"/>
                <w:szCs w:val="24"/>
              </w:rPr>
              <w:t>ear</w:t>
            </w:r>
            <w:r>
              <w:rPr>
                <w:rFonts w:ascii="Times New Roman" w:hAnsi="Times New Roman" w:cs="Times New Roman"/>
                <w:sz w:val="24"/>
                <w:szCs w:val="24"/>
              </w:rPr>
              <w:t>)</w:t>
            </w:r>
          </w:p>
        </w:tc>
        <w:tc>
          <w:tcPr>
            <w:tcW w:w="540" w:type="dxa"/>
          </w:tcPr>
          <w:p w14:paraId="0B982713" w14:textId="33059CFC"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900" w:type="dxa"/>
          </w:tcPr>
          <w:p w14:paraId="671FB8CD" w14:textId="53CACECB"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36" w:type="dxa"/>
          </w:tcPr>
          <w:p w14:paraId="47017374" w14:textId="77777777" w:rsidR="00100C71" w:rsidRPr="00C17FA7" w:rsidRDefault="00100C71" w:rsidP="00100C71">
            <w:pPr>
              <w:spacing w:line="480" w:lineRule="auto"/>
              <w:jc w:val="right"/>
              <w:rPr>
                <w:rFonts w:ascii="Times New Roman" w:hAnsi="Times New Roman" w:cs="Times New Roman"/>
                <w:sz w:val="24"/>
                <w:szCs w:val="24"/>
              </w:rPr>
            </w:pPr>
          </w:p>
        </w:tc>
        <w:tc>
          <w:tcPr>
            <w:tcW w:w="484" w:type="dxa"/>
          </w:tcPr>
          <w:p w14:paraId="1DB700F6" w14:textId="0D342D00"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10" w:type="dxa"/>
          </w:tcPr>
          <w:p w14:paraId="10AC8C5A" w14:textId="1C26BE5A" w:rsidR="00100C71" w:rsidRPr="00C17FA7" w:rsidRDefault="004D00D4"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43.3</w:t>
            </w:r>
          </w:p>
        </w:tc>
        <w:tc>
          <w:tcPr>
            <w:tcW w:w="236" w:type="dxa"/>
          </w:tcPr>
          <w:p w14:paraId="469107E6" w14:textId="77777777" w:rsidR="00100C71" w:rsidRPr="00C17FA7" w:rsidRDefault="00100C71" w:rsidP="00100C71">
            <w:pPr>
              <w:spacing w:line="480" w:lineRule="auto"/>
              <w:jc w:val="right"/>
              <w:rPr>
                <w:rFonts w:ascii="Times New Roman" w:hAnsi="Times New Roman" w:cs="Times New Roman"/>
                <w:sz w:val="24"/>
                <w:szCs w:val="24"/>
              </w:rPr>
            </w:pPr>
          </w:p>
        </w:tc>
        <w:tc>
          <w:tcPr>
            <w:tcW w:w="484" w:type="dxa"/>
          </w:tcPr>
          <w:p w14:paraId="44E8ED07" w14:textId="1FB24747"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21</w:t>
            </w:r>
          </w:p>
        </w:tc>
        <w:tc>
          <w:tcPr>
            <w:tcW w:w="810" w:type="dxa"/>
          </w:tcPr>
          <w:p w14:paraId="36DA03A7" w14:textId="4949FD0C"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43.4</w:t>
            </w:r>
          </w:p>
        </w:tc>
        <w:tc>
          <w:tcPr>
            <w:tcW w:w="270" w:type="dxa"/>
          </w:tcPr>
          <w:p w14:paraId="64CAFCE6"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Pr>
          <w:p w14:paraId="5A54FE96" w14:textId="118F7259"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7</w:t>
            </w:r>
          </w:p>
        </w:tc>
        <w:tc>
          <w:tcPr>
            <w:tcW w:w="810" w:type="dxa"/>
          </w:tcPr>
          <w:p w14:paraId="09B7A413" w14:textId="6F3CB588"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76.8</w:t>
            </w:r>
          </w:p>
        </w:tc>
        <w:tc>
          <w:tcPr>
            <w:tcW w:w="270" w:type="dxa"/>
          </w:tcPr>
          <w:p w14:paraId="651E2FBD"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Pr>
          <w:p w14:paraId="521A4066" w14:textId="2ED6D787"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7</w:t>
            </w:r>
          </w:p>
        </w:tc>
        <w:tc>
          <w:tcPr>
            <w:tcW w:w="990" w:type="dxa"/>
          </w:tcPr>
          <w:p w14:paraId="5425619E" w14:textId="15614FA6" w:rsidR="00100C71" w:rsidRPr="00C17FA7" w:rsidRDefault="0005314F"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12.8</w:t>
            </w:r>
          </w:p>
        </w:tc>
        <w:tc>
          <w:tcPr>
            <w:tcW w:w="270" w:type="dxa"/>
          </w:tcPr>
          <w:p w14:paraId="391EDF10"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Pr>
          <w:p w14:paraId="70603B88" w14:textId="59171BDC"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18</w:t>
            </w:r>
          </w:p>
        </w:tc>
        <w:tc>
          <w:tcPr>
            <w:tcW w:w="810" w:type="dxa"/>
          </w:tcPr>
          <w:p w14:paraId="36D8BEA0" w14:textId="51395BAF"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4</w:t>
            </w:r>
            <w:r w:rsidR="00841DD9">
              <w:rPr>
                <w:rFonts w:ascii="Times New Roman" w:hAnsi="Times New Roman" w:cs="Times New Roman"/>
                <w:sz w:val="24"/>
                <w:szCs w:val="24"/>
              </w:rPr>
              <w:t>7.1</w:t>
            </w:r>
          </w:p>
        </w:tc>
        <w:tc>
          <w:tcPr>
            <w:tcW w:w="270" w:type="dxa"/>
          </w:tcPr>
          <w:p w14:paraId="3415E175"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Pr>
          <w:p w14:paraId="46771D78" w14:textId="7B52B8CA"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10</w:t>
            </w:r>
          </w:p>
        </w:tc>
        <w:tc>
          <w:tcPr>
            <w:tcW w:w="990" w:type="dxa"/>
          </w:tcPr>
          <w:p w14:paraId="62B267DF" w14:textId="3C3B8829"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68.1</w:t>
            </w:r>
          </w:p>
        </w:tc>
      </w:tr>
      <w:tr w:rsidR="00DA46F6" w:rsidRPr="00C17FA7" w14:paraId="49225852" w14:textId="77777777" w:rsidTr="00044C12">
        <w:tc>
          <w:tcPr>
            <w:tcW w:w="3330" w:type="dxa"/>
            <w:tcBorders>
              <w:bottom w:val="single" w:sz="4" w:space="0" w:color="auto"/>
            </w:tcBorders>
          </w:tcPr>
          <w:p w14:paraId="6A11C33F" w14:textId="6305E003" w:rsidR="00100C71" w:rsidRPr="00C17FA7" w:rsidRDefault="00100C71" w:rsidP="00100C71">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w:t>
            </w:r>
            <w:r>
              <w:rPr>
                <w:rFonts w:ascii="Times New Roman" w:hAnsi="Times New Roman" w:cs="Times New Roman"/>
                <w:sz w:val="24"/>
                <w:szCs w:val="24"/>
              </w:rPr>
              <w:t xml:space="preserve"> </w:t>
            </w:r>
            <w:r w:rsidRPr="00786E77">
              <w:rPr>
                <w:rFonts w:ascii="Times New Roman" w:hAnsi="Times New Roman" w:cs="Times New Roman"/>
                <w:sz w:val="24"/>
                <w:szCs w:val="24"/>
              </w:rPr>
              <w:t>(MU × Y</w:t>
            </w:r>
            <w:r w:rsidRPr="00E56488">
              <w:rPr>
                <w:rFonts w:ascii="Times New Roman" w:hAnsi="Times New Roman" w:cs="Times New Roman"/>
                <w:sz w:val="24"/>
                <w:szCs w:val="24"/>
              </w:rPr>
              <w:t>ear</w:t>
            </w:r>
            <w:r>
              <w:rPr>
                <w:rFonts w:ascii="Times New Roman" w:hAnsi="Times New Roman" w:cs="Times New Roman"/>
                <w:sz w:val="24"/>
                <w:szCs w:val="24"/>
              </w:rPr>
              <w:t>)</w:t>
            </w:r>
          </w:p>
        </w:tc>
        <w:tc>
          <w:tcPr>
            <w:tcW w:w="540" w:type="dxa"/>
            <w:tcBorders>
              <w:bottom w:val="single" w:sz="4" w:space="0" w:color="auto"/>
            </w:tcBorders>
          </w:tcPr>
          <w:p w14:paraId="467C4564" w14:textId="3A672BC4"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900" w:type="dxa"/>
            <w:tcBorders>
              <w:bottom w:val="single" w:sz="4" w:space="0" w:color="auto"/>
            </w:tcBorders>
          </w:tcPr>
          <w:p w14:paraId="287EF0AF" w14:textId="78CCA2BB"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183.7</w:t>
            </w:r>
          </w:p>
        </w:tc>
        <w:tc>
          <w:tcPr>
            <w:tcW w:w="236" w:type="dxa"/>
            <w:tcBorders>
              <w:bottom w:val="single" w:sz="4" w:space="0" w:color="auto"/>
            </w:tcBorders>
          </w:tcPr>
          <w:p w14:paraId="28E43DDF" w14:textId="77777777" w:rsidR="00100C71" w:rsidRPr="00C17FA7" w:rsidRDefault="00100C71" w:rsidP="00100C71">
            <w:pPr>
              <w:spacing w:line="480" w:lineRule="auto"/>
              <w:jc w:val="right"/>
              <w:rPr>
                <w:rFonts w:ascii="Times New Roman" w:hAnsi="Times New Roman" w:cs="Times New Roman"/>
                <w:sz w:val="24"/>
                <w:szCs w:val="24"/>
              </w:rPr>
            </w:pPr>
          </w:p>
        </w:tc>
        <w:tc>
          <w:tcPr>
            <w:tcW w:w="484" w:type="dxa"/>
            <w:tcBorders>
              <w:bottom w:val="single" w:sz="4" w:space="0" w:color="auto"/>
            </w:tcBorders>
          </w:tcPr>
          <w:p w14:paraId="572654C0" w14:textId="66E910C8"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10" w:type="dxa"/>
            <w:tcBorders>
              <w:bottom w:val="single" w:sz="4" w:space="0" w:color="auto"/>
            </w:tcBorders>
          </w:tcPr>
          <w:p w14:paraId="748E2130" w14:textId="207F3440" w:rsidR="00100C71" w:rsidRPr="00C17FA7" w:rsidRDefault="004D00D4"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380.0</w:t>
            </w:r>
          </w:p>
        </w:tc>
        <w:tc>
          <w:tcPr>
            <w:tcW w:w="236" w:type="dxa"/>
            <w:tcBorders>
              <w:bottom w:val="single" w:sz="4" w:space="0" w:color="auto"/>
            </w:tcBorders>
          </w:tcPr>
          <w:p w14:paraId="0B9C2DAB" w14:textId="77777777" w:rsidR="00100C71" w:rsidRPr="00C17FA7" w:rsidRDefault="00100C71" w:rsidP="00100C71">
            <w:pPr>
              <w:spacing w:line="480" w:lineRule="auto"/>
              <w:jc w:val="right"/>
              <w:rPr>
                <w:rFonts w:ascii="Times New Roman" w:hAnsi="Times New Roman" w:cs="Times New Roman"/>
                <w:sz w:val="24"/>
                <w:szCs w:val="24"/>
              </w:rPr>
            </w:pPr>
          </w:p>
        </w:tc>
        <w:tc>
          <w:tcPr>
            <w:tcW w:w="484" w:type="dxa"/>
            <w:tcBorders>
              <w:bottom w:val="single" w:sz="4" w:space="0" w:color="auto"/>
            </w:tcBorders>
          </w:tcPr>
          <w:p w14:paraId="0190BD16" w14:textId="639E65B6"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20</w:t>
            </w:r>
          </w:p>
        </w:tc>
        <w:tc>
          <w:tcPr>
            <w:tcW w:w="810" w:type="dxa"/>
            <w:tcBorders>
              <w:bottom w:val="single" w:sz="4" w:space="0" w:color="auto"/>
            </w:tcBorders>
          </w:tcPr>
          <w:p w14:paraId="28B29ECE" w14:textId="13620B0F"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41.8</w:t>
            </w:r>
          </w:p>
        </w:tc>
        <w:tc>
          <w:tcPr>
            <w:tcW w:w="270" w:type="dxa"/>
            <w:tcBorders>
              <w:bottom w:val="single" w:sz="4" w:space="0" w:color="auto"/>
            </w:tcBorders>
          </w:tcPr>
          <w:p w14:paraId="678305F3"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28881AB3" w14:textId="12B87BBB"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6</w:t>
            </w:r>
          </w:p>
        </w:tc>
        <w:tc>
          <w:tcPr>
            <w:tcW w:w="810" w:type="dxa"/>
            <w:tcBorders>
              <w:bottom w:val="single" w:sz="4" w:space="0" w:color="auto"/>
            </w:tcBorders>
          </w:tcPr>
          <w:p w14:paraId="087517E7" w14:textId="60205D8E"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633.6</w:t>
            </w:r>
          </w:p>
        </w:tc>
        <w:tc>
          <w:tcPr>
            <w:tcW w:w="270" w:type="dxa"/>
            <w:tcBorders>
              <w:bottom w:val="single" w:sz="4" w:space="0" w:color="auto"/>
            </w:tcBorders>
          </w:tcPr>
          <w:p w14:paraId="0F22A85A"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3FA13759" w14:textId="271136C4"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6</w:t>
            </w:r>
          </w:p>
        </w:tc>
        <w:tc>
          <w:tcPr>
            <w:tcW w:w="990" w:type="dxa"/>
            <w:tcBorders>
              <w:bottom w:val="single" w:sz="4" w:space="0" w:color="auto"/>
            </w:tcBorders>
          </w:tcPr>
          <w:p w14:paraId="26D52315" w14:textId="4B042F66"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r w:rsidR="0005314F">
              <w:rPr>
                <w:rFonts w:ascii="Times New Roman" w:hAnsi="Times New Roman" w:cs="Times New Roman"/>
                <w:sz w:val="24"/>
                <w:szCs w:val="24"/>
              </w:rPr>
              <w:t>39.0</w:t>
            </w:r>
          </w:p>
        </w:tc>
        <w:tc>
          <w:tcPr>
            <w:tcW w:w="270" w:type="dxa"/>
            <w:tcBorders>
              <w:bottom w:val="single" w:sz="4" w:space="0" w:color="auto"/>
            </w:tcBorders>
          </w:tcPr>
          <w:p w14:paraId="59AF969F"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4032423B" w14:textId="6E137414"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17</w:t>
            </w:r>
          </w:p>
        </w:tc>
        <w:tc>
          <w:tcPr>
            <w:tcW w:w="810" w:type="dxa"/>
            <w:tcBorders>
              <w:bottom w:val="single" w:sz="4" w:space="0" w:color="auto"/>
            </w:tcBorders>
          </w:tcPr>
          <w:p w14:paraId="63239D8F" w14:textId="7A9B4613"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4</w:t>
            </w:r>
            <w:r w:rsidR="00841DD9">
              <w:rPr>
                <w:rFonts w:ascii="Times New Roman" w:hAnsi="Times New Roman" w:cs="Times New Roman"/>
                <w:sz w:val="24"/>
                <w:szCs w:val="24"/>
              </w:rPr>
              <w:t>5.1</w:t>
            </w:r>
          </w:p>
        </w:tc>
        <w:tc>
          <w:tcPr>
            <w:tcW w:w="270" w:type="dxa"/>
            <w:tcBorders>
              <w:bottom w:val="single" w:sz="4" w:space="0" w:color="auto"/>
            </w:tcBorders>
          </w:tcPr>
          <w:p w14:paraId="686065C4" w14:textId="77777777" w:rsidR="00100C71" w:rsidRPr="00C17FA7" w:rsidRDefault="00100C71" w:rsidP="00100C71">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552D02D8" w14:textId="12098AA8" w:rsidR="00100C71" w:rsidRPr="00C17FA7" w:rsidRDefault="00100C71" w:rsidP="00100C71">
            <w:pPr>
              <w:spacing w:line="480" w:lineRule="auto"/>
              <w:jc w:val="right"/>
              <w:rPr>
                <w:rFonts w:ascii="Times New Roman" w:hAnsi="Times New Roman" w:cs="Times New Roman"/>
                <w:sz w:val="24"/>
                <w:szCs w:val="24"/>
              </w:rPr>
            </w:pPr>
            <w:r w:rsidRPr="00C17FA7">
              <w:rPr>
                <w:rFonts w:ascii="Times New Roman" w:hAnsi="Times New Roman" w:cs="Times New Roman"/>
                <w:sz w:val="24"/>
                <w:szCs w:val="24"/>
              </w:rPr>
              <w:t>9</w:t>
            </w:r>
          </w:p>
        </w:tc>
        <w:tc>
          <w:tcPr>
            <w:tcW w:w="990" w:type="dxa"/>
            <w:tcBorders>
              <w:bottom w:val="single" w:sz="4" w:space="0" w:color="auto"/>
            </w:tcBorders>
          </w:tcPr>
          <w:p w14:paraId="3AD2EEDD" w14:textId="52E36B01" w:rsidR="00100C71" w:rsidRPr="00C17FA7" w:rsidRDefault="00100C71" w:rsidP="00100C71">
            <w:pPr>
              <w:spacing w:line="480" w:lineRule="auto"/>
              <w:jc w:val="right"/>
              <w:rPr>
                <w:rFonts w:ascii="Times New Roman" w:hAnsi="Times New Roman" w:cs="Times New Roman"/>
                <w:sz w:val="24"/>
                <w:szCs w:val="24"/>
              </w:rPr>
            </w:pPr>
            <w:r>
              <w:rPr>
                <w:rFonts w:ascii="Times New Roman" w:hAnsi="Times New Roman" w:cs="Times New Roman"/>
                <w:sz w:val="24"/>
                <w:szCs w:val="24"/>
              </w:rPr>
              <w:t>184.8</w:t>
            </w:r>
          </w:p>
        </w:tc>
      </w:tr>
    </w:tbl>
    <w:p w14:paraId="45A318EE" w14:textId="77777777" w:rsidR="00927C7B" w:rsidRDefault="00927C7B" w:rsidP="00DE3DFB">
      <w:pPr>
        <w:pStyle w:val="HTMLPreformatted"/>
        <w:shd w:val="clear" w:color="auto" w:fill="FFFFFF"/>
        <w:rPr>
          <w:rFonts w:ascii="Lucida Console" w:hAnsi="Lucida Console"/>
          <w:color w:val="000000"/>
        </w:rPr>
      </w:pPr>
    </w:p>
    <w:p w14:paraId="2E833739" w14:textId="0055F1A2" w:rsidR="00927C7B" w:rsidRDefault="00583203" w:rsidP="00DE3DFB">
      <w:pPr>
        <w:spacing w:line="240" w:lineRule="auto"/>
      </w:pPr>
      <w:proofErr w:type="gramStart"/>
      <w:r>
        <w:rPr>
          <w:vertAlign w:val="superscript"/>
        </w:rPr>
        <w:t>a</w:t>
      </w:r>
      <w:r w:rsidR="00927C7B">
        <w:t xml:space="preserve"> Number of</w:t>
      </w:r>
      <w:proofErr w:type="gramEnd"/>
      <w:r w:rsidR="00927C7B">
        <w:t xml:space="preserve"> parameters in the model. </w:t>
      </w:r>
    </w:p>
    <w:p w14:paraId="14C0CBDA" w14:textId="4AE2F3B2" w:rsidR="00DB6C65" w:rsidRDefault="00583203">
      <w:pPr>
        <w:spacing w:line="240" w:lineRule="auto"/>
      </w:pPr>
      <w:r>
        <w:rPr>
          <w:vertAlign w:val="superscript"/>
        </w:rPr>
        <w:t>b</w:t>
      </w:r>
      <w:r w:rsidR="00927C7B">
        <w:t xml:space="preserve"> Difference in Akaike’s information criterion (AIC) compared to the model with the lowest AIC value</w:t>
      </w:r>
      <w:r w:rsidR="00734414">
        <w:t>.</w:t>
      </w:r>
    </w:p>
    <w:p w14:paraId="56E12FB0" w14:textId="6D789C9C" w:rsidR="00F909E9" w:rsidRDefault="00A71B45" w:rsidP="00430A47">
      <w:pPr>
        <w:spacing w:line="480" w:lineRule="auto"/>
      </w:pPr>
      <w:r>
        <w:rPr>
          <w:vertAlign w:val="superscript"/>
        </w:rPr>
        <w:t>c</w:t>
      </w:r>
      <w:r w:rsidR="00F909E9">
        <w:t xml:space="preserve"> </w:t>
      </w:r>
      <w:r w:rsidR="00AD0285">
        <w:t xml:space="preserve">Year was categorical, DOY </w:t>
      </w:r>
      <w:r w:rsidR="002977B4">
        <w:t xml:space="preserve">was </w:t>
      </w:r>
      <w:r w:rsidR="00AD0285">
        <w:t>calendar day</w:t>
      </w:r>
      <w:r w:rsidR="00F02998">
        <w:t xml:space="preserve">, and MU </w:t>
      </w:r>
      <w:r w:rsidR="002977B4">
        <w:t xml:space="preserve">was </w:t>
      </w:r>
      <w:r w:rsidR="00F02998">
        <w:t xml:space="preserve">management unit. Variables in parentheses </w:t>
      </w:r>
      <w:r w:rsidR="002977B4">
        <w:t xml:space="preserve">describe </w:t>
      </w:r>
      <w:r w:rsidR="00F02998">
        <w:t>random effect</w:t>
      </w:r>
      <w:r w:rsidR="002977B4">
        <w:t xml:space="preserve"> patterns (see Methods)</w:t>
      </w:r>
      <w:r w:rsidR="00F909E9">
        <w:t>.</w:t>
      </w:r>
    </w:p>
    <w:p w14:paraId="39A4AB90" w14:textId="437174F8" w:rsidR="00A71B45" w:rsidRDefault="00A71B45" w:rsidP="00A71B45">
      <w:pPr>
        <w:spacing w:line="480" w:lineRule="auto"/>
      </w:pPr>
      <w:r>
        <w:br w:type="column"/>
      </w:r>
      <w:r>
        <w:lastRenderedPageBreak/>
        <w:t>Table 4. Model selection results for models of the number of poults per brood that did not include repeat observations of wild turkey (</w:t>
      </w:r>
      <w:r w:rsidRPr="001164C5">
        <w:rPr>
          <w:i/>
          <w:iCs/>
        </w:rPr>
        <w:t>Meleagris gall</w:t>
      </w:r>
      <w:r>
        <w:rPr>
          <w:i/>
          <w:iCs/>
        </w:rPr>
        <w:t>o</w:t>
      </w:r>
      <w:r w:rsidRPr="001164C5">
        <w:rPr>
          <w:i/>
          <w:iCs/>
        </w:rPr>
        <w:t>pavo</w:t>
      </w:r>
      <w:r>
        <w:t>) during summer sighting surveys in mid-Atlantic states, 2000–2023.</w:t>
      </w:r>
      <w:r>
        <w:tab/>
      </w:r>
    </w:p>
    <w:tbl>
      <w:tblPr>
        <w:tblStyle w:val="TableGrid"/>
        <w:tblW w:w="14580"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540"/>
        <w:gridCol w:w="900"/>
        <w:gridCol w:w="236"/>
        <w:gridCol w:w="484"/>
        <w:gridCol w:w="810"/>
        <w:gridCol w:w="236"/>
        <w:gridCol w:w="484"/>
        <w:gridCol w:w="810"/>
        <w:gridCol w:w="270"/>
        <w:gridCol w:w="540"/>
        <w:gridCol w:w="810"/>
        <w:gridCol w:w="270"/>
        <w:gridCol w:w="540"/>
        <w:gridCol w:w="990"/>
        <w:gridCol w:w="270"/>
        <w:gridCol w:w="540"/>
        <w:gridCol w:w="810"/>
        <w:gridCol w:w="270"/>
        <w:gridCol w:w="540"/>
        <w:gridCol w:w="900"/>
      </w:tblGrid>
      <w:tr w:rsidR="004F6E48" w:rsidRPr="00C17FA7" w14:paraId="117BAB0E" w14:textId="77777777" w:rsidTr="00430A47">
        <w:tc>
          <w:tcPr>
            <w:tcW w:w="3330" w:type="dxa"/>
            <w:tcBorders>
              <w:top w:val="single" w:sz="4" w:space="0" w:color="auto"/>
            </w:tcBorders>
          </w:tcPr>
          <w:p w14:paraId="20B48662" w14:textId="77777777" w:rsidR="004F6E48" w:rsidRPr="00C17FA7" w:rsidRDefault="004F6E48" w:rsidP="00AF048E">
            <w:pPr>
              <w:spacing w:line="480" w:lineRule="auto"/>
            </w:pPr>
          </w:p>
        </w:tc>
        <w:tc>
          <w:tcPr>
            <w:tcW w:w="11250" w:type="dxa"/>
            <w:gridSpan w:val="20"/>
            <w:tcBorders>
              <w:top w:val="single" w:sz="4" w:space="0" w:color="auto"/>
              <w:bottom w:val="single" w:sz="4" w:space="0" w:color="auto"/>
            </w:tcBorders>
          </w:tcPr>
          <w:p w14:paraId="26EDF278" w14:textId="365093D0" w:rsidR="004F6E48" w:rsidRPr="00430A47" w:rsidRDefault="004F6E48" w:rsidP="00AF048E">
            <w:pPr>
              <w:spacing w:line="480" w:lineRule="auto"/>
              <w:jc w:val="center"/>
              <w:rPr>
                <w:rFonts w:ascii="Times New Roman" w:hAnsi="Times New Roman" w:cs="Times New Roman"/>
                <w:sz w:val="24"/>
                <w:szCs w:val="24"/>
              </w:rPr>
            </w:pPr>
            <w:r>
              <w:rPr>
                <w:rFonts w:ascii="Times New Roman" w:hAnsi="Times New Roman" w:cs="Times New Roman"/>
                <w:sz w:val="24"/>
                <w:szCs w:val="24"/>
              </w:rPr>
              <w:t>State</w:t>
            </w:r>
          </w:p>
        </w:tc>
      </w:tr>
      <w:tr w:rsidR="00D66FD3" w:rsidRPr="00C17FA7" w14:paraId="4CBB6E87" w14:textId="77777777" w:rsidTr="00430A47">
        <w:tc>
          <w:tcPr>
            <w:tcW w:w="3330" w:type="dxa"/>
          </w:tcPr>
          <w:p w14:paraId="7D567984" w14:textId="77777777" w:rsidR="00A71B45" w:rsidRPr="00C17FA7" w:rsidRDefault="00A71B45" w:rsidP="00AF048E">
            <w:pPr>
              <w:spacing w:line="480" w:lineRule="auto"/>
              <w:rPr>
                <w:rFonts w:ascii="Times New Roman" w:hAnsi="Times New Roman" w:cs="Times New Roman"/>
                <w:sz w:val="24"/>
                <w:szCs w:val="24"/>
              </w:rPr>
            </w:pPr>
          </w:p>
        </w:tc>
        <w:tc>
          <w:tcPr>
            <w:tcW w:w="1440" w:type="dxa"/>
            <w:gridSpan w:val="2"/>
            <w:tcBorders>
              <w:top w:val="single" w:sz="4" w:space="0" w:color="auto"/>
              <w:bottom w:val="single" w:sz="4" w:space="0" w:color="auto"/>
            </w:tcBorders>
          </w:tcPr>
          <w:p w14:paraId="20038DC7" w14:textId="77777777" w:rsidR="004F6E48" w:rsidRDefault="004F6E48" w:rsidP="00AF048E">
            <w:pPr>
              <w:spacing w:line="480" w:lineRule="auto"/>
              <w:jc w:val="center"/>
              <w:rPr>
                <w:rFonts w:ascii="Times New Roman" w:hAnsi="Times New Roman" w:cs="Times New Roman"/>
                <w:sz w:val="24"/>
                <w:szCs w:val="24"/>
              </w:rPr>
            </w:pPr>
          </w:p>
          <w:p w14:paraId="7980C4B8" w14:textId="2146464C"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Maryland</w:t>
            </w:r>
          </w:p>
        </w:tc>
        <w:tc>
          <w:tcPr>
            <w:tcW w:w="236" w:type="dxa"/>
            <w:tcBorders>
              <w:top w:val="single" w:sz="4" w:space="0" w:color="auto"/>
            </w:tcBorders>
          </w:tcPr>
          <w:p w14:paraId="5C07CC24" w14:textId="77777777" w:rsidR="00A71B45" w:rsidRPr="00C17FA7" w:rsidRDefault="00A71B45" w:rsidP="00AF048E">
            <w:pPr>
              <w:spacing w:line="480" w:lineRule="auto"/>
              <w:jc w:val="center"/>
              <w:rPr>
                <w:rFonts w:ascii="Times New Roman" w:hAnsi="Times New Roman" w:cs="Times New Roman"/>
                <w:sz w:val="24"/>
                <w:szCs w:val="24"/>
              </w:rPr>
            </w:pPr>
          </w:p>
        </w:tc>
        <w:tc>
          <w:tcPr>
            <w:tcW w:w="1294" w:type="dxa"/>
            <w:gridSpan w:val="2"/>
            <w:tcBorders>
              <w:top w:val="single" w:sz="4" w:space="0" w:color="auto"/>
              <w:bottom w:val="single" w:sz="4" w:space="0" w:color="auto"/>
            </w:tcBorders>
          </w:tcPr>
          <w:p w14:paraId="322F6050"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New Jersey</w:t>
            </w:r>
          </w:p>
        </w:tc>
        <w:tc>
          <w:tcPr>
            <w:tcW w:w="236" w:type="dxa"/>
            <w:tcBorders>
              <w:top w:val="single" w:sz="4" w:space="0" w:color="auto"/>
            </w:tcBorders>
          </w:tcPr>
          <w:p w14:paraId="5E8EB1BB" w14:textId="77777777" w:rsidR="00A71B45" w:rsidRPr="00C17FA7" w:rsidRDefault="00A71B45" w:rsidP="00AF048E">
            <w:pPr>
              <w:spacing w:line="480" w:lineRule="auto"/>
              <w:jc w:val="center"/>
              <w:rPr>
                <w:rFonts w:ascii="Times New Roman" w:hAnsi="Times New Roman" w:cs="Times New Roman"/>
                <w:sz w:val="24"/>
                <w:szCs w:val="24"/>
              </w:rPr>
            </w:pPr>
          </w:p>
        </w:tc>
        <w:tc>
          <w:tcPr>
            <w:tcW w:w="1294" w:type="dxa"/>
            <w:gridSpan w:val="2"/>
            <w:tcBorders>
              <w:top w:val="single" w:sz="4" w:space="0" w:color="auto"/>
              <w:bottom w:val="single" w:sz="4" w:space="0" w:color="auto"/>
            </w:tcBorders>
          </w:tcPr>
          <w:p w14:paraId="29B40AEB" w14:textId="77777777" w:rsidR="004F6E48" w:rsidRDefault="004F6E48" w:rsidP="00AF048E">
            <w:pPr>
              <w:spacing w:line="480" w:lineRule="auto"/>
              <w:jc w:val="center"/>
              <w:rPr>
                <w:rFonts w:ascii="Times New Roman" w:hAnsi="Times New Roman" w:cs="Times New Roman"/>
                <w:sz w:val="24"/>
                <w:szCs w:val="24"/>
              </w:rPr>
            </w:pPr>
          </w:p>
          <w:p w14:paraId="23453684" w14:textId="3D6368B0"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New York</w:t>
            </w:r>
          </w:p>
        </w:tc>
        <w:tc>
          <w:tcPr>
            <w:tcW w:w="270" w:type="dxa"/>
            <w:tcBorders>
              <w:top w:val="single" w:sz="4" w:space="0" w:color="auto"/>
            </w:tcBorders>
          </w:tcPr>
          <w:p w14:paraId="314928CA" w14:textId="77777777" w:rsidR="00A71B45" w:rsidRPr="00C17FA7" w:rsidRDefault="00A71B45" w:rsidP="00AF048E">
            <w:pPr>
              <w:spacing w:line="480" w:lineRule="auto"/>
              <w:jc w:val="center"/>
              <w:rPr>
                <w:rFonts w:ascii="Times New Roman" w:hAnsi="Times New Roman" w:cs="Times New Roman"/>
                <w:sz w:val="24"/>
                <w:szCs w:val="24"/>
              </w:rPr>
            </w:pPr>
          </w:p>
        </w:tc>
        <w:tc>
          <w:tcPr>
            <w:tcW w:w="1350" w:type="dxa"/>
            <w:gridSpan w:val="2"/>
            <w:tcBorders>
              <w:top w:val="single" w:sz="4" w:space="0" w:color="auto"/>
              <w:bottom w:val="single" w:sz="4" w:space="0" w:color="auto"/>
            </w:tcBorders>
          </w:tcPr>
          <w:p w14:paraId="07B8CD65" w14:textId="77777777" w:rsidR="004F6E48" w:rsidRDefault="004F6E48" w:rsidP="00AF048E">
            <w:pPr>
              <w:spacing w:line="480" w:lineRule="auto"/>
              <w:jc w:val="center"/>
              <w:rPr>
                <w:rFonts w:ascii="Times New Roman" w:hAnsi="Times New Roman" w:cs="Times New Roman"/>
                <w:sz w:val="24"/>
                <w:szCs w:val="24"/>
              </w:rPr>
            </w:pPr>
          </w:p>
          <w:p w14:paraId="5EAEA81F" w14:textId="0ECA735F"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Ohio</w:t>
            </w:r>
          </w:p>
        </w:tc>
        <w:tc>
          <w:tcPr>
            <w:tcW w:w="270" w:type="dxa"/>
            <w:tcBorders>
              <w:top w:val="single" w:sz="4" w:space="0" w:color="auto"/>
            </w:tcBorders>
          </w:tcPr>
          <w:p w14:paraId="6D7485D3" w14:textId="77777777" w:rsidR="00A71B45" w:rsidRPr="00C17FA7" w:rsidRDefault="00A71B45" w:rsidP="00AF048E">
            <w:pPr>
              <w:spacing w:line="480" w:lineRule="auto"/>
              <w:jc w:val="center"/>
              <w:rPr>
                <w:rFonts w:ascii="Times New Roman" w:hAnsi="Times New Roman" w:cs="Times New Roman"/>
                <w:sz w:val="24"/>
                <w:szCs w:val="24"/>
              </w:rPr>
            </w:pPr>
          </w:p>
        </w:tc>
        <w:tc>
          <w:tcPr>
            <w:tcW w:w="1530" w:type="dxa"/>
            <w:gridSpan w:val="2"/>
            <w:tcBorders>
              <w:top w:val="single" w:sz="4" w:space="0" w:color="auto"/>
              <w:bottom w:val="single" w:sz="4" w:space="0" w:color="auto"/>
            </w:tcBorders>
          </w:tcPr>
          <w:p w14:paraId="78E5D370" w14:textId="77777777" w:rsidR="004F6E48" w:rsidRDefault="004F6E48" w:rsidP="00AF048E">
            <w:pPr>
              <w:spacing w:line="480" w:lineRule="auto"/>
              <w:jc w:val="center"/>
              <w:rPr>
                <w:rFonts w:ascii="Times New Roman" w:hAnsi="Times New Roman" w:cs="Times New Roman"/>
                <w:sz w:val="24"/>
                <w:szCs w:val="24"/>
              </w:rPr>
            </w:pPr>
          </w:p>
          <w:p w14:paraId="2A3EE451" w14:textId="1F902B9C"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Pennsylvania</w:t>
            </w:r>
          </w:p>
        </w:tc>
        <w:tc>
          <w:tcPr>
            <w:tcW w:w="270" w:type="dxa"/>
            <w:tcBorders>
              <w:top w:val="single" w:sz="4" w:space="0" w:color="auto"/>
            </w:tcBorders>
          </w:tcPr>
          <w:p w14:paraId="49C9CA39" w14:textId="77777777" w:rsidR="00A71B45" w:rsidRPr="00C17FA7" w:rsidRDefault="00A71B45" w:rsidP="00AF048E">
            <w:pPr>
              <w:spacing w:line="480" w:lineRule="auto"/>
              <w:jc w:val="center"/>
              <w:rPr>
                <w:rFonts w:ascii="Times New Roman" w:hAnsi="Times New Roman" w:cs="Times New Roman"/>
                <w:sz w:val="24"/>
                <w:szCs w:val="24"/>
              </w:rPr>
            </w:pPr>
          </w:p>
        </w:tc>
        <w:tc>
          <w:tcPr>
            <w:tcW w:w="1350" w:type="dxa"/>
            <w:gridSpan w:val="2"/>
            <w:tcBorders>
              <w:top w:val="single" w:sz="4" w:space="0" w:color="auto"/>
              <w:bottom w:val="single" w:sz="4" w:space="0" w:color="auto"/>
            </w:tcBorders>
          </w:tcPr>
          <w:p w14:paraId="36BD17BF" w14:textId="77777777" w:rsidR="004F6E48" w:rsidRDefault="004F6E48" w:rsidP="00AF048E">
            <w:pPr>
              <w:spacing w:line="480" w:lineRule="auto"/>
              <w:jc w:val="center"/>
              <w:rPr>
                <w:rFonts w:ascii="Times New Roman" w:hAnsi="Times New Roman" w:cs="Times New Roman"/>
                <w:sz w:val="24"/>
                <w:szCs w:val="24"/>
              </w:rPr>
            </w:pPr>
          </w:p>
          <w:p w14:paraId="5D5FBB88" w14:textId="0D84B269" w:rsidR="00A71B45" w:rsidRPr="00C17FA7" w:rsidRDefault="00A71B45" w:rsidP="00AF048E">
            <w:pPr>
              <w:spacing w:line="480" w:lineRule="auto"/>
              <w:jc w:val="center"/>
              <w:rPr>
                <w:rFonts w:ascii="Times New Roman" w:hAnsi="Times New Roman" w:cs="Times New Roman"/>
                <w:sz w:val="24"/>
                <w:szCs w:val="24"/>
              </w:rPr>
            </w:pPr>
            <w:proofErr w:type="spellStart"/>
            <w:r w:rsidRPr="00C17FA7">
              <w:rPr>
                <w:rFonts w:ascii="Times New Roman" w:hAnsi="Times New Roman" w:cs="Times New Roman"/>
                <w:sz w:val="24"/>
                <w:szCs w:val="24"/>
              </w:rPr>
              <w:t>Virginia</w:t>
            </w:r>
            <w:r w:rsidR="00475A6E" w:rsidRPr="00E9407A">
              <w:rPr>
                <w:rFonts w:ascii="Times New Roman" w:hAnsi="Times New Roman" w:cs="Times New Roman"/>
                <w:sz w:val="24"/>
                <w:szCs w:val="24"/>
                <w:vertAlign w:val="superscript"/>
              </w:rPr>
              <w:t>a</w:t>
            </w:r>
            <w:proofErr w:type="spellEnd"/>
          </w:p>
        </w:tc>
        <w:tc>
          <w:tcPr>
            <w:tcW w:w="270" w:type="dxa"/>
            <w:tcBorders>
              <w:top w:val="single" w:sz="4" w:space="0" w:color="auto"/>
            </w:tcBorders>
          </w:tcPr>
          <w:p w14:paraId="3CAA2D8B" w14:textId="77777777" w:rsidR="00A71B45" w:rsidRPr="00C17FA7" w:rsidRDefault="00A71B45" w:rsidP="00AF048E">
            <w:pPr>
              <w:spacing w:line="480" w:lineRule="auto"/>
              <w:jc w:val="center"/>
              <w:rPr>
                <w:rFonts w:ascii="Times New Roman" w:hAnsi="Times New Roman" w:cs="Times New Roman"/>
                <w:sz w:val="24"/>
                <w:szCs w:val="24"/>
              </w:rPr>
            </w:pPr>
          </w:p>
        </w:tc>
        <w:tc>
          <w:tcPr>
            <w:tcW w:w="1440" w:type="dxa"/>
            <w:gridSpan w:val="2"/>
            <w:tcBorders>
              <w:top w:val="single" w:sz="4" w:space="0" w:color="auto"/>
              <w:bottom w:val="single" w:sz="4" w:space="0" w:color="auto"/>
            </w:tcBorders>
          </w:tcPr>
          <w:p w14:paraId="67A1FEDE"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West Virginia</w:t>
            </w:r>
          </w:p>
        </w:tc>
      </w:tr>
      <w:tr w:rsidR="00A71B45" w:rsidRPr="00C17FA7" w14:paraId="79DB60EC" w14:textId="77777777" w:rsidTr="00044C12">
        <w:tc>
          <w:tcPr>
            <w:tcW w:w="3330" w:type="dxa"/>
            <w:tcBorders>
              <w:bottom w:val="single" w:sz="4" w:space="0" w:color="auto"/>
            </w:tcBorders>
          </w:tcPr>
          <w:p w14:paraId="4D8C0FC0" w14:textId="2248EDC8" w:rsidR="00A71B45" w:rsidRPr="00C17FA7" w:rsidRDefault="00A71B45" w:rsidP="00AF048E">
            <w:pPr>
              <w:spacing w:line="480" w:lineRule="auto"/>
              <w:rPr>
                <w:rFonts w:ascii="Times New Roman" w:hAnsi="Times New Roman" w:cs="Times New Roman"/>
                <w:sz w:val="24"/>
                <w:szCs w:val="24"/>
              </w:rPr>
            </w:pPr>
            <w:proofErr w:type="spellStart"/>
            <w:r w:rsidRPr="00C17FA7">
              <w:rPr>
                <w:rFonts w:ascii="Times New Roman" w:hAnsi="Times New Roman" w:cs="Times New Roman"/>
                <w:sz w:val="24"/>
                <w:szCs w:val="24"/>
              </w:rPr>
              <w:t>Model</w:t>
            </w:r>
            <w:r w:rsidR="002E7670">
              <w:rPr>
                <w:vertAlign w:val="superscript"/>
              </w:rPr>
              <w:t>d</w:t>
            </w:r>
            <w:proofErr w:type="spellEnd"/>
          </w:p>
        </w:tc>
        <w:tc>
          <w:tcPr>
            <w:tcW w:w="540" w:type="dxa"/>
            <w:tcBorders>
              <w:top w:val="single" w:sz="4" w:space="0" w:color="auto"/>
              <w:bottom w:val="single" w:sz="4" w:space="0" w:color="auto"/>
            </w:tcBorders>
          </w:tcPr>
          <w:p w14:paraId="1145295F" w14:textId="4800CC4F"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r w:rsidR="002E7670">
              <w:rPr>
                <w:rFonts w:ascii="Times New Roman" w:hAnsi="Times New Roman" w:cs="Times New Roman"/>
                <w:sz w:val="24"/>
                <w:szCs w:val="24"/>
                <w:vertAlign w:val="superscript"/>
              </w:rPr>
              <w:t>b</w:t>
            </w:r>
          </w:p>
        </w:tc>
        <w:tc>
          <w:tcPr>
            <w:tcW w:w="900" w:type="dxa"/>
            <w:tcBorders>
              <w:top w:val="single" w:sz="4" w:space="0" w:color="auto"/>
              <w:bottom w:val="single" w:sz="4" w:space="0" w:color="auto"/>
            </w:tcBorders>
          </w:tcPr>
          <w:p w14:paraId="2550D537" w14:textId="6E6CBFFE" w:rsidR="00A71B45" w:rsidRPr="00C17FA7" w:rsidRDefault="00A71B45" w:rsidP="00AF048E">
            <w:pPr>
              <w:spacing w:line="480" w:lineRule="auto"/>
              <w:rPr>
                <w:rFonts w:ascii="Times New Roman" w:hAnsi="Times New Roman" w:cs="Times New Roman"/>
                <w:sz w:val="24"/>
                <w:szCs w:val="24"/>
              </w:rPr>
            </w:pPr>
            <w:proofErr w:type="spellStart"/>
            <w:r w:rsidRPr="00C17FA7">
              <w:rPr>
                <w:rFonts w:ascii="Times New Roman" w:hAnsi="Times New Roman" w:cs="Times New Roman"/>
                <w:sz w:val="24"/>
                <w:szCs w:val="24"/>
              </w:rPr>
              <w:t>ΔAIC</w:t>
            </w:r>
            <w:r w:rsidR="002E7670">
              <w:rPr>
                <w:rFonts w:ascii="Times New Roman" w:hAnsi="Times New Roman" w:cs="Times New Roman"/>
                <w:sz w:val="24"/>
                <w:szCs w:val="24"/>
                <w:vertAlign w:val="superscript"/>
              </w:rPr>
              <w:t>c</w:t>
            </w:r>
            <w:proofErr w:type="spellEnd"/>
          </w:p>
        </w:tc>
        <w:tc>
          <w:tcPr>
            <w:tcW w:w="236" w:type="dxa"/>
            <w:tcBorders>
              <w:bottom w:val="single" w:sz="4" w:space="0" w:color="auto"/>
            </w:tcBorders>
          </w:tcPr>
          <w:p w14:paraId="29105F32" w14:textId="77777777" w:rsidR="00A71B45" w:rsidRPr="00C17FA7" w:rsidRDefault="00A71B45" w:rsidP="00AF048E">
            <w:pPr>
              <w:spacing w:line="480" w:lineRule="auto"/>
              <w:rPr>
                <w:rFonts w:ascii="Times New Roman" w:hAnsi="Times New Roman" w:cs="Times New Roman"/>
                <w:sz w:val="24"/>
                <w:szCs w:val="24"/>
              </w:rPr>
            </w:pPr>
          </w:p>
        </w:tc>
        <w:tc>
          <w:tcPr>
            <w:tcW w:w="484" w:type="dxa"/>
            <w:tcBorders>
              <w:top w:val="single" w:sz="4" w:space="0" w:color="auto"/>
              <w:bottom w:val="single" w:sz="4" w:space="0" w:color="auto"/>
            </w:tcBorders>
          </w:tcPr>
          <w:p w14:paraId="7420CE30"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2992FD27"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36" w:type="dxa"/>
            <w:tcBorders>
              <w:bottom w:val="single" w:sz="4" w:space="0" w:color="auto"/>
            </w:tcBorders>
          </w:tcPr>
          <w:p w14:paraId="0706826F" w14:textId="77777777" w:rsidR="00A71B45" w:rsidRPr="00C17FA7" w:rsidRDefault="00A71B45" w:rsidP="00AF048E">
            <w:pPr>
              <w:spacing w:line="480" w:lineRule="auto"/>
              <w:rPr>
                <w:rFonts w:ascii="Times New Roman" w:hAnsi="Times New Roman" w:cs="Times New Roman"/>
                <w:sz w:val="24"/>
                <w:szCs w:val="24"/>
              </w:rPr>
            </w:pPr>
          </w:p>
        </w:tc>
        <w:tc>
          <w:tcPr>
            <w:tcW w:w="484" w:type="dxa"/>
            <w:tcBorders>
              <w:top w:val="single" w:sz="4" w:space="0" w:color="auto"/>
              <w:bottom w:val="single" w:sz="4" w:space="0" w:color="auto"/>
            </w:tcBorders>
          </w:tcPr>
          <w:p w14:paraId="1FC697D2"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20BB0F4F"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43471022" w14:textId="77777777" w:rsidR="00A71B45" w:rsidRPr="00C17FA7" w:rsidRDefault="00A71B45" w:rsidP="00AF048E">
            <w:pPr>
              <w:spacing w:line="480" w:lineRule="auto"/>
              <w:rPr>
                <w:rFonts w:ascii="Times New Roman" w:hAnsi="Times New Roman" w:cs="Times New Roman"/>
                <w:sz w:val="24"/>
                <w:szCs w:val="24"/>
              </w:rPr>
            </w:pPr>
          </w:p>
        </w:tc>
        <w:tc>
          <w:tcPr>
            <w:tcW w:w="540" w:type="dxa"/>
            <w:tcBorders>
              <w:top w:val="single" w:sz="4" w:space="0" w:color="auto"/>
              <w:bottom w:val="single" w:sz="4" w:space="0" w:color="auto"/>
            </w:tcBorders>
          </w:tcPr>
          <w:p w14:paraId="1842B84E"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52A5348B"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26DD98C8" w14:textId="77777777" w:rsidR="00A71B45" w:rsidRPr="00C17FA7" w:rsidRDefault="00A71B45" w:rsidP="00AF048E">
            <w:pPr>
              <w:spacing w:line="480" w:lineRule="auto"/>
              <w:jc w:val="center"/>
              <w:rPr>
                <w:rFonts w:ascii="Times New Roman" w:hAnsi="Times New Roman" w:cs="Times New Roman"/>
                <w:sz w:val="24"/>
                <w:szCs w:val="24"/>
              </w:rPr>
            </w:pPr>
          </w:p>
        </w:tc>
        <w:tc>
          <w:tcPr>
            <w:tcW w:w="540" w:type="dxa"/>
            <w:tcBorders>
              <w:top w:val="single" w:sz="4" w:space="0" w:color="auto"/>
              <w:bottom w:val="single" w:sz="4" w:space="0" w:color="auto"/>
            </w:tcBorders>
          </w:tcPr>
          <w:p w14:paraId="1E3AF3CB"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K</w:t>
            </w:r>
          </w:p>
        </w:tc>
        <w:tc>
          <w:tcPr>
            <w:tcW w:w="990" w:type="dxa"/>
            <w:tcBorders>
              <w:top w:val="single" w:sz="4" w:space="0" w:color="auto"/>
              <w:bottom w:val="single" w:sz="4" w:space="0" w:color="auto"/>
            </w:tcBorders>
          </w:tcPr>
          <w:p w14:paraId="56A782FE" w14:textId="77777777" w:rsidR="00A71B45" w:rsidRPr="00C17FA7" w:rsidRDefault="00A71B45" w:rsidP="00AF048E">
            <w:pPr>
              <w:spacing w:line="480" w:lineRule="auto"/>
              <w:jc w:val="center"/>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735938B7" w14:textId="77777777" w:rsidR="00A71B45" w:rsidRPr="00C17FA7" w:rsidRDefault="00A71B45" w:rsidP="00AF048E">
            <w:pPr>
              <w:spacing w:line="480" w:lineRule="auto"/>
              <w:jc w:val="center"/>
              <w:rPr>
                <w:rFonts w:ascii="Times New Roman" w:hAnsi="Times New Roman" w:cs="Times New Roman"/>
                <w:sz w:val="24"/>
                <w:szCs w:val="24"/>
              </w:rPr>
            </w:pPr>
          </w:p>
        </w:tc>
        <w:tc>
          <w:tcPr>
            <w:tcW w:w="540" w:type="dxa"/>
            <w:tcBorders>
              <w:top w:val="single" w:sz="4" w:space="0" w:color="auto"/>
              <w:bottom w:val="single" w:sz="4" w:space="0" w:color="auto"/>
            </w:tcBorders>
          </w:tcPr>
          <w:p w14:paraId="40E1BAA5"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810" w:type="dxa"/>
            <w:tcBorders>
              <w:top w:val="single" w:sz="4" w:space="0" w:color="auto"/>
              <w:bottom w:val="single" w:sz="4" w:space="0" w:color="auto"/>
            </w:tcBorders>
          </w:tcPr>
          <w:p w14:paraId="2EC210A7"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c>
          <w:tcPr>
            <w:tcW w:w="270" w:type="dxa"/>
            <w:tcBorders>
              <w:bottom w:val="single" w:sz="4" w:space="0" w:color="auto"/>
            </w:tcBorders>
          </w:tcPr>
          <w:p w14:paraId="66059FCC" w14:textId="77777777" w:rsidR="00A71B45" w:rsidRPr="00C17FA7" w:rsidRDefault="00A71B45" w:rsidP="00AF048E">
            <w:pPr>
              <w:spacing w:line="480" w:lineRule="auto"/>
              <w:rPr>
                <w:rFonts w:ascii="Times New Roman" w:hAnsi="Times New Roman" w:cs="Times New Roman"/>
                <w:sz w:val="24"/>
                <w:szCs w:val="24"/>
              </w:rPr>
            </w:pPr>
          </w:p>
        </w:tc>
        <w:tc>
          <w:tcPr>
            <w:tcW w:w="540" w:type="dxa"/>
            <w:tcBorders>
              <w:top w:val="single" w:sz="4" w:space="0" w:color="auto"/>
              <w:bottom w:val="single" w:sz="4" w:space="0" w:color="auto"/>
            </w:tcBorders>
          </w:tcPr>
          <w:p w14:paraId="00D039BE"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K</w:t>
            </w:r>
          </w:p>
        </w:tc>
        <w:tc>
          <w:tcPr>
            <w:tcW w:w="900" w:type="dxa"/>
            <w:tcBorders>
              <w:top w:val="single" w:sz="4" w:space="0" w:color="auto"/>
              <w:bottom w:val="single" w:sz="4" w:space="0" w:color="auto"/>
            </w:tcBorders>
          </w:tcPr>
          <w:p w14:paraId="4F43DF53"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ΔAIC</w:t>
            </w:r>
          </w:p>
        </w:tc>
      </w:tr>
      <w:tr w:rsidR="00A71B45" w:rsidRPr="00C17FA7" w14:paraId="6CB39CD5" w14:textId="77777777" w:rsidTr="00044C12">
        <w:tc>
          <w:tcPr>
            <w:tcW w:w="3330" w:type="dxa"/>
          </w:tcPr>
          <w:p w14:paraId="70222702" w14:textId="77777777" w:rsidR="00A71B45" w:rsidRPr="009B76E4"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 DOY</w:t>
            </w:r>
            <w:r w:rsidRPr="00C17FA7">
              <w:rPr>
                <w:rFonts w:ascii="Times New Roman" w:hAnsi="Times New Roman" w:cs="Times New Roman"/>
                <w:sz w:val="24"/>
                <w:szCs w:val="24"/>
                <w:vertAlign w:val="superscript"/>
              </w:rPr>
              <w:t>2</w:t>
            </w:r>
            <w:r>
              <w:rPr>
                <w:rFonts w:ascii="Times New Roman" w:hAnsi="Times New Roman" w:cs="Times New Roman"/>
                <w:sz w:val="24"/>
                <w:szCs w:val="24"/>
              </w:rPr>
              <w:t xml:space="preserve"> (MU)</w:t>
            </w:r>
          </w:p>
        </w:tc>
        <w:tc>
          <w:tcPr>
            <w:tcW w:w="540" w:type="dxa"/>
          </w:tcPr>
          <w:p w14:paraId="693F5981" w14:textId="250C8942"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900" w:type="dxa"/>
          </w:tcPr>
          <w:p w14:paraId="3E59ABB7" w14:textId="4B35BB17"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236" w:type="dxa"/>
          </w:tcPr>
          <w:p w14:paraId="111D5D01"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2E85BAD1" w14:textId="1FCD3718" w:rsidR="00A71B45" w:rsidRPr="00C17FA7" w:rsidRDefault="00EF64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10" w:type="dxa"/>
          </w:tcPr>
          <w:p w14:paraId="5B5CBA64" w14:textId="471CFD24" w:rsidR="00A71B45" w:rsidRPr="00C17FA7" w:rsidRDefault="002E12E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36" w:type="dxa"/>
          </w:tcPr>
          <w:p w14:paraId="0F677FB3"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109AA2B0" w14:textId="60A1731F"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10" w:type="dxa"/>
          </w:tcPr>
          <w:p w14:paraId="175FF74E" w14:textId="2633FE2D"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270" w:type="dxa"/>
          </w:tcPr>
          <w:p w14:paraId="579F3C1C"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12D1D0AC" w14:textId="294C914D" w:rsidR="00A71B45" w:rsidRPr="00C17FA7" w:rsidRDefault="008B15B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10" w:type="dxa"/>
          </w:tcPr>
          <w:p w14:paraId="163F0970" w14:textId="3E281A48"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17.6</w:t>
            </w:r>
          </w:p>
        </w:tc>
        <w:tc>
          <w:tcPr>
            <w:tcW w:w="270" w:type="dxa"/>
          </w:tcPr>
          <w:p w14:paraId="0B59D4F3"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104B17CA" w14:textId="289CEDD0"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990" w:type="dxa"/>
          </w:tcPr>
          <w:p w14:paraId="2BDC6BFD" w14:textId="18D32A6D"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422786F3"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01710168" w14:textId="4CF3155B"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10" w:type="dxa"/>
          </w:tcPr>
          <w:p w14:paraId="674FA030" w14:textId="23850B95" w:rsidR="00A71B45" w:rsidRPr="00C17FA7" w:rsidRDefault="00447B4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270" w:type="dxa"/>
          </w:tcPr>
          <w:p w14:paraId="74C12E1F"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32135B04" w14:textId="542BA694"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900" w:type="dxa"/>
          </w:tcPr>
          <w:p w14:paraId="2B9776C1" w14:textId="5069F3DD"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6.6</w:t>
            </w:r>
          </w:p>
        </w:tc>
      </w:tr>
      <w:tr w:rsidR="00A71B45" w:rsidRPr="00C17FA7" w14:paraId="2A89AEC1" w14:textId="77777777" w:rsidTr="00044C12">
        <w:tc>
          <w:tcPr>
            <w:tcW w:w="3330" w:type="dxa"/>
          </w:tcPr>
          <w:p w14:paraId="41948599"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w:t>
            </w:r>
            <w:r>
              <w:rPr>
                <w:rFonts w:ascii="Times New Roman" w:hAnsi="Times New Roman" w:cs="Times New Roman"/>
                <w:sz w:val="24"/>
                <w:szCs w:val="24"/>
              </w:rPr>
              <w:t xml:space="preserve"> (MU)</w:t>
            </w:r>
          </w:p>
        </w:tc>
        <w:tc>
          <w:tcPr>
            <w:tcW w:w="540" w:type="dxa"/>
          </w:tcPr>
          <w:p w14:paraId="79D61FE9" w14:textId="04DF8D3E"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900" w:type="dxa"/>
          </w:tcPr>
          <w:p w14:paraId="26932BFA" w14:textId="278225F5"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18.8</w:t>
            </w:r>
          </w:p>
        </w:tc>
        <w:tc>
          <w:tcPr>
            <w:tcW w:w="236" w:type="dxa"/>
          </w:tcPr>
          <w:p w14:paraId="770AD2E2"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754929B9" w14:textId="18684D0A" w:rsidR="00A71B45" w:rsidRPr="00C17FA7" w:rsidRDefault="00EF64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10" w:type="dxa"/>
          </w:tcPr>
          <w:p w14:paraId="12D2A7B4" w14:textId="421A1B49" w:rsidR="00A71B45" w:rsidRPr="00C17FA7" w:rsidRDefault="00754F0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10.0</w:t>
            </w:r>
          </w:p>
        </w:tc>
        <w:tc>
          <w:tcPr>
            <w:tcW w:w="236" w:type="dxa"/>
          </w:tcPr>
          <w:p w14:paraId="367863DB"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439B9CA1" w14:textId="0E2535E9"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10" w:type="dxa"/>
          </w:tcPr>
          <w:p w14:paraId="43D49EAF" w14:textId="2BC74B6D"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9.1</w:t>
            </w:r>
          </w:p>
        </w:tc>
        <w:tc>
          <w:tcPr>
            <w:tcW w:w="270" w:type="dxa"/>
          </w:tcPr>
          <w:p w14:paraId="4ED88361"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6334F7FA" w14:textId="03527BB7" w:rsidR="00A71B45" w:rsidRPr="00C17FA7" w:rsidRDefault="008B15B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10" w:type="dxa"/>
          </w:tcPr>
          <w:p w14:paraId="021A2690" w14:textId="77882A10"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19.2</w:t>
            </w:r>
          </w:p>
        </w:tc>
        <w:tc>
          <w:tcPr>
            <w:tcW w:w="270" w:type="dxa"/>
          </w:tcPr>
          <w:p w14:paraId="404615A4"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5BB8F850" w14:textId="0FCF2E10"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990" w:type="dxa"/>
          </w:tcPr>
          <w:p w14:paraId="621B0DB2" w14:textId="445FB92D"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270" w:type="dxa"/>
          </w:tcPr>
          <w:p w14:paraId="42E95070"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0BBFAC50" w14:textId="0FC844FB"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10" w:type="dxa"/>
          </w:tcPr>
          <w:p w14:paraId="53422173" w14:textId="1D9093EF" w:rsidR="00A71B45" w:rsidRPr="00C17FA7" w:rsidRDefault="00A71B45" w:rsidP="00AF048E">
            <w:pPr>
              <w:spacing w:line="480" w:lineRule="auto"/>
              <w:jc w:val="right"/>
              <w:rPr>
                <w:rFonts w:ascii="Times New Roman" w:hAnsi="Times New Roman" w:cs="Times New Roman"/>
                <w:sz w:val="24"/>
                <w:szCs w:val="24"/>
              </w:rPr>
            </w:pPr>
          </w:p>
        </w:tc>
        <w:tc>
          <w:tcPr>
            <w:tcW w:w="270" w:type="dxa"/>
          </w:tcPr>
          <w:p w14:paraId="2B0A0EF2"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3BEC2F68" w14:textId="1946BF69"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900" w:type="dxa"/>
          </w:tcPr>
          <w:p w14:paraId="6EE38C49" w14:textId="44B57BE0"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23.3</w:t>
            </w:r>
          </w:p>
        </w:tc>
      </w:tr>
      <w:tr w:rsidR="00A71B45" w:rsidRPr="00C17FA7" w14:paraId="2CD235CE" w14:textId="77777777" w:rsidTr="00044C12">
        <w:tc>
          <w:tcPr>
            <w:tcW w:w="3330" w:type="dxa"/>
          </w:tcPr>
          <w:p w14:paraId="7F01DAAE"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w:t>
            </w:r>
            <w:r>
              <w:rPr>
                <w:rFonts w:ascii="Times New Roman" w:hAnsi="Times New Roman" w:cs="Times New Roman"/>
                <w:sz w:val="24"/>
                <w:szCs w:val="24"/>
              </w:rPr>
              <w:t xml:space="preserve"> (MU)</w:t>
            </w:r>
          </w:p>
        </w:tc>
        <w:tc>
          <w:tcPr>
            <w:tcW w:w="540" w:type="dxa"/>
          </w:tcPr>
          <w:p w14:paraId="052F4ABD" w14:textId="486E91A0"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900" w:type="dxa"/>
          </w:tcPr>
          <w:p w14:paraId="0252DC27" w14:textId="37C5233E"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236" w:type="dxa"/>
          </w:tcPr>
          <w:p w14:paraId="3FD46D14"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536978DA" w14:textId="5D4B17F0" w:rsidR="00A71B45" w:rsidRPr="00C17FA7" w:rsidRDefault="00EF64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w:t>
            </w:r>
            <w:r w:rsidR="00DB4C2B">
              <w:rPr>
                <w:rFonts w:ascii="Times New Roman" w:hAnsi="Times New Roman" w:cs="Times New Roman"/>
                <w:sz w:val="24"/>
                <w:szCs w:val="24"/>
              </w:rPr>
              <w:t>4</w:t>
            </w:r>
          </w:p>
        </w:tc>
        <w:tc>
          <w:tcPr>
            <w:tcW w:w="810" w:type="dxa"/>
          </w:tcPr>
          <w:p w14:paraId="104E12D9" w14:textId="7E959648" w:rsidR="00A71B45" w:rsidRPr="00C17FA7" w:rsidRDefault="00754F0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74.5</w:t>
            </w:r>
          </w:p>
        </w:tc>
        <w:tc>
          <w:tcPr>
            <w:tcW w:w="236" w:type="dxa"/>
          </w:tcPr>
          <w:p w14:paraId="1E35C588"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0FE7BCD0" w14:textId="2AC6E537"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10" w:type="dxa"/>
          </w:tcPr>
          <w:p w14:paraId="48433933" w14:textId="54712887"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32.4</w:t>
            </w:r>
          </w:p>
        </w:tc>
        <w:tc>
          <w:tcPr>
            <w:tcW w:w="270" w:type="dxa"/>
          </w:tcPr>
          <w:p w14:paraId="55F637DC"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61C9E70F" w14:textId="2777B1F4" w:rsidR="00A71B45" w:rsidRPr="00C17FA7" w:rsidRDefault="008B15B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10" w:type="dxa"/>
          </w:tcPr>
          <w:p w14:paraId="19B2191F" w14:textId="65B8B8B5"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128.9</w:t>
            </w:r>
          </w:p>
        </w:tc>
        <w:tc>
          <w:tcPr>
            <w:tcW w:w="270" w:type="dxa"/>
          </w:tcPr>
          <w:p w14:paraId="607A789A"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55718A94" w14:textId="1F1FFA3C"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7FDE3969" w14:textId="3086CE98"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124.3</w:t>
            </w:r>
          </w:p>
        </w:tc>
        <w:tc>
          <w:tcPr>
            <w:tcW w:w="270" w:type="dxa"/>
          </w:tcPr>
          <w:p w14:paraId="0B4D75B2"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35A8ED94" w14:textId="510D04C4"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10" w:type="dxa"/>
          </w:tcPr>
          <w:p w14:paraId="2CAF1E49" w14:textId="10CB29B0" w:rsidR="00A71B45" w:rsidRPr="00C17FA7" w:rsidRDefault="00260D2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25.6</w:t>
            </w:r>
          </w:p>
        </w:tc>
        <w:tc>
          <w:tcPr>
            <w:tcW w:w="270" w:type="dxa"/>
          </w:tcPr>
          <w:p w14:paraId="55298FFD"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3685C2F7" w14:textId="076C1B54"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900" w:type="dxa"/>
          </w:tcPr>
          <w:p w14:paraId="44954057" w14:textId="27411689"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44.8</w:t>
            </w:r>
          </w:p>
        </w:tc>
      </w:tr>
      <w:tr w:rsidR="00A71B45" w:rsidRPr="00C17FA7" w14:paraId="6907636D" w14:textId="77777777" w:rsidTr="00044C12">
        <w:tc>
          <w:tcPr>
            <w:tcW w:w="3330" w:type="dxa"/>
          </w:tcPr>
          <w:p w14:paraId="1766DE67" w14:textId="77777777" w:rsidR="00A71B45" w:rsidRPr="00786E77" w:rsidRDefault="00A71B45" w:rsidP="00AF048E">
            <w:pPr>
              <w:spacing w:line="480" w:lineRule="auto"/>
              <w:rPr>
                <w:rFonts w:ascii="Times New Roman" w:hAnsi="Times New Roman" w:cs="Times New Roman"/>
                <w:sz w:val="24"/>
                <w:szCs w:val="24"/>
              </w:rPr>
            </w:pPr>
            <w:r w:rsidRPr="00786E77">
              <w:rPr>
                <w:rFonts w:ascii="Times New Roman" w:hAnsi="Times New Roman" w:cs="Times New Roman"/>
                <w:sz w:val="24"/>
                <w:szCs w:val="24"/>
              </w:rPr>
              <w:t xml:space="preserve"> Year, DOY, DOY</w:t>
            </w:r>
            <w:r w:rsidRPr="00786E77">
              <w:rPr>
                <w:rFonts w:ascii="Times New Roman" w:hAnsi="Times New Roman" w:cs="Times New Roman"/>
                <w:sz w:val="24"/>
                <w:szCs w:val="24"/>
                <w:vertAlign w:val="superscript"/>
              </w:rPr>
              <w:t>2</w:t>
            </w:r>
            <w:r w:rsidRPr="00786E77">
              <w:rPr>
                <w:rFonts w:ascii="Times New Roman" w:hAnsi="Times New Roman" w:cs="Times New Roman"/>
                <w:sz w:val="24"/>
                <w:szCs w:val="24"/>
              </w:rPr>
              <w:t xml:space="preserve"> (MU × Y</w:t>
            </w:r>
            <w:r w:rsidRPr="00A71B45">
              <w:rPr>
                <w:rFonts w:ascii="Times New Roman" w:hAnsi="Times New Roman" w:cs="Times New Roman"/>
                <w:sz w:val="24"/>
                <w:szCs w:val="24"/>
              </w:rPr>
              <w:t>ear</w:t>
            </w:r>
            <w:r>
              <w:rPr>
                <w:rFonts w:ascii="Times New Roman" w:hAnsi="Times New Roman" w:cs="Times New Roman"/>
                <w:sz w:val="24"/>
                <w:szCs w:val="24"/>
              </w:rPr>
              <w:t>)</w:t>
            </w:r>
          </w:p>
        </w:tc>
        <w:tc>
          <w:tcPr>
            <w:tcW w:w="540" w:type="dxa"/>
          </w:tcPr>
          <w:p w14:paraId="606EE298" w14:textId="43EFD829"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900" w:type="dxa"/>
          </w:tcPr>
          <w:p w14:paraId="18F7BE82" w14:textId="62CA5B1A"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236" w:type="dxa"/>
          </w:tcPr>
          <w:p w14:paraId="73543A2B"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014885A0" w14:textId="23CE1563" w:rsidR="00A71B45" w:rsidRPr="00C17FA7" w:rsidRDefault="00DB4C2B"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10" w:type="dxa"/>
          </w:tcPr>
          <w:p w14:paraId="563B044B" w14:textId="4BB35565" w:rsidR="00A71B45" w:rsidRPr="00C17FA7" w:rsidRDefault="00754F0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7.7</w:t>
            </w:r>
          </w:p>
        </w:tc>
        <w:tc>
          <w:tcPr>
            <w:tcW w:w="236" w:type="dxa"/>
          </w:tcPr>
          <w:p w14:paraId="3120A1CA"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4BEBA0F1" w14:textId="5ED3D0A0"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10" w:type="dxa"/>
          </w:tcPr>
          <w:p w14:paraId="298A203C" w14:textId="690647FF"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330359BE"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22968D7D" w14:textId="68F72566" w:rsidR="00A71B45" w:rsidRPr="00C17FA7" w:rsidRDefault="008B15B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10" w:type="dxa"/>
          </w:tcPr>
          <w:p w14:paraId="04BEC87C" w14:textId="152047F7"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261DE8E2"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647BE38A" w14:textId="6F460B10"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990" w:type="dxa"/>
          </w:tcPr>
          <w:p w14:paraId="7FD5233C" w14:textId="6A9339A3"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10.4</w:t>
            </w:r>
          </w:p>
        </w:tc>
        <w:tc>
          <w:tcPr>
            <w:tcW w:w="270" w:type="dxa"/>
          </w:tcPr>
          <w:p w14:paraId="2EB5A989"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0A35C69D" w14:textId="63446B41"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10" w:type="dxa"/>
          </w:tcPr>
          <w:p w14:paraId="4C112058" w14:textId="60F87F34" w:rsidR="00A71B45" w:rsidRPr="00C17FA7" w:rsidRDefault="00260D2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70" w:type="dxa"/>
          </w:tcPr>
          <w:p w14:paraId="4812A95C"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0EF7FCA6" w14:textId="63D03515"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900" w:type="dxa"/>
          </w:tcPr>
          <w:p w14:paraId="5AA4380E" w14:textId="51E8C7BE"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r>
      <w:tr w:rsidR="00A71B45" w:rsidRPr="00C17FA7" w14:paraId="0CD82652" w14:textId="77777777" w:rsidTr="00044C12">
        <w:tc>
          <w:tcPr>
            <w:tcW w:w="3330" w:type="dxa"/>
          </w:tcPr>
          <w:p w14:paraId="5B7E2D7B"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 DOY</w:t>
            </w:r>
            <w:r>
              <w:rPr>
                <w:rFonts w:ascii="Times New Roman" w:hAnsi="Times New Roman" w:cs="Times New Roman"/>
                <w:sz w:val="24"/>
                <w:szCs w:val="24"/>
              </w:rPr>
              <w:t xml:space="preserve"> </w:t>
            </w:r>
            <w:r w:rsidRPr="00786E77">
              <w:rPr>
                <w:rFonts w:ascii="Times New Roman" w:hAnsi="Times New Roman" w:cs="Times New Roman"/>
                <w:sz w:val="24"/>
                <w:szCs w:val="24"/>
              </w:rPr>
              <w:t>(MU × Y</w:t>
            </w:r>
            <w:r w:rsidRPr="00E56488">
              <w:rPr>
                <w:rFonts w:ascii="Times New Roman" w:hAnsi="Times New Roman" w:cs="Times New Roman"/>
                <w:sz w:val="24"/>
                <w:szCs w:val="24"/>
              </w:rPr>
              <w:t>ear</w:t>
            </w:r>
            <w:r>
              <w:rPr>
                <w:rFonts w:ascii="Times New Roman" w:hAnsi="Times New Roman" w:cs="Times New Roman"/>
                <w:sz w:val="24"/>
                <w:szCs w:val="24"/>
              </w:rPr>
              <w:t>)</w:t>
            </w:r>
          </w:p>
        </w:tc>
        <w:tc>
          <w:tcPr>
            <w:tcW w:w="540" w:type="dxa"/>
          </w:tcPr>
          <w:p w14:paraId="12A39C35" w14:textId="0D8F191D"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900" w:type="dxa"/>
          </w:tcPr>
          <w:p w14:paraId="29AC4C89" w14:textId="777C201C"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236" w:type="dxa"/>
          </w:tcPr>
          <w:p w14:paraId="5200EED9"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08D7D4D3" w14:textId="0AA97222" w:rsidR="00A71B45" w:rsidRPr="00C17FA7" w:rsidRDefault="00DB4C2B"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10" w:type="dxa"/>
          </w:tcPr>
          <w:p w14:paraId="5B0C5BE5" w14:textId="39DFECAB" w:rsidR="00A71B45" w:rsidRPr="00C17FA7" w:rsidRDefault="00754F0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18.3</w:t>
            </w:r>
          </w:p>
        </w:tc>
        <w:tc>
          <w:tcPr>
            <w:tcW w:w="236" w:type="dxa"/>
          </w:tcPr>
          <w:p w14:paraId="042E57B5"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Pr>
          <w:p w14:paraId="00E7635F" w14:textId="2454EB6F"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10" w:type="dxa"/>
          </w:tcPr>
          <w:p w14:paraId="47DBD1DC" w14:textId="6E747258"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270" w:type="dxa"/>
          </w:tcPr>
          <w:p w14:paraId="570EAE0D"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693818D0" w14:textId="4681BB40" w:rsidR="00A71B45" w:rsidRPr="00C17FA7" w:rsidRDefault="008B15B3"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10" w:type="dxa"/>
          </w:tcPr>
          <w:p w14:paraId="281CD994" w14:textId="652AC24E"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270" w:type="dxa"/>
          </w:tcPr>
          <w:p w14:paraId="75D3B976"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567ED4A2" w14:textId="1F1B88F7"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990" w:type="dxa"/>
          </w:tcPr>
          <w:p w14:paraId="5AB032ED" w14:textId="45D67A28"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14.2</w:t>
            </w:r>
          </w:p>
        </w:tc>
        <w:tc>
          <w:tcPr>
            <w:tcW w:w="270" w:type="dxa"/>
          </w:tcPr>
          <w:p w14:paraId="349E9367"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4289A013" w14:textId="055BB584"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10" w:type="dxa"/>
          </w:tcPr>
          <w:p w14:paraId="34CEC195" w14:textId="0613AC44" w:rsidR="00A71B45" w:rsidRPr="00C17FA7" w:rsidRDefault="00A71B45" w:rsidP="00AF048E">
            <w:pPr>
              <w:spacing w:line="480" w:lineRule="auto"/>
              <w:jc w:val="right"/>
              <w:rPr>
                <w:rFonts w:ascii="Times New Roman" w:hAnsi="Times New Roman" w:cs="Times New Roman"/>
                <w:sz w:val="24"/>
                <w:szCs w:val="24"/>
              </w:rPr>
            </w:pPr>
          </w:p>
        </w:tc>
        <w:tc>
          <w:tcPr>
            <w:tcW w:w="270" w:type="dxa"/>
          </w:tcPr>
          <w:p w14:paraId="7AE5524F"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Pr>
          <w:p w14:paraId="4A939117" w14:textId="05F3557C"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900" w:type="dxa"/>
          </w:tcPr>
          <w:p w14:paraId="1A320AE1" w14:textId="7B814CDC"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16.1</w:t>
            </w:r>
          </w:p>
        </w:tc>
      </w:tr>
      <w:tr w:rsidR="00A71B45" w:rsidRPr="00C17FA7" w14:paraId="6597E1C3" w14:textId="77777777" w:rsidTr="00044C12">
        <w:tc>
          <w:tcPr>
            <w:tcW w:w="3330" w:type="dxa"/>
            <w:tcBorders>
              <w:bottom w:val="single" w:sz="4" w:space="0" w:color="auto"/>
            </w:tcBorders>
          </w:tcPr>
          <w:p w14:paraId="5B42BD54" w14:textId="77777777" w:rsidR="00A71B45" w:rsidRPr="00C17FA7" w:rsidRDefault="00A71B45" w:rsidP="00AF048E">
            <w:pPr>
              <w:spacing w:line="480" w:lineRule="auto"/>
              <w:rPr>
                <w:rFonts w:ascii="Times New Roman" w:hAnsi="Times New Roman" w:cs="Times New Roman"/>
                <w:sz w:val="24"/>
                <w:szCs w:val="24"/>
              </w:rPr>
            </w:pPr>
            <w:r w:rsidRPr="00C17FA7">
              <w:rPr>
                <w:rFonts w:ascii="Times New Roman" w:hAnsi="Times New Roman" w:cs="Times New Roman"/>
                <w:sz w:val="24"/>
                <w:szCs w:val="24"/>
              </w:rPr>
              <w:t xml:space="preserve"> Year</w:t>
            </w:r>
            <w:r>
              <w:rPr>
                <w:rFonts w:ascii="Times New Roman" w:hAnsi="Times New Roman" w:cs="Times New Roman"/>
                <w:sz w:val="24"/>
                <w:szCs w:val="24"/>
              </w:rPr>
              <w:t xml:space="preserve"> </w:t>
            </w:r>
            <w:r w:rsidRPr="00786E77">
              <w:rPr>
                <w:rFonts w:ascii="Times New Roman" w:hAnsi="Times New Roman" w:cs="Times New Roman"/>
                <w:sz w:val="24"/>
                <w:szCs w:val="24"/>
              </w:rPr>
              <w:t>(MU × Y</w:t>
            </w:r>
            <w:r w:rsidRPr="00E56488">
              <w:rPr>
                <w:rFonts w:ascii="Times New Roman" w:hAnsi="Times New Roman" w:cs="Times New Roman"/>
                <w:sz w:val="24"/>
                <w:szCs w:val="24"/>
              </w:rPr>
              <w:t>ear</w:t>
            </w:r>
            <w:r>
              <w:rPr>
                <w:rFonts w:ascii="Times New Roman" w:hAnsi="Times New Roman" w:cs="Times New Roman"/>
                <w:sz w:val="24"/>
                <w:szCs w:val="24"/>
              </w:rPr>
              <w:t>)</w:t>
            </w:r>
          </w:p>
        </w:tc>
        <w:tc>
          <w:tcPr>
            <w:tcW w:w="540" w:type="dxa"/>
            <w:tcBorders>
              <w:bottom w:val="single" w:sz="4" w:space="0" w:color="auto"/>
            </w:tcBorders>
          </w:tcPr>
          <w:p w14:paraId="2A66196E" w14:textId="6E93ABCC"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900" w:type="dxa"/>
            <w:tcBorders>
              <w:bottom w:val="single" w:sz="4" w:space="0" w:color="auto"/>
            </w:tcBorders>
          </w:tcPr>
          <w:p w14:paraId="29EA699A" w14:textId="4118DED0" w:rsidR="00A71B45" w:rsidRPr="00C17FA7" w:rsidRDefault="008B0A87"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15.5</w:t>
            </w:r>
          </w:p>
        </w:tc>
        <w:tc>
          <w:tcPr>
            <w:tcW w:w="236" w:type="dxa"/>
            <w:tcBorders>
              <w:bottom w:val="single" w:sz="4" w:space="0" w:color="auto"/>
            </w:tcBorders>
          </w:tcPr>
          <w:p w14:paraId="20E20E37"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Borders>
              <w:bottom w:val="single" w:sz="4" w:space="0" w:color="auto"/>
            </w:tcBorders>
          </w:tcPr>
          <w:p w14:paraId="1B482295" w14:textId="1E3EF55B" w:rsidR="00A71B45" w:rsidRPr="00C17FA7" w:rsidRDefault="00DB4C2B"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10" w:type="dxa"/>
            <w:tcBorders>
              <w:bottom w:val="single" w:sz="4" w:space="0" w:color="auto"/>
            </w:tcBorders>
          </w:tcPr>
          <w:p w14:paraId="3963765C" w14:textId="5E8721F4" w:rsidR="00A71B45" w:rsidRPr="00C17FA7" w:rsidRDefault="00754F0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79.6</w:t>
            </w:r>
          </w:p>
        </w:tc>
        <w:tc>
          <w:tcPr>
            <w:tcW w:w="236" w:type="dxa"/>
            <w:tcBorders>
              <w:bottom w:val="single" w:sz="4" w:space="0" w:color="auto"/>
            </w:tcBorders>
          </w:tcPr>
          <w:p w14:paraId="37C08528" w14:textId="77777777" w:rsidR="00A71B45" w:rsidRPr="00C17FA7" w:rsidRDefault="00A71B45" w:rsidP="00AF048E">
            <w:pPr>
              <w:spacing w:line="480" w:lineRule="auto"/>
              <w:jc w:val="right"/>
              <w:rPr>
                <w:rFonts w:ascii="Times New Roman" w:hAnsi="Times New Roman" w:cs="Times New Roman"/>
                <w:sz w:val="24"/>
                <w:szCs w:val="24"/>
              </w:rPr>
            </w:pPr>
          </w:p>
        </w:tc>
        <w:tc>
          <w:tcPr>
            <w:tcW w:w="484" w:type="dxa"/>
            <w:tcBorders>
              <w:bottom w:val="single" w:sz="4" w:space="0" w:color="auto"/>
            </w:tcBorders>
          </w:tcPr>
          <w:p w14:paraId="6FC13249" w14:textId="497DD8E6" w:rsidR="00A71B45" w:rsidRPr="00C17FA7" w:rsidRDefault="0058166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10" w:type="dxa"/>
            <w:tcBorders>
              <w:bottom w:val="single" w:sz="4" w:space="0" w:color="auto"/>
            </w:tcBorders>
          </w:tcPr>
          <w:p w14:paraId="61B303CB" w14:textId="0C7D1380" w:rsidR="00A71B45" w:rsidRPr="00C17FA7" w:rsidRDefault="004F3F8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28.8</w:t>
            </w:r>
          </w:p>
        </w:tc>
        <w:tc>
          <w:tcPr>
            <w:tcW w:w="270" w:type="dxa"/>
            <w:tcBorders>
              <w:bottom w:val="single" w:sz="4" w:space="0" w:color="auto"/>
            </w:tcBorders>
          </w:tcPr>
          <w:p w14:paraId="2BA56487"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030E6A76" w14:textId="5F603322"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10" w:type="dxa"/>
            <w:tcBorders>
              <w:bottom w:val="single" w:sz="4" w:space="0" w:color="auto"/>
            </w:tcBorders>
          </w:tcPr>
          <w:p w14:paraId="5B16D50E" w14:textId="1BE03013" w:rsidR="00A71B45" w:rsidRPr="00C17FA7" w:rsidRDefault="00A15742"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111.5</w:t>
            </w:r>
          </w:p>
        </w:tc>
        <w:tc>
          <w:tcPr>
            <w:tcW w:w="270" w:type="dxa"/>
            <w:tcBorders>
              <w:bottom w:val="single" w:sz="4" w:space="0" w:color="auto"/>
            </w:tcBorders>
          </w:tcPr>
          <w:p w14:paraId="15F87007"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76EE8346" w14:textId="011174AE" w:rsidR="00A71B45" w:rsidRPr="00C17FA7" w:rsidRDefault="004E3589"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Borders>
              <w:bottom w:val="single" w:sz="4" w:space="0" w:color="auto"/>
            </w:tcBorders>
          </w:tcPr>
          <w:p w14:paraId="372F0041" w14:textId="570CAD72" w:rsidR="00A71B45" w:rsidRPr="00C17FA7" w:rsidRDefault="00926AD0"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134.8</w:t>
            </w:r>
          </w:p>
        </w:tc>
        <w:tc>
          <w:tcPr>
            <w:tcW w:w="270" w:type="dxa"/>
            <w:tcBorders>
              <w:bottom w:val="single" w:sz="4" w:space="0" w:color="auto"/>
            </w:tcBorders>
          </w:tcPr>
          <w:p w14:paraId="21297FC7"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5017B7AE" w14:textId="46772708" w:rsidR="00A71B45" w:rsidRPr="00C17FA7" w:rsidRDefault="00A83FA4"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10" w:type="dxa"/>
            <w:tcBorders>
              <w:bottom w:val="single" w:sz="4" w:space="0" w:color="auto"/>
            </w:tcBorders>
          </w:tcPr>
          <w:p w14:paraId="38EE6581" w14:textId="1DB1D8A2" w:rsidR="00A71B45" w:rsidRPr="00C17FA7" w:rsidRDefault="00260D2A"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20.6</w:t>
            </w:r>
          </w:p>
        </w:tc>
        <w:tc>
          <w:tcPr>
            <w:tcW w:w="270" w:type="dxa"/>
            <w:tcBorders>
              <w:bottom w:val="single" w:sz="4" w:space="0" w:color="auto"/>
            </w:tcBorders>
          </w:tcPr>
          <w:p w14:paraId="2CB8D0CB" w14:textId="77777777" w:rsidR="00A71B45" w:rsidRPr="00C17FA7" w:rsidRDefault="00A71B45" w:rsidP="00AF048E">
            <w:pPr>
              <w:spacing w:line="480" w:lineRule="auto"/>
              <w:jc w:val="right"/>
              <w:rPr>
                <w:rFonts w:ascii="Times New Roman" w:hAnsi="Times New Roman" w:cs="Times New Roman"/>
                <w:sz w:val="24"/>
                <w:szCs w:val="24"/>
              </w:rPr>
            </w:pPr>
          </w:p>
        </w:tc>
        <w:tc>
          <w:tcPr>
            <w:tcW w:w="540" w:type="dxa"/>
            <w:tcBorders>
              <w:bottom w:val="single" w:sz="4" w:space="0" w:color="auto"/>
            </w:tcBorders>
          </w:tcPr>
          <w:p w14:paraId="492EC7CC" w14:textId="4C398BF2" w:rsidR="00A71B45" w:rsidRPr="00C17FA7" w:rsidRDefault="00F61AEC"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900" w:type="dxa"/>
            <w:tcBorders>
              <w:bottom w:val="single" w:sz="4" w:space="0" w:color="auto"/>
            </w:tcBorders>
          </w:tcPr>
          <w:p w14:paraId="22B3C4F6" w14:textId="4C84D48B" w:rsidR="00A71B45" w:rsidRPr="00C17FA7" w:rsidRDefault="000E19AF" w:rsidP="00AF048E">
            <w:pPr>
              <w:spacing w:line="480" w:lineRule="auto"/>
              <w:jc w:val="right"/>
              <w:rPr>
                <w:rFonts w:ascii="Times New Roman" w:hAnsi="Times New Roman" w:cs="Times New Roman"/>
                <w:sz w:val="24"/>
                <w:szCs w:val="24"/>
              </w:rPr>
            </w:pPr>
            <w:r>
              <w:rPr>
                <w:rFonts w:ascii="Times New Roman" w:hAnsi="Times New Roman" w:cs="Times New Roman"/>
                <w:sz w:val="24"/>
                <w:szCs w:val="24"/>
              </w:rPr>
              <w:t>38.3</w:t>
            </w:r>
          </w:p>
        </w:tc>
      </w:tr>
    </w:tbl>
    <w:p w14:paraId="0EBCF239" w14:textId="1EADE88E" w:rsidR="00A71B45" w:rsidRDefault="00A71B45" w:rsidP="00A71B45">
      <w:pPr>
        <w:pStyle w:val="HTMLPreformatted"/>
        <w:shd w:val="clear" w:color="auto" w:fill="FFFFFF"/>
        <w:rPr>
          <w:rFonts w:ascii="Lucida Console" w:hAnsi="Lucida Console"/>
          <w:color w:val="000000"/>
        </w:rPr>
      </w:pPr>
    </w:p>
    <w:p w14:paraId="4CEF5B3D" w14:textId="186AC10C" w:rsidR="00475A6E" w:rsidRDefault="00A71B45" w:rsidP="00A71B45">
      <w:pPr>
        <w:spacing w:line="240" w:lineRule="auto"/>
      </w:pPr>
      <w:r>
        <w:rPr>
          <w:vertAlign w:val="superscript"/>
        </w:rPr>
        <w:t>a</w:t>
      </w:r>
      <w:r>
        <w:t xml:space="preserve"> </w:t>
      </w:r>
      <w:r w:rsidR="00475A6E">
        <w:t>Not all models were estimable</w:t>
      </w:r>
      <w:r w:rsidR="002E7670">
        <w:t>.</w:t>
      </w:r>
    </w:p>
    <w:p w14:paraId="01A53C45" w14:textId="202D7B48" w:rsidR="00A71B45" w:rsidRDefault="00475A6E" w:rsidP="00A71B45">
      <w:pPr>
        <w:spacing w:line="240" w:lineRule="auto"/>
      </w:pPr>
      <w:r>
        <w:rPr>
          <w:vertAlign w:val="superscript"/>
        </w:rPr>
        <w:t>b</w:t>
      </w:r>
      <w:r>
        <w:t xml:space="preserve"> </w:t>
      </w:r>
      <w:r w:rsidR="00A71B45">
        <w:t xml:space="preserve">Number of parameters in the model. </w:t>
      </w:r>
    </w:p>
    <w:p w14:paraId="3B05C216" w14:textId="3F934E6A" w:rsidR="00A71B45" w:rsidRDefault="002E7670" w:rsidP="00A71B45">
      <w:pPr>
        <w:spacing w:line="240" w:lineRule="auto"/>
      </w:pPr>
      <w:r>
        <w:rPr>
          <w:vertAlign w:val="superscript"/>
        </w:rPr>
        <w:t>c</w:t>
      </w:r>
      <w:r w:rsidR="00A71B45">
        <w:t xml:space="preserve"> Difference in Akaike’s information criterion (AIC) compared to the model with the lowest AIC value.</w:t>
      </w:r>
    </w:p>
    <w:p w14:paraId="0F969202" w14:textId="6223D344" w:rsidR="00AA531A" w:rsidRPr="006754FB" w:rsidRDefault="002E7670" w:rsidP="009214A8">
      <w:pPr>
        <w:spacing w:line="480" w:lineRule="auto"/>
      </w:pPr>
      <w:r>
        <w:rPr>
          <w:vertAlign w:val="superscript"/>
        </w:rPr>
        <w:t>d</w:t>
      </w:r>
      <w:r w:rsidR="00A71B45">
        <w:t xml:space="preserve"> Year was a categorical variable, DOY </w:t>
      </w:r>
      <w:r w:rsidR="002977B4">
        <w:t xml:space="preserve">was </w:t>
      </w:r>
      <w:r w:rsidR="00A71B45">
        <w:t xml:space="preserve">calendar day, and MU </w:t>
      </w:r>
      <w:r w:rsidR="002977B4">
        <w:t xml:space="preserve">was </w:t>
      </w:r>
      <w:r w:rsidR="00A71B45">
        <w:t xml:space="preserve">management unit. Variables in parentheses </w:t>
      </w:r>
      <w:r w:rsidR="002977B4">
        <w:t xml:space="preserve">describe </w:t>
      </w:r>
      <w:r w:rsidR="0065618A">
        <w:t xml:space="preserve">the </w:t>
      </w:r>
      <w:r w:rsidR="00A71B45">
        <w:t>random effect</w:t>
      </w:r>
      <w:r w:rsidR="002977B4">
        <w:t xml:space="preserve"> pattern</w:t>
      </w:r>
      <w:r w:rsidR="002C6741">
        <w:t xml:space="preserve"> (see Methods)</w:t>
      </w:r>
    </w:p>
    <w:sectPr w:rsidR="00AA531A" w:rsidRPr="006754FB" w:rsidSect="00381F78">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F5F76" w14:textId="77777777" w:rsidR="00FC2F5E" w:rsidRDefault="00FC2F5E" w:rsidP="00905338">
      <w:pPr>
        <w:spacing w:after="0" w:line="240" w:lineRule="auto"/>
      </w:pPr>
      <w:r>
        <w:separator/>
      </w:r>
    </w:p>
  </w:endnote>
  <w:endnote w:type="continuationSeparator" w:id="0">
    <w:p w14:paraId="2FAD82B8" w14:textId="77777777" w:rsidR="00FC2F5E" w:rsidRDefault="00FC2F5E" w:rsidP="00905338">
      <w:pPr>
        <w:spacing w:after="0" w:line="240" w:lineRule="auto"/>
      </w:pPr>
      <w:r>
        <w:continuationSeparator/>
      </w:r>
    </w:p>
  </w:endnote>
  <w:endnote w:type="continuationNotice" w:id="1">
    <w:p w14:paraId="7FE52FCD" w14:textId="77777777" w:rsidR="00FC2F5E" w:rsidRDefault="00FC2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70226" w14:textId="77777777" w:rsidR="00FC2F5E" w:rsidRDefault="00FC2F5E" w:rsidP="00905338">
      <w:pPr>
        <w:spacing w:after="0" w:line="240" w:lineRule="auto"/>
      </w:pPr>
      <w:r>
        <w:separator/>
      </w:r>
    </w:p>
  </w:footnote>
  <w:footnote w:type="continuationSeparator" w:id="0">
    <w:p w14:paraId="5585E64C" w14:textId="77777777" w:rsidR="00FC2F5E" w:rsidRDefault="00FC2F5E" w:rsidP="00905338">
      <w:pPr>
        <w:spacing w:after="0" w:line="240" w:lineRule="auto"/>
      </w:pPr>
      <w:r>
        <w:continuationSeparator/>
      </w:r>
    </w:p>
  </w:footnote>
  <w:footnote w:type="continuationNotice" w:id="1">
    <w:p w14:paraId="262C14FD" w14:textId="77777777" w:rsidR="00FC2F5E" w:rsidRDefault="00FC2F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304013"/>
      <w:docPartObj>
        <w:docPartGallery w:val="Page Numbers (Top of Page)"/>
        <w:docPartUnique/>
      </w:docPartObj>
    </w:sdtPr>
    <w:sdtEndPr>
      <w:rPr>
        <w:noProof/>
      </w:rPr>
    </w:sdtEndPr>
    <w:sdtContent>
      <w:p w14:paraId="0116A037" w14:textId="6EC19189" w:rsidR="00AF048E" w:rsidRDefault="00AF048E">
        <w:pPr>
          <w:pStyle w:val="Header"/>
        </w:pPr>
        <w:r>
          <w:fldChar w:fldCharType="begin"/>
        </w:r>
        <w:r>
          <w:instrText xml:space="preserve"> PAGE   \* MERGEFORMAT </w:instrText>
        </w:r>
        <w:r>
          <w:fldChar w:fldCharType="separate"/>
        </w:r>
        <w:r w:rsidR="004F6E48">
          <w:rPr>
            <w:noProof/>
          </w:rPr>
          <w:t>26</w:t>
        </w:r>
        <w:r>
          <w:rPr>
            <w:noProof/>
          </w:rPr>
          <w:fldChar w:fldCharType="end"/>
        </w:r>
        <w:r>
          <w:rPr>
            <w:noProof/>
          </w:rPr>
          <w:t xml:space="preserve"> | Diefenbach et al.</w:t>
        </w:r>
      </w:p>
    </w:sdtContent>
  </w:sdt>
  <w:p w14:paraId="5475F3A3" w14:textId="77777777" w:rsidR="00AF048E" w:rsidRDefault="00AF0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83AE9"/>
    <w:multiLevelType w:val="hybridMultilevel"/>
    <w:tmpl w:val="82DEE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F6321"/>
    <w:multiLevelType w:val="hybridMultilevel"/>
    <w:tmpl w:val="D4AC8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E72CE"/>
    <w:multiLevelType w:val="hybridMultilevel"/>
    <w:tmpl w:val="510EE8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1259AC"/>
    <w:multiLevelType w:val="hybridMultilevel"/>
    <w:tmpl w:val="4258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A5CCA"/>
    <w:multiLevelType w:val="hybridMultilevel"/>
    <w:tmpl w:val="7226B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A251C"/>
    <w:multiLevelType w:val="hybridMultilevel"/>
    <w:tmpl w:val="3F642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184320">
    <w:abstractNumId w:val="3"/>
  </w:num>
  <w:num w:numId="2" w16cid:durableId="391805867">
    <w:abstractNumId w:val="1"/>
  </w:num>
  <w:num w:numId="3" w16cid:durableId="2043745736">
    <w:abstractNumId w:val="4"/>
  </w:num>
  <w:num w:numId="4" w16cid:durableId="840318785">
    <w:abstractNumId w:val="5"/>
  </w:num>
  <w:num w:numId="5" w16cid:durableId="304354493">
    <w:abstractNumId w:val="2"/>
  </w:num>
  <w:num w:numId="6" w16cid:durableId="100679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C15"/>
    <w:rsid w:val="000011D6"/>
    <w:rsid w:val="00003034"/>
    <w:rsid w:val="0000474D"/>
    <w:rsid w:val="00006AAE"/>
    <w:rsid w:val="000103ED"/>
    <w:rsid w:val="00010CD6"/>
    <w:rsid w:val="00010F91"/>
    <w:rsid w:val="000114E7"/>
    <w:rsid w:val="00012227"/>
    <w:rsid w:val="00012A04"/>
    <w:rsid w:val="00013404"/>
    <w:rsid w:val="00013733"/>
    <w:rsid w:val="000153F5"/>
    <w:rsid w:val="000155BB"/>
    <w:rsid w:val="000155C8"/>
    <w:rsid w:val="0001691F"/>
    <w:rsid w:val="00016DBE"/>
    <w:rsid w:val="00016F5F"/>
    <w:rsid w:val="0001760C"/>
    <w:rsid w:val="00017DE3"/>
    <w:rsid w:val="00021C65"/>
    <w:rsid w:val="0002232C"/>
    <w:rsid w:val="000223DA"/>
    <w:rsid w:val="0002374C"/>
    <w:rsid w:val="0002383C"/>
    <w:rsid w:val="00024412"/>
    <w:rsid w:val="00024ADE"/>
    <w:rsid w:val="00024B13"/>
    <w:rsid w:val="000251EC"/>
    <w:rsid w:val="000261F1"/>
    <w:rsid w:val="00027D67"/>
    <w:rsid w:val="0003077D"/>
    <w:rsid w:val="000315B3"/>
    <w:rsid w:val="000328C2"/>
    <w:rsid w:val="000337F8"/>
    <w:rsid w:val="00034155"/>
    <w:rsid w:val="00035196"/>
    <w:rsid w:val="000355F4"/>
    <w:rsid w:val="00035842"/>
    <w:rsid w:val="00035A63"/>
    <w:rsid w:val="00036456"/>
    <w:rsid w:val="00036C4A"/>
    <w:rsid w:val="00036CE0"/>
    <w:rsid w:val="000402F1"/>
    <w:rsid w:val="00040E32"/>
    <w:rsid w:val="00042580"/>
    <w:rsid w:val="000429F9"/>
    <w:rsid w:val="00042E5E"/>
    <w:rsid w:val="00044175"/>
    <w:rsid w:val="00044C12"/>
    <w:rsid w:val="00045184"/>
    <w:rsid w:val="0004518E"/>
    <w:rsid w:val="00046579"/>
    <w:rsid w:val="000468FF"/>
    <w:rsid w:val="00047353"/>
    <w:rsid w:val="00051211"/>
    <w:rsid w:val="00051235"/>
    <w:rsid w:val="0005158A"/>
    <w:rsid w:val="00051868"/>
    <w:rsid w:val="0005314F"/>
    <w:rsid w:val="00053AD2"/>
    <w:rsid w:val="00053FDF"/>
    <w:rsid w:val="0005426B"/>
    <w:rsid w:val="0005450B"/>
    <w:rsid w:val="00054772"/>
    <w:rsid w:val="000549EC"/>
    <w:rsid w:val="000568EF"/>
    <w:rsid w:val="00056983"/>
    <w:rsid w:val="00056F82"/>
    <w:rsid w:val="0005790D"/>
    <w:rsid w:val="00060651"/>
    <w:rsid w:val="00060D6A"/>
    <w:rsid w:val="000613FE"/>
    <w:rsid w:val="000626D1"/>
    <w:rsid w:val="00062AED"/>
    <w:rsid w:val="000630A0"/>
    <w:rsid w:val="000632C6"/>
    <w:rsid w:val="00063BFD"/>
    <w:rsid w:val="0006405E"/>
    <w:rsid w:val="00064D2E"/>
    <w:rsid w:val="000671F0"/>
    <w:rsid w:val="000678CC"/>
    <w:rsid w:val="00070F07"/>
    <w:rsid w:val="00071006"/>
    <w:rsid w:val="000714C2"/>
    <w:rsid w:val="00071804"/>
    <w:rsid w:val="0007231D"/>
    <w:rsid w:val="000727C9"/>
    <w:rsid w:val="0007282B"/>
    <w:rsid w:val="000729CC"/>
    <w:rsid w:val="00074447"/>
    <w:rsid w:val="000744C3"/>
    <w:rsid w:val="00075981"/>
    <w:rsid w:val="000761DD"/>
    <w:rsid w:val="0007736A"/>
    <w:rsid w:val="0008050D"/>
    <w:rsid w:val="000805B2"/>
    <w:rsid w:val="00081734"/>
    <w:rsid w:val="00082953"/>
    <w:rsid w:val="0008299C"/>
    <w:rsid w:val="00082BB6"/>
    <w:rsid w:val="00083081"/>
    <w:rsid w:val="00083687"/>
    <w:rsid w:val="00083E3D"/>
    <w:rsid w:val="0008445A"/>
    <w:rsid w:val="000858ED"/>
    <w:rsid w:val="00086127"/>
    <w:rsid w:val="00086288"/>
    <w:rsid w:val="00090B2F"/>
    <w:rsid w:val="000910D5"/>
    <w:rsid w:val="00091FA5"/>
    <w:rsid w:val="000923E1"/>
    <w:rsid w:val="00092D26"/>
    <w:rsid w:val="00094B78"/>
    <w:rsid w:val="000955C8"/>
    <w:rsid w:val="00096115"/>
    <w:rsid w:val="00096571"/>
    <w:rsid w:val="000A0BB7"/>
    <w:rsid w:val="000A2786"/>
    <w:rsid w:val="000A52C9"/>
    <w:rsid w:val="000A5D85"/>
    <w:rsid w:val="000A65AF"/>
    <w:rsid w:val="000A70F1"/>
    <w:rsid w:val="000A713D"/>
    <w:rsid w:val="000A723B"/>
    <w:rsid w:val="000A7441"/>
    <w:rsid w:val="000A77E5"/>
    <w:rsid w:val="000A7ED4"/>
    <w:rsid w:val="000B1713"/>
    <w:rsid w:val="000B25A3"/>
    <w:rsid w:val="000B2793"/>
    <w:rsid w:val="000B2FFB"/>
    <w:rsid w:val="000B3F77"/>
    <w:rsid w:val="000B476B"/>
    <w:rsid w:val="000B4CEE"/>
    <w:rsid w:val="000B5043"/>
    <w:rsid w:val="000B50A1"/>
    <w:rsid w:val="000B5AC9"/>
    <w:rsid w:val="000B667C"/>
    <w:rsid w:val="000B703B"/>
    <w:rsid w:val="000B788B"/>
    <w:rsid w:val="000C02B1"/>
    <w:rsid w:val="000C0F0D"/>
    <w:rsid w:val="000C1615"/>
    <w:rsid w:val="000C1F7F"/>
    <w:rsid w:val="000C2684"/>
    <w:rsid w:val="000C28B0"/>
    <w:rsid w:val="000C2C3C"/>
    <w:rsid w:val="000C2D51"/>
    <w:rsid w:val="000C3EC1"/>
    <w:rsid w:val="000C4101"/>
    <w:rsid w:val="000C42DE"/>
    <w:rsid w:val="000C5370"/>
    <w:rsid w:val="000C5537"/>
    <w:rsid w:val="000C6B5B"/>
    <w:rsid w:val="000C7259"/>
    <w:rsid w:val="000C736D"/>
    <w:rsid w:val="000C7517"/>
    <w:rsid w:val="000C7EBE"/>
    <w:rsid w:val="000D09ED"/>
    <w:rsid w:val="000D11E7"/>
    <w:rsid w:val="000D23E6"/>
    <w:rsid w:val="000D2965"/>
    <w:rsid w:val="000D2BE4"/>
    <w:rsid w:val="000D32F8"/>
    <w:rsid w:val="000D345D"/>
    <w:rsid w:val="000D39E6"/>
    <w:rsid w:val="000D4E46"/>
    <w:rsid w:val="000D5734"/>
    <w:rsid w:val="000D5DFD"/>
    <w:rsid w:val="000D62B5"/>
    <w:rsid w:val="000D67B3"/>
    <w:rsid w:val="000D723D"/>
    <w:rsid w:val="000D72A4"/>
    <w:rsid w:val="000D76FF"/>
    <w:rsid w:val="000D78E6"/>
    <w:rsid w:val="000D7C00"/>
    <w:rsid w:val="000D7F79"/>
    <w:rsid w:val="000E0CCF"/>
    <w:rsid w:val="000E199F"/>
    <w:rsid w:val="000E19AF"/>
    <w:rsid w:val="000E27EA"/>
    <w:rsid w:val="000E28D1"/>
    <w:rsid w:val="000E3F27"/>
    <w:rsid w:val="000E41D5"/>
    <w:rsid w:val="000E4BE9"/>
    <w:rsid w:val="000E4CFD"/>
    <w:rsid w:val="000E4E75"/>
    <w:rsid w:val="000E4ED6"/>
    <w:rsid w:val="000E64FE"/>
    <w:rsid w:val="000E6E3B"/>
    <w:rsid w:val="000E7924"/>
    <w:rsid w:val="000F028B"/>
    <w:rsid w:val="000F0606"/>
    <w:rsid w:val="000F07DD"/>
    <w:rsid w:val="000F0B47"/>
    <w:rsid w:val="000F11ED"/>
    <w:rsid w:val="000F1752"/>
    <w:rsid w:val="000F1C35"/>
    <w:rsid w:val="000F1F1A"/>
    <w:rsid w:val="000F2443"/>
    <w:rsid w:val="000F3267"/>
    <w:rsid w:val="000F3900"/>
    <w:rsid w:val="000F3D6A"/>
    <w:rsid w:val="000F46A7"/>
    <w:rsid w:val="000F48BB"/>
    <w:rsid w:val="000F66F8"/>
    <w:rsid w:val="001004A2"/>
    <w:rsid w:val="00100A58"/>
    <w:rsid w:val="00100C71"/>
    <w:rsid w:val="00102627"/>
    <w:rsid w:val="001027B9"/>
    <w:rsid w:val="00105108"/>
    <w:rsid w:val="0010531D"/>
    <w:rsid w:val="00105462"/>
    <w:rsid w:val="0010570A"/>
    <w:rsid w:val="00105A55"/>
    <w:rsid w:val="00106216"/>
    <w:rsid w:val="001079DF"/>
    <w:rsid w:val="0011114F"/>
    <w:rsid w:val="0011136E"/>
    <w:rsid w:val="00112934"/>
    <w:rsid w:val="00112B79"/>
    <w:rsid w:val="00113333"/>
    <w:rsid w:val="00113636"/>
    <w:rsid w:val="001139D6"/>
    <w:rsid w:val="001147FE"/>
    <w:rsid w:val="00115D75"/>
    <w:rsid w:val="00116164"/>
    <w:rsid w:val="001164C5"/>
    <w:rsid w:val="00116B13"/>
    <w:rsid w:val="00116DEC"/>
    <w:rsid w:val="00117DFA"/>
    <w:rsid w:val="00120302"/>
    <w:rsid w:val="001209B2"/>
    <w:rsid w:val="0012117C"/>
    <w:rsid w:val="0012170A"/>
    <w:rsid w:val="00121862"/>
    <w:rsid w:val="00122120"/>
    <w:rsid w:val="00122428"/>
    <w:rsid w:val="00122824"/>
    <w:rsid w:val="00122D98"/>
    <w:rsid w:val="00122F9C"/>
    <w:rsid w:val="0012334C"/>
    <w:rsid w:val="00124D9F"/>
    <w:rsid w:val="00126235"/>
    <w:rsid w:val="00126245"/>
    <w:rsid w:val="001265B7"/>
    <w:rsid w:val="00126C66"/>
    <w:rsid w:val="00127CDD"/>
    <w:rsid w:val="00127F2B"/>
    <w:rsid w:val="00130F0C"/>
    <w:rsid w:val="00131744"/>
    <w:rsid w:val="00133362"/>
    <w:rsid w:val="00133410"/>
    <w:rsid w:val="00133592"/>
    <w:rsid w:val="0013392C"/>
    <w:rsid w:val="00133A4A"/>
    <w:rsid w:val="00134CED"/>
    <w:rsid w:val="00136B01"/>
    <w:rsid w:val="00136E85"/>
    <w:rsid w:val="00140455"/>
    <w:rsid w:val="001404D4"/>
    <w:rsid w:val="00140F4B"/>
    <w:rsid w:val="0014122A"/>
    <w:rsid w:val="00141B1A"/>
    <w:rsid w:val="00141ECA"/>
    <w:rsid w:val="001420CD"/>
    <w:rsid w:val="001429A7"/>
    <w:rsid w:val="00142B53"/>
    <w:rsid w:val="00142DA3"/>
    <w:rsid w:val="00143653"/>
    <w:rsid w:val="00143764"/>
    <w:rsid w:val="00143F69"/>
    <w:rsid w:val="00144F67"/>
    <w:rsid w:val="00145013"/>
    <w:rsid w:val="00147D94"/>
    <w:rsid w:val="00151248"/>
    <w:rsid w:val="001517AC"/>
    <w:rsid w:val="001519AE"/>
    <w:rsid w:val="00152578"/>
    <w:rsid w:val="0015325F"/>
    <w:rsid w:val="00153DB7"/>
    <w:rsid w:val="0015410B"/>
    <w:rsid w:val="00155C83"/>
    <w:rsid w:val="001574C5"/>
    <w:rsid w:val="001578BF"/>
    <w:rsid w:val="00160E10"/>
    <w:rsid w:val="001624CE"/>
    <w:rsid w:val="0016304A"/>
    <w:rsid w:val="001639F5"/>
    <w:rsid w:val="00164E9E"/>
    <w:rsid w:val="00164F08"/>
    <w:rsid w:val="00164F84"/>
    <w:rsid w:val="00166114"/>
    <w:rsid w:val="00167BF6"/>
    <w:rsid w:val="00167E8F"/>
    <w:rsid w:val="00170370"/>
    <w:rsid w:val="00170855"/>
    <w:rsid w:val="00173A90"/>
    <w:rsid w:val="00173C5C"/>
    <w:rsid w:val="00175180"/>
    <w:rsid w:val="00175E16"/>
    <w:rsid w:val="001764A8"/>
    <w:rsid w:val="0017702C"/>
    <w:rsid w:val="0018006C"/>
    <w:rsid w:val="00180D40"/>
    <w:rsid w:val="00180F69"/>
    <w:rsid w:val="00182CE6"/>
    <w:rsid w:val="001838AF"/>
    <w:rsid w:val="00185E1E"/>
    <w:rsid w:val="001861E5"/>
    <w:rsid w:val="00186A48"/>
    <w:rsid w:val="00187100"/>
    <w:rsid w:val="00187813"/>
    <w:rsid w:val="00187CC6"/>
    <w:rsid w:val="001907BC"/>
    <w:rsid w:val="00190A19"/>
    <w:rsid w:val="00190D99"/>
    <w:rsid w:val="00190F64"/>
    <w:rsid w:val="00191809"/>
    <w:rsid w:val="00192AF2"/>
    <w:rsid w:val="00192EF7"/>
    <w:rsid w:val="00193138"/>
    <w:rsid w:val="00193486"/>
    <w:rsid w:val="00193639"/>
    <w:rsid w:val="001953FA"/>
    <w:rsid w:val="001969E0"/>
    <w:rsid w:val="00197EC8"/>
    <w:rsid w:val="001A06E0"/>
    <w:rsid w:val="001A0A95"/>
    <w:rsid w:val="001A0E93"/>
    <w:rsid w:val="001A0F41"/>
    <w:rsid w:val="001A1053"/>
    <w:rsid w:val="001A15E4"/>
    <w:rsid w:val="001A1C00"/>
    <w:rsid w:val="001A2B3A"/>
    <w:rsid w:val="001A371E"/>
    <w:rsid w:val="001A38B9"/>
    <w:rsid w:val="001A39EF"/>
    <w:rsid w:val="001A40EF"/>
    <w:rsid w:val="001A4562"/>
    <w:rsid w:val="001A4789"/>
    <w:rsid w:val="001A5321"/>
    <w:rsid w:val="001A6454"/>
    <w:rsid w:val="001A6B58"/>
    <w:rsid w:val="001A754C"/>
    <w:rsid w:val="001A7AA8"/>
    <w:rsid w:val="001B11A4"/>
    <w:rsid w:val="001B1CEE"/>
    <w:rsid w:val="001B4145"/>
    <w:rsid w:val="001B4B83"/>
    <w:rsid w:val="001B6A13"/>
    <w:rsid w:val="001B7D2D"/>
    <w:rsid w:val="001C0776"/>
    <w:rsid w:val="001C0DA5"/>
    <w:rsid w:val="001C1C55"/>
    <w:rsid w:val="001C3556"/>
    <w:rsid w:val="001C37B4"/>
    <w:rsid w:val="001C3AC4"/>
    <w:rsid w:val="001C4988"/>
    <w:rsid w:val="001C5BF5"/>
    <w:rsid w:val="001C6234"/>
    <w:rsid w:val="001C6DEB"/>
    <w:rsid w:val="001C7CF2"/>
    <w:rsid w:val="001C7F82"/>
    <w:rsid w:val="001D0A01"/>
    <w:rsid w:val="001D2B7D"/>
    <w:rsid w:val="001D3063"/>
    <w:rsid w:val="001D31C7"/>
    <w:rsid w:val="001D3673"/>
    <w:rsid w:val="001D5B3F"/>
    <w:rsid w:val="001D6AD5"/>
    <w:rsid w:val="001D7AEB"/>
    <w:rsid w:val="001D7CEA"/>
    <w:rsid w:val="001E0B8D"/>
    <w:rsid w:val="001E1361"/>
    <w:rsid w:val="001E172D"/>
    <w:rsid w:val="001E1900"/>
    <w:rsid w:val="001E232E"/>
    <w:rsid w:val="001E25CB"/>
    <w:rsid w:val="001E3673"/>
    <w:rsid w:val="001E3ECB"/>
    <w:rsid w:val="001E3F29"/>
    <w:rsid w:val="001E4D75"/>
    <w:rsid w:val="001E4E20"/>
    <w:rsid w:val="001E580F"/>
    <w:rsid w:val="001E6CDB"/>
    <w:rsid w:val="001E7E65"/>
    <w:rsid w:val="001E7F86"/>
    <w:rsid w:val="001F0FF5"/>
    <w:rsid w:val="001F1D10"/>
    <w:rsid w:val="001F1DD6"/>
    <w:rsid w:val="001F1E4B"/>
    <w:rsid w:val="001F24EF"/>
    <w:rsid w:val="001F2D42"/>
    <w:rsid w:val="001F3682"/>
    <w:rsid w:val="001F36B7"/>
    <w:rsid w:val="001F4053"/>
    <w:rsid w:val="001F54BA"/>
    <w:rsid w:val="001F6042"/>
    <w:rsid w:val="001F68DD"/>
    <w:rsid w:val="001F69E1"/>
    <w:rsid w:val="00200577"/>
    <w:rsid w:val="002029E2"/>
    <w:rsid w:val="002058CD"/>
    <w:rsid w:val="002065EF"/>
    <w:rsid w:val="00206E5F"/>
    <w:rsid w:val="00207324"/>
    <w:rsid w:val="00207B56"/>
    <w:rsid w:val="002113F8"/>
    <w:rsid w:val="00213FFD"/>
    <w:rsid w:val="00214D07"/>
    <w:rsid w:val="0021578C"/>
    <w:rsid w:val="00215A66"/>
    <w:rsid w:val="00215A92"/>
    <w:rsid w:val="002162B3"/>
    <w:rsid w:val="002169AA"/>
    <w:rsid w:val="002200DD"/>
    <w:rsid w:val="0022104B"/>
    <w:rsid w:val="00221591"/>
    <w:rsid w:val="00222947"/>
    <w:rsid w:val="002237C3"/>
    <w:rsid w:val="0022388D"/>
    <w:rsid w:val="00223DB6"/>
    <w:rsid w:val="0022551C"/>
    <w:rsid w:val="00225A85"/>
    <w:rsid w:val="00225AF7"/>
    <w:rsid w:val="0022613F"/>
    <w:rsid w:val="002263DA"/>
    <w:rsid w:val="00226806"/>
    <w:rsid w:val="00226D4C"/>
    <w:rsid w:val="00230C27"/>
    <w:rsid w:val="002312E3"/>
    <w:rsid w:val="002322EB"/>
    <w:rsid w:val="00232899"/>
    <w:rsid w:val="00232ECD"/>
    <w:rsid w:val="00233166"/>
    <w:rsid w:val="002333D3"/>
    <w:rsid w:val="0023407B"/>
    <w:rsid w:val="002342F7"/>
    <w:rsid w:val="0023511E"/>
    <w:rsid w:val="00235B0E"/>
    <w:rsid w:val="00237164"/>
    <w:rsid w:val="00237B0A"/>
    <w:rsid w:val="002401E6"/>
    <w:rsid w:val="002406D1"/>
    <w:rsid w:val="0024123A"/>
    <w:rsid w:val="00241C67"/>
    <w:rsid w:val="00241DA5"/>
    <w:rsid w:val="00241E4E"/>
    <w:rsid w:val="00242285"/>
    <w:rsid w:val="0024250B"/>
    <w:rsid w:val="00242E10"/>
    <w:rsid w:val="00243129"/>
    <w:rsid w:val="00243A7F"/>
    <w:rsid w:val="0024427F"/>
    <w:rsid w:val="00245061"/>
    <w:rsid w:val="00245067"/>
    <w:rsid w:val="00245CB1"/>
    <w:rsid w:val="00246933"/>
    <w:rsid w:val="00247EC1"/>
    <w:rsid w:val="00250845"/>
    <w:rsid w:val="00251269"/>
    <w:rsid w:val="002512F8"/>
    <w:rsid w:val="00251A84"/>
    <w:rsid w:val="00251FE0"/>
    <w:rsid w:val="002525BB"/>
    <w:rsid w:val="002527A8"/>
    <w:rsid w:val="00253789"/>
    <w:rsid w:val="002547E7"/>
    <w:rsid w:val="00255314"/>
    <w:rsid w:val="00257073"/>
    <w:rsid w:val="002607CE"/>
    <w:rsid w:val="00260D2A"/>
    <w:rsid w:val="002616D1"/>
    <w:rsid w:val="00261B13"/>
    <w:rsid w:val="0026226A"/>
    <w:rsid w:val="002633A7"/>
    <w:rsid w:val="0026358F"/>
    <w:rsid w:val="0026450A"/>
    <w:rsid w:val="002651BD"/>
    <w:rsid w:val="002657FB"/>
    <w:rsid w:val="00265B98"/>
    <w:rsid w:val="002661D6"/>
    <w:rsid w:val="00267E17"/>
    <w:rsid w:val="0027139B"/>
    <w:rsid w:val="0027224E"/>
    <w:rsid w:val="00272AEE"/>
    <w:rsid w:val="00275517"/>
    <w:rsid w:val="00275840"/>
    <w:rsid w:val="00276A41"/>
    <w:rsid w:val="00277007"/>
    <w:rsid w:val="00277F07"/>
    <w:rsid w:val="002814C6"/>
    <w:rsid w:val="00281EEB"/>
    <w:rsid w:val="002822F1"/>
    <w:rsid w:val="00282CDD"/>
    <w:rsid w:val="00283058"/>
    <w:rsid w:val="0028372A"/>
    <w:rsid w:val="002847DF"/>
    <w:rsid w:val="00284EE0"/>
    <w:rsid w:val="00285007"/>
    <w:rsid w:val="00285BFC"/>
    <w:rsid w:val="00285CAC"/>
    <w:rsid w:val="002870A0"/>
    <w:rsid w:val="0028727A"/>
    <w:rsid w:val="00287680"/>
    <w:rsid w:val="002908F9"/>
    <w:rsid w:val="00290ACB"/>
    <w:rsid w:val="00290DE9"/>
    <w:rsid w:val="0029321D"/>
    <w:rsid w:val="002949F3"/>
    <w:rsid w:val="00294EE8"/>
    <w:rsid w:val="00295668"/>
    <w:rsid w:val="00296455"/>
    <w:rsid w:val="00296DDB"/>
    <w:rsid w:val="00297665"/>
    <w:rsid w:val="002977B4"/>
    <w:rsid w:val="002978FD"/>
    <w:rsid w:val="002A1CD3"/>
    <w:rsid w:val="002A2BE3"/>
    <w:rsid w:val="002A3776"/>
    <w:rsid w:val="002A3F0F"/>
    <w:rsid w:val="002A4D6D"/>
    <w:rsid w:val="002A5594"/>
    <w:rsid w:val="002A6593"/>
    <w:rsid w:val="002A7432"/>
    <w:rsid w:val="002A77D4"/>
    <w:rsid w:val="002B05F3"/>
    <w:rsid w:val="002B0E7A"/>
    <w:rsid w:val="002B154F"/>
    <w:rsid w:val="002B20A4"/>
    <w:rsid w:val="002B2493"/>
    <w:rsid w:val="002B2639"/>
    <w:rsid w:val="002B3041"/>
    <w:rsid w:val="002B3E2C"/>
    <w:rsid w:val="002B3E92"/>
    <w:rsid w:val="002B42A9"/>
    <w:rsid w:val="002B4A3B"/>
    <w:rsid w:val="002B5417"/>
    <w:rsid w:val="002B56DD"/>
    <w:rsid w:val="002B5F42"/>
    <w:rsid w:val="002B63B4"/>
    <w:rsid w:val="002B75A2"/>
    <w:rsid w:val="002B7A29"/>
    <w:rsid w:val="002B7C2B"/>
    <w:rsid w:val="002C0C5F"/>
    <w:rsid w:val="002C15C6"/>
    <w:rsid w:val="002C2173"/>
    <w:rsid w:val="002C2B00"/>
    <w:rsid w:val="002C38E2"/>
    <w:rsid w:val="002C3EB6"/>
    <w:rsid w:val="002C4168"/>
    <w:rsid w:val="002C5FE2"/>
    <w:rsid w:val="002C60B4"/>
    <w:rsid w:val="002C655B"/>
    <w:rsid w:val="002C6741"/>
    <w:rsid w:val="002C6854"/>
    <w:rsid w:val="002C7126"/>
    <w:rsid w:val="002D09D1"/>
    <w:rsid w:val="002D0C1F"/>
    <w:rsid w:val="002D0CC1"/>
    <w:rsid w:val="002D1657"/>
    <w:rsid w:val="002D269C"/>
    <w:rsid w:val="002D3599"/>
    <w:rsid w:val="002D462F"/>
    <w:rsid w:val="002D5615"/>
    <w:rsid w:val="002D5A95"/>
    <w:rsid w:val="002D5CC8"/>
    <w:rsid w:val="002D7B3B"/>
    <w:rsid w:val="002D7E3F"/>
    <w:rsid w:val="002E006F"/>
    <w:rsid w:val="002E0F94"/>
    <w:rsid w:val="002E11C2"/>
    <w:rsid w:val="002E12E0"/>
    <w:rsid w:val="002E237D"/>
    <w:rsid w:val="002E3012"/>
    <w:rsid w:val="002E4ABA"/>
    <w:rsid w:val="002E6F94"/>
    <w:rsid w:val="002E73C7"/>
    <w:rsid w:val="002E7670"/>
    <w:rsid w:val="002E782F"/>
    <w:rsid w:val="002F379F"/>
    <w:rsid w:val="002F3E01"/>
    <w:rsid w:val="002F63E5"/>
    <w:rsid w:val="002F6C30"/>
    <w:rsid w:val="002F6C4B"/>
    <w:rsid w:val="002F75A8"/>
    <w:rsid w:val="0030303E"/>
    <w:rsid w:val="0030530B"/>
    <w:rsid w:val="00305B56"/>
    <w:rsid w:val="00306A08"/>
    <w:rsid w:val="003077C4"/>
    <w:rsid w:val="003078B8"/>
    <w:rsid w:val="00310278"/>
    <w:rsid w:val="00311128"/>
    <w:rsid w:val="00311BE1"/>
    <w:rsid w:val="0031255B"/>
    <w:rsid w:val="0031530B"/>
    <w:rsid w:val="00315E91"/>
    <w:rsid w:val="00316224"/>
    <w:rsid w:val="003164DD"/>
    <w:rsid w:val="003169AF"/>
    <w:rsid w:val="00316AA5"/>
    <w:rsid w:val="003178DC"/>
    <w:rsid w:val="00317A37"/>
    <w:rsid w:val="00317C00"/>
    <w:rsid w:val="0032032E"/>
    <w:rsid w:val="00320933"/>
    <w:rsid w:val="00320C6D"/>
    <w:rsid w:val="00320F59"/>
    <w:rsid w:val="00321161"/>
    <w:rsid w:val="0032120A"/>
    <w:rsid w:val="00322730"/>
    <w:rsid w:val="00322A6B"/>
    <w:rsid w:val="00323A81"/>
    <w:rsid w:val="00323AFB"/>
    <w:rsid w:val="00323E48"/>
    <w:rsid w:val="00324820"/>
    <w:rsid w:val="00325997"/>
    <w:rsid w:val="0032615B"/>
    <w:rsid w:val="003262D7"/>
    <w:rsid w:val="003262F0"/>
    <w:rsid w:val="0032630F"/>
    <w:rsid w:val="003267A6"/>
    <w:rsid w:val="003272F4"/>
    <w:rsid w:val="00331680"/>
    <w:rsid w:val="0033227C"/>
    <w:rsid w:val="00332599"/>
    <w:rsid w:val="0033465C"/>
    <w:rsid w:val="003353B5"/>
    <w:rsid w:val="003358CA"/>
    <w:rsid w:val="00336D34"/>
    <w:rsid w:val="00337A81"/>
    <w:rsid w:val="003400CC"/>
    <w:rsid w:val="0034054D"/>
    <w:rsid w:val="00340F1D"/>
    <w:rsid w:val="00341B20"/>
    <w:rsid w:val="00342B11"/>
    <w:rsid w:val="003437AE"/>
    <w:rsid w:val="003444F1"/>
    <w:rsid w:val="003450AF"/>
    <w:rsid w:val="0034639C"/>
    <w:rsid w:val="003470BA"/>
    <w:rsid w:val="00347131"/>
    <w:rsid w:val="00347232"/>
    <w:rsid w:val="003478D0"/>
    <w:rsid w:val="00350AA3"/>
    <w:rsid w:val="00350E71"/>
    <w:rsid w:val="00351914"/>
    <w:rsid w:val="00351C13"/>
    <w:rsid w:val="003526C6"/>
    <w:rsid w:val="0035277D"/>
    <w:rsid w:val="00352D09"/>
    <w:rsid w:val="00352F62"/>
    <w:rsid w:val="003536E3"/>
    <w:rsid w:val="003545F5"/>
    <w:rsid w:val="003549E9"/>
    <w:rsid w:val="00354F0D"/>
    <w:rsid w:val="00355527"/>
    <w:rsid w:val="00355E4C"/>
    <w:rsid w:val="00356535"/>
    <w:rsid w:val="00356B39"/>
    <w:rsid w:val="00357F8C"/>
    <w:rsid w:val="00360855"/>
    <w:rsid w:val="00360D1C"/>
    <w:rsid w:val="0036186A"/>
    <w:rsid w:val="00362330"/>
    <w:rsid w:val="00362683"/>
    <w:rsid w:val="00363190"/>
    <w:rsid w:val="0036331E"/>
    <w:rsid w:val="00363F8E"/>
    <w:rsid w:val="00364262"/>
    <w:rsid w:val="00364BDA"/>
    <w:rsid w:val="0036537D"/>
    <w:rsid w:val="00366AFD"/>
    <w:rsid w:val="0037044C"/>
    <w:rsid w:val="00370F05"/>
    <w:rsid w:val="0037126C"/>
    <w:rsid w:val="0037254F"/>
    <w:rsid w:val="00372ECB"/>
    <w:rsid w:val="00373157"/>
    <w:rsid w:val="003731F1"/>
    <w:rsid w:val="003736D4"/>
    <w:rsid w:val="00373A17"/>
    <w:rsid w:val="0037400A"/>
    <w:rsid w:val="0037405C"/>
    <w:rsid w:val="00375C0B"/>
    <w:rsid w:val="00376356"/>
    <w:rsid w:val="00376435"/>
    <w:rsid w:val="00376F73"/>
    <w:rsid w:val="003779FE"/>
    <w:rsid w:val="00377E1A"/>
    <w:rsid w:val="003801DA"/>
    <w:rsid w:val="00380B61"/>
    <w:rsid w:val="00381072"/>
    <w:rsid w:val="0038166E"/>
    <w:rsid w:val="00381F78"/>
    <w:rsid w:val="00382553"/>
    <w:rsid w:val="00382F2E"/>
    <w:rsid w:val="0038341D"/>
    <w:rsid w:val="003835F4"/>
    <w:rsid w:val="00384201"/>
    <w:rsid w:val="00384CCB"/>
    <w:rsid w:val="00385C02"/>
    <w:rsid w:val="0038663E"/>
    <w:rsid w:val="00386705"/>
    <w:rsid w:val="00387204"/>
    <w:rsid w:val="003908CA"/>
    <w:rsid w:val="00390C98"/>
    <w:rsid w:val="00390FA4"/>
    <w:rsid w:val="00391738"/>
    <w:rsid w:val="003927A2"/>
    <w:rsid w:val="00392A21"/>
    <w:rsid w:val="003938D8"/>
    <w:rsid w:val="00394B93"/>
    <w:rsid w:val="00394C8D"/>
    <w:rsid w:val="00394E33"/>
    <w:rsid w:val="00395DD0"/>
    <w:rsid w:val="00396023"/>
    <w:rsid w:val="00396C6A"/>
    <w:rsid w:val="00396E90"/>
    <w:rsid w:val="00397246"/>
    <w:rsid w:val="003A1774"/>
    <w:rsid w:val="003A3998"/>
    <w:rsid w:val="003A3BC7"/>
    <w:rsid w:val="003A4619"/>
    <w:rsid w:val="003A5021"/>
    <w:rsid w:val="003A583F"/>
    <w:rsid w:val="003A6B23"/>
    <w:rsid w:val="003A6BB7"/>
    <w:rsid w:val="003A6EB5"/>
    <w:rsid w:val="003A7482"/>
    <w:rsid w:val="003A74C5"/>
    <w:rsid w:val="003A7DCE"/>
    <w:rsid w:val="003B01C8"/>
    <w:rsid w:val="003B054E"/>
    <w:rsid w:val="003B0676"/>
    <w:rsid w:val="003B0B8D"/>
    <w:rsid w:val="003B1B22"/>
    <w:rsid w:val="003B1E8B"/>
    <w:rsid w:val="003B279A"/>
    <w:rsid w:val="003B2859"/>
    <w:rsid w:val="003B287E"/>
    <w:rsid w:val="003B2DDF"/>
    <w:rsid w:val="003B3C64"/>
    <w:rsid w:val="003B3FE2"/>
    <w:rsid w:val="003B4C62"/>
    <w:rsid w:val="003B53DD"/>
    <w:rsid w:val="003B64D6"/>
    <w:rsid w:val="003B6518"/>
    <w:rsid w:val="003B6DAE"/>
    <w:rsid w:val="003B7053"/>
    <w:rsid w:val="003B7D39"/>
    <w:rsid w:val="003C149D"/>
    <w:rsid w:val="003C1D75"/>
    <w:rsid w:val="003C2BC7"/>
    <w:rsid w:val="003C2EF0"/>
    <w:rsid w:val="003C3219"/>
    <w:rsid w:val="003C3AB1"/>
    <w:rsid w:val="003C420E"/>
    <w:rsid w:val="003C4E06"/>
    <w:rsid w:val="003C6248"/>
    <w:rsid w:val="003C69D6"/>
    <w:rsid w:val="003C6E07"/>
    <w:rsid w:val="003C721B"/>
    <w:rsid w:val="003C76BF"/>
    <w:rsid w:val="003D0902"/>
    <w:rsid w:val="003D239B"/>
    <w:rsid w:val="003D27E3"/>
    <w:rsid w:val="003D2AB3"/>
    <w:rsid w:val="003D40B9"/>
    <w:rsid w:val="003D41CF"/>
    <w:rsid w:val="003D46F0"/>
    <w:rsid w:val="003D4F0C"/>
    <w:rsid w:val="003D52FD"/>
    <w:rsid w:val="003D54A3"/>
    <w:rsid w:val="003D5992"/>
    <w:rsid w:val="003D5A30"/>
    <w:rsid w:val="003D60BD"/>
    <w:rsid w:val="003D6196"/>
    <w:rsid w:val="003E053B"/>
    <w:rsid w:val="003E17D4"/>
    <w:rsid w:val="003E1C7D"/>
    <w:rsid w:val="003E242A"/>
    <w:rsid w:val="003E4BFD"/>
    <w:rsid w:val="003E4EC4"/>
    <w:rsid w:val="003F0098"/>
    <w:rsid w:val="003F0975"/>
    <w:rsid w:val="003F0C1C"/>
    <w:rsid w:val="003F14D1"/>
    <w:rsid w:val="003F1C93"/>
    <w:rsid w:val="003F2391"/>
    <w:rsid w:val="003F2A90"/>
    <w:rsid w:val="003F2DC3"/>
    <w:rsid w:val="003F4197"/>
    <w:rsid w:val="003F45D0"/>
    <w:rsid w:val="003F533F"/>
    <w:rsid w:val="003F5A81"/>
    <w:rsid w:val="003F6208"/>
    <w:rsid w:val="003F6212"/>
    <w:rsid w:val="003F628A"/>
    <w:rsid w:val="003F67E2"/>
    <w:rsid w:val="003F697B"/>
    <w:rsid w:val="003F74CF"/>
    <w:rsid w:val="003F7B3B"/>
    <w:rsid w:val="003F7E4E"/>
    <w:rsid w:val="00402034"/>
    <w:rsid w:val="004038CA"/>
    <w:rsid w:val="00403DBE"/>
    <w:rsid w:val="0040511B"/>
    <w:rsid w:val="004055AA"/>
    <w:rsid w:val="00405E26"/>
    <w:rsid w:val="00407A1B"/>
    <w:rsid w:val="0041050B"/>
    <w:rsid w:val="004105A3"/>
    <w:rsid w:val="004115CE"/>
    <w:rsid w:val="00412A7D"/>
    <w:rsid w:val="00412BA9"/>
    <w:rsid w:val="00415EE9"/>
    <w:rsid w:val="0041762B"/>
    <w:rsid w:val="00417821"/>
    <w:rsid w:val="004179EF"/>
    <w:rsid w:val="00421301"/>
    <w:rsid w:val="004219F6"/>
    <w:rsid w:val="00421C7F"/>
    <w:rsid w:val="00422A67"/>
    <w:rsid w:val="00423798"/>
    <w:rsid w:val="004238B9"/>
    <w:rsid w:val="00424534"/>
    <w:rsid w:val="00424F71"/>
    <w:rsid w:val="00425CBE"/>
    <w:rsid w:val="00426EF0"/>
    <w:rsid w:val="00427BBE"/>
    <w:rsid w:val="0043071F"/>
    <w:rsid w:val="00430A47"/>
    <w:rsid w:val="00430B30"/>
    <w:rsid w:val="004336D6"/>
    <w:rsid w:val="00435070"/>
    <w:rsid w:val="004358ED"/>
    <w:rsid w:val="00435B26"/>
    <w:rsid w:val="004370BA"/>
    <w:rsid w:val="004378A2"/>
    <w:rsid w:val="004418EE"/>
    <w:rsid w:val="00441A4B"/>
    <w:rsid w:val="004429EB"/>
    <w:rsid w:val="00442CFC"/>
    <w:rsid w:val="0044395E"/>
    <w:rsid w:val="00444279"/>
    <w:rsid w:val="004443F8"/>
    <w:rsid w:val="004453C2"/>
    <w:rsid w:val="00445DBF"/>
    <w:rsid w:val="004466DB"/>
    <w:rsid w:val="00446A6C"/>
    <w:rsid w:val="00447B43"/>
    <w:rsid w:val="004501DC"/>
    <w:rsid w:val="00450AAB"/>
    <w:rsid w:val="00450E03"/>
    <w:rsid w:val="00451880"/>
    <w:rsid w:val="00451B41"/>
    <w:rsid w:val="00452442"/>
    <w:rsid w:val="00452564"/>
    <w:rsid w:val="0045271D"/>
    <w:rsid w:val="0045391D"/>
    <w:rsid w:val="00453B44"/>
    <w:rsid w:val="00453DFC"/>
    <w:rsid w:val="004544CD"/>
    <w:rsid w:val="00454CE7"/>
    <w:rsid w:val="004551EC"/>
    <w:rsid w:val="00455530"/>
    <w:rsid w:val="00460E5A"/>
    <w:rsid w:val="00463167"/>
    <w:rsid w:val="004634C5"/>
    <w:rsid w:val="00465497"/>
    <w:rsid w:val="00465953"/>
    <w:rsid w:val="004665F6"/>
    <w:rsid w:val="00466F15"/>
    <w:rsid w:val="00467FF4"/>
    <w:rsid w:val="00470816"/>
    <w:rsid w:val="00470B63"/>
    <w:rsid w:val="00470B8A"/>
    <w:rsid w:val="00470F82"/>
    <w:rsid w:val="00472497"/>
    <w:rsid w:val="00472B9E"/>
    <w:rsid w:val="00472BD4"/>
    <w:rsid w:val="0047565B"/>
    <w:rsid w:val="004759BA"/>
    <w:rsid w:val="00475A6E"/>
    <w:rsid w:val="004764E7"/>
    <w:rsid w:val="00476811"/>
    <w:rsid w:val="00476CCE"/>
    <w:rsid w:val="00476E16"/>
    <w:rsid w:val="00476E4B"/>
    <w:rsid w:val="00476EF4"/>
    <w:rsid w:val="004772B1"/>
    <w:rsid w:val="00477553"/>
    <w:rsid w:val="00477D73"/>
    <w:rsid w:val="00481243"/>
    <w:rsid w:val="00483047"/>
    <w:rsid w:val="00483524"/>
    <w:rsid w:val="00484E5F"/>
    <w:rsid w:val="004857AD"/>
    <w:rsid w:val="00485C9B"/>
    <w:rsid w:val="00485D50"/>
    <w:rsid w:val="0048617B"/>
    <w:rsid w:val="00486DE1"/>
    <w:rsid w:val="004875F8"/>
    <w:rsid w:val="00491710"/>
    <w:rsid w:val="00492B53"/>
    <w:rsid w:val="00492D74"/>
    <w:rsid w:val="00494859"/>
    <w:rsid w:val="00494B65"/>
    <w:rsid w:val="00496D4D"/>
    <w:rsid w:val="00497393"/>
    <w:rsid w:val="004A1426"/>
    <w:rsid w:val="004A17E7"/>
    <w:rsid w:val="004A2176"/>
    <w:rsid w:val="004A239B"/>
    <w:rsid w:val="004A34F9"/>
    <w:rsid w:val="004A5376"/>
    <w:rsid w:val="004A53F3"/>
    <w:rsid w:val="004A54F2"/>
    <w:rsid w:val="004A60C7"/>
    <w:rsid w:val="004A6160"/>
    <w:rsid w:val="004A6B84"/>
    <w:rsid w:val="004A76AA"/>
    <w:rsid w:val="004B17DD"/>
    <w:rsid w:val="004B3FC6"/>
    <w:rsid w:val="004B5C05"/>
    <w:rsid w:val="004B731B"/>
    <w:rsid w:val="004C06A3"/>
    <w:rsid w:val="004C287B"/>
    <w:rsid w:val="004C2C9E"/>
    <w:rsid w:val="004C3652"/>
    <w:rsid w:val="004C3C99"/>
    <w:rsid w:val="004C499E"/>
    <w:rsid w:val="004C53EF"/>
    <w:rsid w:val="004C66CD"/>
    <w:rsid w:val="004C6747"/>
    <w:rsid w:val="004C75AC"/>
    <w:rsid w:val="004D00D4"/>
    <w:rsid w:val="004D0D1A"/>
    <w:rsid w:val="004D158D"/>
    <w:rsid w:val="004D2955"/>
    <w:rsid w:val="004D33A1"/>
    <w:rsid w:val="004D3A8E"/>
    <w:rsid w:val="004D43AA"/>
    <w:rsid w:val="004D4A68"/>
    <w:rsid w:val="004D5E67"/>
    <w:rsid w:val="004D6E1E"/>
    <w:rsid w:val="004D73AB"/>
    <w:rsid w:val="004D7C0D"/>
    <w:rsid w:val="004E0BDD"/>
    <w:rsid w:val="004E191F"/>
    <w:rsid w:val="004E1B19"/>
    <w:rsid w:val="004E1ED2"/>
    <w:rsid w:val="004E2093"/>
    <w:rsid w:val="004E277E"/>
    <w:rsid w:val="004E27A8"/>
    <w:rsid w:val="004E3589"/>
    <w:rsid w:val="004E5664"/>
    <w:rsid w:val="004E58E1"/>
    <w:rsid w:val="004E6702"/>
    <w:rsid w:val="004E6994"/>
    <w:rsid w:val="004E7406"/>
    <w:rsid w:val="004E7991"/>
    <w:rsid w:val="004F03F4"/>
    <w:rsid w:val="004F2B40"/>
    <w:rsid w:val="004F3532"/>
    <w:rsid w:val="004F3A1B"/>
    <w:rsid w:val="004F3C0D"/>
    <w:rsid w:val="004F3F84"/>
    <w:rsid w:val="004F43AD"/>
    <w:rsid w:val="004F43D4"/>
    <w:rsid w:val="004F43DA"/>
    <w:rsid w:val="004F4714"/>
    <w:rsid w:val="004F4BE9"/>
    <w:rsid w:val="004F4C1E"/>
    <w:rsid w:val="004F512D"/>
    <w:rsid w:val="004F625E"/>
    <w:rsid w:val="004F6E48"/>
    <w:rsid w:val="004F723F"/>
    <w:rsid w:val="004F771B"/>
    <w:rsid w:val="00500EA4"/>
    <w:rsid w:val="00501DDD"/>
    <w:rsid w:val="005051D2"/>
    <w:rsid w:val="00510607"/>
    <w:rsid w:val="0051129E"/>
    <w:rsid w:val="00511ABA"/>
    <w:rsid w:val="00512E3E"/>
    <w:rsid w:val="005133CA"/>
    <w:rsid w:val="00513F57"/>
    <w:rsid w:val="00515A09"/>
    <w:rsid w:val="00515AF7"/>
    <w:rsid w:val="00515B69"/>
    <w:rsid w:val="00515DC6"/>
    <w:rsid w:val="00515FAA"/>
    <w:rsid w:val="005175A5"/>
    <w:rsid w:val="00520706"/>
    <w:rsid w:val="00520A25"/>
    <w:rsid w:val="00521C17"/>
    <w:rsid w:val="0052204C"/>
    <w:rsid w:val="005229B0"/>
    <w:rsid w:val="00522BAE"/>
    <w:rsid w:val="00522CB1"/>
    <w:rsid w:val="00523B09"/>
    <w:rsid w:val="00523B87"/>
    <w:rsid w:val="00524ACF"/>
    <w:rsid w:val="00524B3F"/>
    <w:rsid w:val="005255C2"/>
    <w:rsid w:val="00525789"/>
    <w:rsid w:val="005260B2"/>
    <w:rsid w:val="00527307"/>
    <w:rsid w:val="005301AB"/>
    <w:rsid w:val="00530277"/>
    <w:rsid w:val="005304FE"/>
    <w:rsid w:val="005307B3"/>
    <w:rsid w:val="00530E0C"/>
    <w:rsid w:val="00530E13"/>
    <w:rsid w:val="00532940"/>
    <w:rsid w:val="00532C83"/>
    <w:rsid w:val="0053783B"/>
    <w:rsid w:val="00537899"/>
    <w:rsid w:val="00537C22"/>
    <w:rsid w:val="00542E93"/>
    <w:rsid w:val="005435AC"/>
    <w:rsid w:val="005437E7"/>
    <w:rsid w:val="00543A25"/>
    <w:rsid w:val="0054503F"/>
    <w:rsid w:val="00545CE3"/>
    <w:rsid w:val="005460A3"/>
    <w:rsid w:val="00546410"/>
    <w:rsid w:val="00546EF0"/>
    <w:rsid w:val="00550673"/>
    <w:rsid w:val="005506B9"/>
    <w:rsid w:val="00550C5F"/>
    <w:rsid w:val="00551B4F"/>
    <w:rsid w:val="00551BB9"/>
    <w:rsid w:val="00553867"/>
    <w:rsid w:val="00554D1E"/>
    <w:rsid w:val="005556A3"/>
    <w:rsid w:val="00555FAE"/>
    <w:rsid w:val="005566B3"/>
    <w:rsid w:val="00557309"/>
    <w:rsid w:val="00557562"/>
    <w:rsid w:val="00557C7E"/>
    <w:rsid w:val="00560CA7"/>
    <w:rsid w:val="00561217"/>
    <w:rsid w:val="00561933"/>
    <w:rsid w:val="00561E8F"/>
    <w:rsid w:val="005621B3"/>
    <w:rsid w:val="0056270A"/>
    <w:rsid w:val="005628BA"/>
    <w:rsid w:val="005629C6"/>
    <w:rsid w:val="00563224"/>
    <w:rsid w:val="00563FC8"/>
    <w:rsid w:val="00564B53"/>
    <w:rsid w:val="005661E1"/>
    <w:rsid w:val="0056660A"/>
    <w:rsid w:val="00566B08"/>
    <w:rsid w:val="005677F7"/>
    <w:rsid w:val="00571AFB"/>
    <w:rsid w:val="005745E6"/>
    <w:rsid w:val="00574996"/>
    <w:rsid w:val="00574D13"/>
    <w:rsid w:val="00574DA5"/>
    <w:rsid w:val="0057664E"/>
    <w:rsid w:val="00576979"/>
    <w:rsid w:val="00577763"/>
    <w:rsid w:val="00580EBA"/>
    <w:rsid w:val="0058166A"/>
    <w:rsid w:val="00581F8A"/>
    <w:rsid w:val="00582F43"/>
    <w:rsid w:val="00583203"/>
    <w:rsid w:val="005851F3"/>
    <w:rsid w:val="00585412"/>
    <w:rsid w:val="005855ED"/>
    <w:rsid w:val="00585882"/>
    <w:rsid w:val="00585C01"/>
    <w:rsid w:val="00586116"/>
    <w:rsid w:val="00586463"/>
    <w:rsid w:val="0058668A"/>
    <w:rsid w:val="005873C9"/>
    <w:rsid w:val="0059085B"/>
    <w:rsid w:val="00592736"/>
    <w:rsid w:val="00593F2E"/>
    <w:rsid w:val="00595B8F"/>
    <w:rsid w:val="005962AA"/>
    <w:rsid w:val="005A0621"/>
    <w:rsid w:val="005A0BEE"/>
    <w:rsid w:val="005A1444"/>
    <w:rsid w:val="005A267B"/>
    <w:rsid w:val="005A27FE"/>
    <w:rsid w:val="005A3025"/>
    <w:rsid w:val="005A40BB"/>
    <w:rsid w:val="005A58F7"/>
    <w:rsid w:val="005A5A73"/>
    <w:rsid w:val="005A7334"/>
    <w:rsid w:val="005A7711"/>
    <w:rsid w:val="005A774C"/>
    <w:rsid w:val="005A778E"/>
    <w:rsid w:val="005A782D"/>
    <w:rsid w:val="005B0086"/>
    <w:rsid w:val="005B0891"/>
    <w:rsid w:val="005B09D0"/>
    <w:rsid w:val="005B0B34"/>
    <w:rsid w:val="005B2301"/>
    <w:rsid w:val="005B2663"/>
    <w:rsid w:val="005B2C06"/>
    <w:rsid w:val="005B4294"/>
    <w:rsid w:val="005B42AF"/>
    <w:rsid w:val="005B4A45"/>
    <w:rsid w:val="005B4D0F"/>
    <w:rsid w:val="005B549B"/>
    <w:rsid w:val="005B5EF4"/>
    <w:rsid w:val="005B6B2E"/>
    <w:rsid w:val="005B729E"/>
    <w:rsid w:val="005B7879"/>
    <w:rsid w:val="005B7B44"/>
    <w:rsid w:val="005C006A"/>
    <w:rsid w:val="005C080C"/>
    <w:rsid w:val="005C0D06"/>
    <w:rsid w:val="005C22EB"/>
    <w:rsid w:val="005C2EBE"/>
    <w:rsid w:val="005C398D"/>
    <w:rsid w:val="005C4E0A"/>
    <w:rsid w:val="005C637D"/>
    <w:rsid w:val="005C6B9E"/>
    <w:rsid w:val="005C71E4"/>
    <w:rsid w:val="005C7540"/>
    <w:rsid w:val="005C7584"/>
    <w:rsid w:val="005D0ECE"/>
    <w:rsid w:val="005D1258"/>
    <w:rsid w:val="005D2A74"/>
    <w:rsid w:val="005D3E66"/>
    <w:rsid w:val="005D4132"/>
    <w:rsid w:val="005D53C1"/>
    <w:rsid w:val="005D7904"/>
    <w:rsid w:val="005D7F56"/>
    <w:rsid w:val="005E3100"/>
    <w:rsid w:val="005E3219"/>
    <w:rsid w:val="005E35E5"/>
    <w:rsid w:val="005E423E"/>
    <w:rsid w:val="005E53C8"/>
    <w:rsid w:val="005E6550"/>
    <w:rsid w:val="005E7187"/>
    <w:rsid w:val="005F0D7B"/>
    <w:rsid w:val="005F1C73"/>
    <w:rsid w:val="005F3C5C"/>
    <w:rsid w:val="005F4110"/>
    <w:rsid w:val="005F5643"/>
    <w:rsid w:val="005F5B78"/>
    <w:rsid w:val="005F6720"/>
    <w:rsid w:val="005F70B1"/>
    <w:rsid w:val="00600242"/>
    <w:rsid w:val="00600945"/>
    <w:rsid w:val="00600A01"/>
    <w:rsid w:val="00600BDC"/>
    <w:rsid w:val="0060183B"/>
    <w:rsid w:val="00601FE0"/>
    <w:rsid w:val="0060293F"/>
    <w:rsid w:val="00603127"/>
    <w:rsid w:val="00603F3B"/>
    <w:rsid w:val="0060428C"/>
    <w:rsid w:val="006044B6"/>
    <w:rsid w:val="00604F9B"/>
    <w:rsid w:val="006050C1"/>
    <w:rsid w:val="0060519D"/>
    <w:rsid w:val="00605494"/>
    <w:rsid w:val="00606A01"/>
    <w:rsid w:val="00606B0B"/>
    <w:rsid w:val="0061028B"/>
    <w:rsid w:val="00610D7D"/>
    <w:rsid w:val="0061124B"/>
    <w:rsid w:val="0061131E"/>
    <w:rsid w:val="00611BDE"/>
    <w:rsid w:val="00611BDF"/>
    <w:rsid w:val="006127F3"/>
    <w:rsid w:val="00612833"/>
    <w:rsid w:val="00613B17"/>
    <w:rsid w:val="006142AE"/>
    <w:rsid w:val="006148D2"/>
    <w:rsid w:val="0061533A"/>
    <w:rsid w:val="00616CC9"/>
    <w:rsid w:val="00617766"/>
    <w:rsid w:val="00617B47"/>
    <w:rsid w:val="00617B72"/>
    <w:rsid w:val="00617BD6"/>
    <w:rsid w:val="00621058"/>
    <w:rsid w:val="0062134F"/>
    <w:rsid w:val="00623954"/>
    <w:rsid w:val="00624625"/>
    <w:rsid w:val="00624D92"/>
    <w:rsid w:val="00625D03"/>
    <w:rsid w:val="00626020"/>
    <w:rsid w:val="00626B73"/>
    <w:rsid w:val="00626D02"/>
    <w:rsid w:val="00627B77"/>
    <w:rsid w:val="0063031F"/>
    <w:rsid w:val="00631328"/>
    <w:rsid w:val="00631D36"/>
    <w:rsid w:val="00631E88"/>
    <w:rsid w:val="00631FCB"/>
    <w:rsid w:val="00633958"/>
    <w:rsid w:val="00634C60"/>
    <w:rsid w:val="0063672E"/>
    <w:rsid w:val="00636B52"/>
    <w:rsid w:val="00636E78"/>
    <w:rsid w:val="00636EE2"/>
    <w:rsid w:val="006400B5"/>
    <w:rsid w:val="0064087C"/>
    <w:rsid w:val="00641D83"/>
    <w:rsid w:val="00644062"/>
    <w:rsid w:val="0064424D"/>
    <w:rsid w:val="0064457E"/>
    <w:rsid w:val="0064461E"/>
    <w:rsid w:val="0064592D"/>
    <w:rsid w:val="00645E3A"/>
    <w:rsid w:val="00647ABD"/>
    <w:rsid w:val="00647C6D"/>
    <w:rsid w:val="00650070"/>
    <w:rsid w:val="00653AD7"/>
    <w:rsid w:val="00653DF9"/>
    <w:rsid w:val="006552E2"/>
    <w:rsid w:val="0065571C"/>
    <w:rsid w:val="00655B6C"/>
    <w:rsid w:val="00655E7F"/>
    <w:rsid w:val="0065618A"/>
    <w:rsid w:val="00656763"/>
    <w:rsid w:val="00656770"/>
    <w:rsid w:val="00657912"/>
    <w:rsid w:val="0066151A"/>
    <w:rsid w:val="006619F1"/>
    <w:rsid w:val="00661E83"/>
    <w:rsid w:val="006626D9"/>
    <w:rsid w:val="00664FEB"/>
    <w:rsid w:val="00665911"/>
    <w:rsid w:val="00665E21"/>
    <w:rsid w:val="006672DC"/>
    <w:rsid w:val="006673F9"/>
    <w:rsid w:val="00667A82"/>
    <w:rsid w:val="00670B7C"/>
    <w:rsid w:val="00670E59"/>
    <w:rsid w:val="00674018"/>
    <w:rsid w:val="006754FB"/>
    <w:rsid w:val="00675536"/>
    <w:rsid w:val="006764D8"/>
    <w:rsid w:val="00676974"/>
    <w:rsid w:val="00676A12"/>
    <w:rsid w:val="00676B6E"/>
    <w:rsid w:val="00676D42"/>
    <w:rsid w:val="00677148"/>
    <w:rsid w:val="00680140"/>
    <w:rsid w:val="00680AF6"/>
    <w:rsid w:val="00681E4C"/>
    <w:rsid w:val="00681FD7"/>
    <w:rsid w:val="0068334B"/>
    <w:rsid w:val="00684A5B"/>
    <w:rsid w:val="00685948"/>
    <w:rsid w:val="00685E42"/>
    <w:rsid w:val="006863E3"/>
    <w:rsid w:val="0069083A"/>
    <w:rsid w:val="00690B0C"/>
    <w:rsid w:val="006912D1"/>
    <w:rsid w:val="00693804"/>
    <w:rsid w:val="00694542"/>
    <w:rsid w:val="00694893"/>
    <w:rsid w:val="00696C25"/>
    <w:rsid w:val="00697692"/>
    <w:rsid w:val="006A07A8"/>
    <w:rsid w:val="006A12C2"/>
    <w:rsid w:val="006A1537"/>
    <w:rsid w:val="006A2B47"/>
    <w:rsid w:val="006A5167"/>
    <w:rsid w:val="006A5D2E"/>
    <w:rsid w:val="006A6D8B"/>
    <w:rsid w:val="006A6DCF"/>
    <w:rsid w:val="006A7E0F"/>
    <w:rsid w:val="006B07E6"/>
    <w:rsid w:val="006B0E83"/>
    <w:rsid w:val="006B1269"/>
    <w:rsid w:val="006B1532"/>
    <w:rsid w:val="006B1640"/>
    <w:rsid w:val="006B36A6"/>
    <w:rsid w:val="006B4D78"/>
    <w:rsid w:val="006B5F03"/>
    <w:rsid w:val="006B5F85"/>
    <w:rsid w:val="006B644B"/>
    <w:rsid w:val="006B6538"/>
    <w:rsid w:val="006B69F3"/>
    <w:rsid w:val="006C04D7"/>
    <w:rsid w:val="006C05F4"/>
    <w:rsid w:val="006C0743"/>
    <w:rsid w:val="006C0947"/>
    <w:rsid w:val="006C135F"/>
    <w:rsid w:val="006C1C65"/>
    <w:rsid w:val="006C2BCE"/>
    <w:rsid w:val="006C2DA0"/>
    <w:rsid w:val="006C2DC6"/>
    <w:rsid w:val="006C3DB5"/>
    <w:rsid w:val="006C6A4E"/>
    <w:rsid w:val="006C6B00"/>
    <w:rsid w:val="006C6D73"/>
    <w:rsid w:val="006C7DDA"/>
    <w:rsid w:val="006D00A7"/>
    <w:rsid w:val="006D02A6"/>
    <w:rsid w:val="006D05FE"/>
    <w:rsid w:val="006D0656"/>
    <w:rsid w:val="006D1519"/>
    <w:rsid w:val="006D1E92"/>
    <w:rsid w:val="006D26A3"/>
    <w:rsid w:val="006D2BB3"/>
    <w:rsid w:val="006D3423"/>
    <w:rsid w:val="006D3879"/>
    <w:rsid w:val="006D3A7C"/>
    <w:rsid w:val="006D4AD6"/>
    <w:rsid w:val="006D6D26"/>
    <w:rsid w:val="006D7471"/>
    <w:rsid w:val="006E11CF"/>
    <w:rsid w:val="006E2471"/>
    <w:rsid w:val="006E2CAE"/>
    <w:rsid w:val="006E2F7A"/>
    <w:rsid w:val="006E3135"/>
    <w:rsid w:val="006E3C26"/>
    <w:rsid w:val="006E3DCE"/>
    <w:rsid w:val="006E413A"/>
    <w:rsid w:val="006E4E9E"/>
    <w:rsid w:val="006E6009"/>
    <w:rsid w:val="006E609A"/>
    <w:rsid w:val="006E626B"/>
    <w:rsid w:val="006E745C"/>
    <w:rsid w:val="006E770A"/>
    <w:rsid w:val="006F0946"/>
    <w:rsid w:val="006F13C2"/>
    <w:rsid w:val="006F1402"/>
    <w:rsid w:val="006F2B6D"/>
    <w:rsid w:val="006F2C15"/>
    <w:rsid w:val="006F3557"/>
    <w:rsid w:val="006F37C9"/>
    <w:rsid w:val="006F4508"/>
    <w:rsid w:val="006F47CD"/>
    <w:rsid w:val="006F5688"/>
    <w:rsid w:val="006F5F28"/>
    <w:rsid w:val="006F64B6"/>
    <w:rsid w:val="006F670A"/>
    <w:rsid w:val="006F6F10"/>
    <w:rsid w:val="006F6F91"/>
    <w:rsid w:val="006F7100"/>
    <w:rsid w:val="006F730B"/>
    <w:rsid w:val="006F7A27"/>
    <w:rsid w:val="006F7A98"/>
    <w:rsid w:val="006F7B32"/>
    <w:rsid w:val="00701801"/>
    <w:rsid w:val="00701C06"/>
    <w:rsid w:val="00702419"/>
    <w:rsid w:val="007028C8"/>
    <w:rsid w:val="007030F2"/>
    <w:rsid w:val="007042E6"/>
    <w:rsid w:val="00705064"/>
    <w:rsid w:val="0070588A"/>
    <w:rsid w:val="00705B98"/>
    <w:rsid w:val="00705ECE"/>
    <w:rsid w:val="007063C0"/>
    <w:rsid w:val="00710528"/>
    <w:rsid w:val="0071087C"/>
    <w:rsid w:val="007109CA"/>
    <w:rsid w:val="00712A67"/>
    <w:rsid w:val="00712B6A"/>
    <w:rsid w:val="00712E1C"/>
    <w:rsid w:val="0071305C"/>
    <w:rsid w:val="00713983"/>
    <w:rsid w:val="00713AFB"/>
    <w:rsid w:val="007143B5"/>
    <w:rsid w:val="007145A1"/>
    <w:rsid w:val="00714A09"/>
    <w:rsid w:val="007151BD"/>
    <w:rsid w:val="00715BE7"/>
    <w:rsid w:val="007163F3"/>
    <w:rsid w:val="007168F1"/>
    <w:rsid w:val="007174A2"/>
    <w:rsid w:val="007206C2"/>
    <w:rsid w:val="00721C8E"/>
    <w:rsid w:val="00721F3F"/>
    <w:rsid w:val="007239EF"/>
    <w:rsid w:val="0072519D"/>
    <w:rsid w:val="0072550D"/>
    <w:rsid w:val="00725BB8"/>
    <w:rsid w:val="007268EF"/>
    <w:rsid w:val="0072723B"/>
    <w:rsid w:val="00727731"/>
    <w:rsid w:val="00727DA0"/>
    <w:rsid w:val="00730A4A"/>
    <w:rsid w:val="00731F09"/>
    <w:rsid w:val="007322DD"/>
    <w:rsid w:val="00732315"/>
    <w:rsid w:val="00733129"/>
    <w:rsid w:val="007332E6"/>
    <w:rsid w:val="00734414"/>
    <w:rsid w:val="007345DF"/>
    <w:rsid w:val="00735611"/>
    <w:rsid w:val="00735AF0"/>
    <w:rsid w:val="00736223"/>
    <w:rsid w:val="007363EE"/>
    <w:rsid w:val="00736785"/>
    <w:rsid w:val="0073717C"/>
    <w:rsid w:val="00737CB0"/>
    <w:rsid w:val="00740251"/>
    <w:rsid w:val="007405BF"/>
    <w:rsid w:val="00740D5D"/>
    <w:rsid w:val="00741162"/>
    <w:rsid w:val="0074134D"/>
    <w:rsid w:val="00741945"/>
    <w:rsid w:val="00741AA3"/>
    <w:rsid w:val="00743AFB"/>
    <w:rsid w:val="00743B91"/>
    <w:rsid w:val="007441D8"/>
    <w:rsid w:val="00744637"/>
    <w:rsid w:val="00744DDA"/>
    <w:rsid w:val="00745506"/>
    <w:rsid w:val="00745E1B"/>
    <w:rsid w:val="007461DE"/>
    <w:rsid w:val="0074700F"/>
    <w:rsid w:val="0074730B"/>
    <w:rsid w:val="00747F7C"/>
    <w:rsid w:val="007501FB"/>
    <w:rsid w:val="007502E7"/>
    <w:rsid w:val="007507EB"/>
    <w:rsid w:val="0075288A"/>
    <w:rsid w:val="00752E14"/>
    <w:rsid w:val="00753290"/>
    <w:rsid w:val="00753317"/>
    <w:rsid w:val="00754406"/>
    <w:rsid w:val="00754F04"/>
    <w:rsid w:val="00755428"/>
    <w:rsid w:val="00755D58"/>
    <w:rsid w:val="00755EAF"/>
    <w:rsid w:val="007565AC"/>
    <w:rsid w:val="00756CAA"/>
    <w:rsid w:val="007576F6"/>
    <w:rsid w:val="007608D5"/>
    <w:rsid w:val="00761158"/>
    <w:rsid w:val="00761CE4"/>
    <w:rsid w:val="00762F78"/>
    <w:rsid w:val="007635EA"/>
    <w:rsid w:val="00764F86"/>
    <w:rsid w:val="007662B0"/>
    <w:rsid w:val="00766ACF"/>
    <w:rsid w:val="00766CCC"/>
    <w:rsid w:val="00767B57"/>
    <w:rsid w:val="00767DCE"/>
    <w:rsid w:val="007705A5"/>
    <w:rsid w:val="00770DC4"/>
    <w:rsid w:val="007717CA"/>
    <w:rsid w:val="00771C15"/>
    <w:rsid w:val="007727BC"/>
    <w:rsid w:val="00772C05"/>
    <w:rsid w:val="00773737"/>
    <w:rsid w:val="0077542A"/>
    <w:rsid w:val="00775CFA"/>
    <w:rsid w:val="00775EB8"/>
    <w:rsid w:val="00776413"/>
    <w:rsid w:val="007767BD"/>
    <w:rsid w:val="007770DD"/>
    <w:rsid w:val="007800F1"/>
    <w:rsid w:val="00780928"/>
    <w:rsid w:val="00780D9D"/>
    <w:rsid w:val="00782D7A"/>
    <w:rsid w:val="007842DA"/>
    <w:rsid w:val="00784CD4"/>
    <w:rsid w:val="00785E24"/>
    <w:rsid w:val="00786981"/>
    <w:rsid w:val="00786E77"/>
    <w:rsid w:val="00787C44"/>
    <w:rsid w:val="00787F51"/>
    <w:rsid w:val="0079031B"/>
    <w:rsid w:val="00790334"/>
    <w:rsid w:val="007954DF"/>
    <w:rsid w:val="0079638B"/>
    <w:rsid w:val="007963FF"/>
    <w:rsid w:val="0079770D"/>
    <w:rsid w:val="00797EA6"/>
    <w:rsid w:val="007A0F0A"/>
    <w:rsid w:val="007A2B73"/>
    <w:rsid w:val="007A3856"/>
    <w:rsid w:val="007A4313"/>
    <w:rsid w:val="007A48AE"/>
    <w:rsid w:val="007A504D"/>
    <w:rsid w:val="007A551E"/>
    <w:rsid w:val="007A5BFD"/>
    <w:rsid w:val="007A61A4"/>
    <w:rsid w:val="007A63E4"/>
    <w:rsid w:val="007A6458"/>
    <w:rsid w:val="007B033D"/>
    <w:rsid w:val="007B0F60"/>
    <w:rsid w:val="007B1FC1"/>
    <w:rsid w:val="007B2CF3"/>
    <w:rsid w:val="007B2DDA"/>
    <w:rsid w:val="007B2F0A"/>
    <w:rsid w:val="007B5356"/>
    <w:rsid w:val="007B539E"/>
    <w:rsid w:val="007B627B"/>
    <w:rsid w:val="007B635D"/>
    <w:rsid w:val="007B6B38"/>
    <w:rsid w:val="007C0E8C"/>
    <w:rsid w:val="007C233A"/>
    <w:rsid w:val="007C2835"/>
    <w:rsid w:val="007C2EB6"/>
    <w:rsid w:val="007C32B5"/>
    <w:rsid w:val="007C336B"/>
    <w:rsid w:val="007C3510"/>
    <w:rsid w:val="007C47F2"/>
    <w:rsid w:val="007C51B7"/>
    <w:rsid w:val="007C5DAF"/>
    <w:rsid w:val="007C6722"/>
    <w:rsid w:val="007C688C"/>
    <w:rsid w:val="007D0286"/>
    <w:rsid w:val="007D13D7"/>
    <w:rsid w:val="007D1CBD"/>
    <w:rsid w:val="007D2AB9"/>
    <w:rsid w:val="007D33FD"/>
    <w:rsid w:val="007D3495"/>
    <w:rsid w:val="007D40BC"/>
    <w:rsid w:val="007D44B7"/>
    <w:rsid w:val="007D474A"/>
    <w:rsid w:val="007D60FF"/>
    <w:rsid w:val="007D7208"/>
    <w:rsid w:val="007D721F"/>
    <w:rsid w:val="007E06A4"/>
    <w:rsid w:val="007E11C8"/>
    <w:rsid w:val="007E4AD0"/>
    <w:rsid w:val="007E5DD3"/>
    <w:rsid w:val="007E6F3D"/>
    <w:rsid w:val="007F0A78"/>
    <w:rsid w:val="007F255D"/>
    <w:rsid w:val="007F26D1"/>
    <w:rsid w:val="007F285B"/>
    <w:rsid w:val="007F4539"/>
    <w:rsid w:val="007F5CAD"/>
    <w:rsid w:val="007F618A"/>
    <w:rsid w:val="007F75C8"/>
    <w:rsid w:val="0080083F"/>
    <w:rsid w:val="00800A74"/>
    <w:rsid w:val="0080240A"/>
    <w:rsid w:val="0080256B"/>
    <w:rsid w:val="00802692"/>
    <w:rsid w:val="008028E0"/>
    <w:rsid w:val="00803045"/>
    <w:rsid w:val="00803BB1"/>
    <w:rsid w:val="00804202"/>
    <w:rsid w:val="00805526"/>
    <w:rsid w:val="00805DC2"/>
    <w:rsid w:val="008063A5"/>
    <w:rsid w:val="008064FB"/>
    <w:rsid w:val="008068B8"/>
    <w:rsid w:val="00806E8F"/>
    <w:rsid w:val="00810DA0"/>
    <w:rsid w:val="008120E1"/>
    <w:rsid w:val="00812FFB"/>
    <w:rsid w:val="00813461"/>
    <w:rsid w:val="00813504"/>
    <w:rsid w:val="00813E0B"/>
    <w:rsid w:val="00813F0D"/>
    <w:rsid w:val="0081410E"/>
    <w:rsid w:val="0081411C"/>
    <w:rsid w:val="00814176"/>
    <w:rsid w:val="00814222"/>
    <w:rsid w:val="008151A6"/>
    <w:rsid w:val="0081562B"/>
    <w:rsid w:val="00815676"/>
    <w:rsid w:val="008209CD"/>
    <w:rsid w:val="00820C8D"/>
    <w:rsid w:val="0082162B"/>
    <w:rsid w:val="00821691"/>
    <w:rsid w:val="00822643"/>
    <w:rsid w:val="00823C24"/>
    <w:rsid w:val="00823CF5"/>
    <w:rsid w:val="0082423B"/>
    <w:rsid w:val="00825201"/>
    <w:rsid w:val="00825631"/>
    <w:rsid w:val="008262E6"/>
    <w:rsid w:val="00826675"/>
    <w:rsid w:val="008267FC"/>
    <w:rsid w:val="0082761E"/>
    <w:rsid w:val="00830898"/>
    <w:rsid w:val="0083112C"/>
    <w:rsid w:val="008311EE"/>
    <w:rsid w:val="008321E2"/>
    <w:rsid w:val="00832EF4"/>
    <w:rsid w:val="00833D2A"/>
    <w:rsid w:val="00833EA5"/>
    <w:rsid w:val="00834936"/>
    <w:rsid w:val="0083677E"/>
    <w:rsid w:val="00836868"/>
    <w:rsid w:val="008368CE"/>
    <w:rsid w:val="00836FAD"/>
    <w:rsid w:val="008405DC"/>
    <w:rsid w:val="00841C00"/>
    <w:rsid w:val="00841DD9"/>
    <w:rsid w:val="00842215"/>
    <w:rsid w:val="008427DF"/>
    <w:rsid w:val="00843B61"/>
    <w:rsid w:val="00844102"/>
    <w:rsid w:val="008444F0"/>
    <w:rsid w:val="00844700"/>
    <w:rsid w:val="0084530C"/>
    <w:rsid w:val="00845B43"/>
    <w:rsid w:val="00846317"/>
    <w:rsid w:val="00846B5F"/>
    <w:rsid w:val="00850298"/>
    <w:rsid w:val="00850379"/>
    <w:rsid w:val="008511D1"/>
    <w:rsid w:val="00851C73"/>
    <w:rsid w:val="0085275C"/>
    <w:rsid w:val="00852854"/>
    <w:rsid w:val="00852866"/>
    <w:rsid w:val="00853D92"/>
    <w:rsid w:val="00854053"/>
    <w:rsid w:val="00854445"/>
    <w:rsid w:val="008544BE"/>
    <w:rsid w:val="008566DB"/>
    <w:rsid w:val="00856FF5"/>
    <w:rsid w:val="008576B9"/>
    <w:rsid w:val="00857B24"/>
    <w:rsid w:val="0086137F"/>
    <w:rsid w:val="008613F6"/>
    <w:rsid w:val="008629C4"/>
    <w:rsid w:val="00863545"/>
    <w:rsid w:val="008666DE"/>
    <w:rsid w:val="00867012"/>
    <w:rsid w:val="00867178"/>
    <w:rsid w:val="008701CA"/>
    <w:rsid w:val="00871EDC"/>
    <w:rsid w:val="00874004"/>
    <w:rsid w:val="00874441"/>
    <w:rsid w:val="008745CC"/>
    <w:rsid w:val="00874865"/>
    <w:rsid w:val="00874882"/>
    <w:rsid w:val="008752D5"/>
    <w:rsid w:val="008753F9"/>
    <w:rsid w:val="008770B1"/>
    <w:rsid w:val="00877765"/>
    <w:rsid w:val="00877828"/>
    <w:rsid w:val="00877D9D"/>
    <w:rsid w:val="00877F90"/>
    <w:rsid w:val="00880071"/>
    <w:rsid w:val="00880A38"/>
    <w:rsid w:val="00880CAB"/>
    <w:rsid w:val="00880E58"/>
    <w:rsid w:val="0088117E"/>
    <w:rsid w:val="0088199E"/>
    <w:rsid w:val="00882040"/>
    <w:rsid w:val="00883178"/>
    <w:rsid w:val="008832EA"/>
    <w:rsid w:val="008836AC"/>
    <w:rsid w:val="008841E9"/>
    <w:rsid w:val="00884720"/>
    <w:rsid w:val="00884C09"/>
    <w:rsid w:val="00886558"/>
    <w:rsid w:val="00887166"/>
    <w:rsid w:val="00890947"/>
    <w:rsid w:val="008911BD"/>
    <w:rsid w:val="008919E4"/>
    <w:rsid w:val="00891FC8"/>
    <w:rsid w:val="00892A9A"/>
    <w:rsid w:val="00893661"/>
    <w:rsid w:val="008943C0"/>
    <w:rsid w:val="008947C4"/>
    <w:rsid w:val="00895253"/>
    <w:rsid w:val="0089591D"/>
    <w:rsid w:val="0089653E"/>
    <w:rsid w:val="00896F35"/>
    <w:rsid w:val="008972FD"/>
    <w:rsid w:val="008973A0"/>
    <w:rsid w:val="0089740F"/>
    <w:rsid w:val="00897B6A"/>
    <w:rsid w:val="008A1406"/>
    <w:rsid w:val="008A1AA3"/>
    <w:rsid w:val="008A1CCC"/>
    <w:rsid w:val="008A1EF4"/>
    <w:rsid w:val="008A25CF"/>
    <w:rsid w:val="008A2DB9"/>
    <w:rsid w:val="008A37EA"/>
    <w:rsid w:val="008A3B21"/>
    <w:rsid w:val="008A4A02"/>
    <w:rsid w:val="008A5B42"/>
    <w:rsid w:val="008A6955"/>
    <w:rsid w:val="008A6B29"/>
    <w:rsid w:val="008B0461"/>
    <w:rsid w:val="008B0A87"/>
    <w:rsid w:val="008B15B3"/>
    <w:rsid w:val="008B2B1D"/>
    <w:rsid w:val="008B39DA"/>
    <w:rsid w:val="008B6E42"/>
    <w:rsid w:val="008B700C"/>
    <w:rsid w:val="008B72B7"/>
    <w:rsid w:val="008B78E9"/>
    <w:rsid w:val="008C0455"/>
    <w:rsid w:val="008C0950"/>
    <w:rsid w:val="008C0EC2"/>
    <w:rsid w:val="008C145A"/>
    <w:rsid w:val="008C3027"/>
    <w:rsid w:val="008C4E0F"/>
    <w:rsid w:val="008C56B0"/>
    <w:rsid w:val="008C641B"/>
    <w:rsid w:val="008C6A36"/>
    <w:rsid w:val="008C760A"/>
    <w:rsid w:val="008C78AD"/>
    <w:rsid w:val="008C7A3B"/>
    <w:rsid w:val="008D022D"/>
    <w:rsid w:val="008D0A14"/>
    <w:rsid w:val="008D17BA"/>
    <w:rsid w:val="008D2FAC"/>
    <w:rsid w:val="008D2FCD"/>
    <w:rsid w:val="008D579B"/>
    <w:rsid w:val="008D5987"/>
    <w:rsid w:val="008D7417"/>
    <w:rsid w:val="008D7E3A"/>
    <w:rsid w:val="008E0487"/>
    <w:rsid w:val="008E060F"/>
    <w:rsid w:val="008E17FA"/>
    <w:rsid w:val="008E196D"/>
    <w:rsid w:val="008E377E"/>
    <w:rsid w:val="008E45BC"/>
    <w:rsid w:val="008E47F2"/>
    <w:rsid w:val="008E54E2"/>
    <w:rsid w:val="008E54F0"/>
    <w:rsid w:val="008E55A7"/>
    <w:rsid w:val="008F0050"/>
    <w:rsid w:val="008F0137"/>
    <w:rsid w:val="008F032B"/>
    <w:rsid w:val="008F0F8A"/>
    <w:rsid w:val="008F1B84"/>
    <w:rsid w:val="008F1BDA"/>
    <w:rsid w:val="008F220A"/>
    <w:rsid w:val="008F2781"/>
    <w:rsid w:val="008F4748"/>
    <w:rsid w:val="008F57E1"/>
    <w:rsid w:val="008F5E51"/>
    <w:rsid w:val="008F6028"/>
    <w:rsid w:val="00900B11"/>
    <w:rsid w:val="0090114E"/>
    <w:rsid w:val="00901591"/>
    <w:rsid w:val="00901796"/>
    <w:rsid w:val="009023CB"/>
    <w:rsid w:val="00902B4D"/>
    <w:rsid w:val="0090336F"/>
    <w:rsid w:val="009040F8"/>
    <w:rsid w:val="00904D3A"/>
    <w:rsid w:val="00904DB3"/>
    <w:rsid w:val="00904EE5"/>
    <w:rsid w:val="00905338"/>
    <w:rsid w:val="0091019B"/>
    <w:rsid w:val="00912B67"/>
    <w:rsid w:val="00914529"/>
    <w:rsid w:val="009150C0"/>
    <w:rsid w:val="0091541A"/>
    <w:rsid w:val="009155BA"/>
    <w:rsid w:val="00915DB2"/>
    <w:rsid w:val="00915FCA"/>
    <w:rsid w:val="00915FFE"/>
    <w:rsid w:val="00916438"/>
    <w:rsid w:val="00916A24"/>
    <w:rsid w:val="00916E83"/>
    <w:rsid w:val="00916ED4"/>
    <w:rsid w:val="00917247"/>
    <w:rsid w:val="009179CA"/>
    <w:rsid w:val="009208C8"/>
    <w:rsid w:val="00920EC3"/>
    <w:rsid w:val="009214A8"/>
    <w:rsid w:val="00924817"/>
    <w:rsid w:val="0092534A"/>
    <w:rsid w:val="00925FA5"/>
    <w:rsid w:val="009269FA"/>
    <w:rsid w:val="00926AD0"/>
    <w:rsid w:val="00927269"/>
    <w:rsid w:val="00927C7B"/>
    <w:rsid w:val="009304B4"/>
    <w:rsid w:val="00930AD9"/>
    <w:rsid w:val="00930DCD"/>
    <w:rsid w:val="00931011"/>
    <w:rsid w:val="00931B6D"/>
    <w:rsid w:val="0093277B"/>
    <w:rsid w:val="009328FD"/>
    <w:rsid w:val="00932D01"/>
    <w:rsid w:val="0093384A"/>
    <w:rsid w:val="00933899"/>
    <w:rsid w:val="009351A5"/>
    <w:rsid w:val="00935282"/>
    <w:rsid w:val="00935369"/>
    <w:rsid w:val="0093556B"/>
    <w:rsid w:val="00936EB0"/>
    <w:rsid w:val="00937061"/>
    <w:rsid w:val="00937660"/>
    <w:rsid w:val="00940398"/>
    <w:rsid w:val="009416D9"/>
    <w:rsid w:val="00941F2A"/>
    <w:rsid w:val="0094287D"/>
    <w:rsid w:val="0094314C"/>
    <w:rsid w:val="00943665"/>
    <w:rsid w:val="00943E34"/>
    <w:rsid w:val="009457E8"/>
    <w:rsid w:val="00945844"/>
    <w:rsid w:val="0094625A"/>
    <w:rsid w:val="009466D2"/>
    <w:rsid w:val="0094722B"/>
    <w:rsid w:val="0094772F"/>
    <w:rsid w:val="00951657"/>
    <w:rsid w:val="009526DE"/>
    <w:rsid w:val="009532F4"/>
    <w:rsid w:val="009539D7"/>
    <w:rsid w:val="00956C9F"/>
    <w:rsid w:val="009600FE"/>
    <w:rsid w:val="00960641"/>
    <w:rsid w:val="0096093C"/>
    <w:rsid w:val="00960D9D"/>
    <w:rsid w:val="0096162E"/>
    <w:rsid w:val="0096175B"/>
    <w:rsid w:val="00961E36"/>
    <w:rsid w:val="00962549"/>
    <w:rsid w:val="00962F03"/>
    <w:rsid w:val="0096327E"/>
    <w:rsid w:val="009635E3"/>
    <w:rsid w:val="00963EB2"/>
    <w:rsid w:val="00963F3D"/>
    <w:rsid w:val="0096521E"/>
    <w:rsid w:val="0096590A"/>
    <w:rsid w:val="00965E1F"/>
    <w:rsid w:val="00966E1C"/>
    <w:rsid w:val="00967504"/>
    <w:rsid w:val="009675EA"/>
    <w:rsid w:val="009710A9"/>
    <w:rsid w:val="0097130B"/>
    <w:rsid w:val="009729FA"/>
    <w:rsid w:val="00973FE5"/>
    <w:rsid w:val="009740DD"/>
    <w:rsid w:val="0097461D"/>
    <w:rsid w:val="00974E2E"/>
    <w:rsid w:val="0097594E"/>
    <w:rsid w:val="00975BC8"/>
    <w:rsid w:val="009762FA"/>
    <w:rsid w:val="00976F44"/>
    <w:rsid w:val="00977010"/>
    <w:rsid w:val="00977AB7"/>
    <w:rsid w:val="00977D70"/>
    <w:rsid w:val="00977F5F"/>
    <w:rsid w:val="009806EC"/>
    <w:rsid w:val="00981528"/>
    <w:rsid w:val="009819B6"/>
    <w:rsid w:val="00981A9A"/>
    <w:rsid w:val="00981B9F"/>
    <w:rsid w:val="009822EF"/>
    <w:rsid w:val="00982F25"/>
    <w:rsid w:val="0098456B"/>
    <w:rsid w:val="00984C89"/>
    <w:rsid w:val="0098697D"/>
    <w:rsid w:val="00986DFC"/>
    <w:rsid w:val="00987147"/>
    <w:rsid w:val="00987640"/>
    <w:rsid w:val="00990265"/>
    <w:rsid w:val="00990B76"/>
    <w:rsid w:val="0099134B"/>
    <w:rsid w:val="00991D12"/>
    <w:rsid w:val="00992BA0"/>
    <w:rsid w:val="00993502"/>
    <w:rsid w:val="00993E1A"/>
    <w:rsid w:val="0099469C"/>
    <w:rsid w:val="00995882"/>
    <w:rsid w:val="009961B9"/>
    <w:rsid w:val="009967EE"/>
    <w:rsid w:val="0099751B"/>
    <w:rsid w:val="00997536"/>
    <w:rsid w:val="0099780C"/>
    <w:rsid w:val="009A0FBD"/>
    <w:rsid w:val="009A100E"/>
    <w:rsid w:val="009A109F"/>
    <w:rsid w:val="009A10C6"/>
    <w:rsid w:val="009A2405"/>
    <w:rsid w:val="009A28A6"/>
    <w:rsid w:val="009A3786"/>
    <w:rsid w:val="009A37FB"/>
    <w:rsid w:val="009A39BD"/>
    <w:rsid w:val="009A4499"/>
    <w:rsid w:val="009A4640"/>
    <w:rsid w:val="009A4F88"/>
    <w:rsid w:val="009A53F7"/>
    <w:rsid w:val="009A622B"/>
    <w:rsid w:val="009A697B"/>
    <w:rsid w:val="009A733B"/>
    <w:rsid w:val="009B107E"/>
    <w:rsid w:val="009B20B9"/>
    <w:rsid w:val="009B21F0"/>
    <w:rsid w:val="009B23A6"/>
    <w:rsid w:val="009B285B"/>
    <w:rsid w:val="009B4239"/>
    <w:rsid w:val="009B477A"/>
    <w:rsid w:val="009B4B3C"/>
    <w:rsid w:val="009B4E9F"/>
    <w:rsid w:val="009B531C"/>
    <w:rsid w:val="009B625B"/>
    <w:rsid w:val="009B7031"/>
    <w:rsid w:val="009B76E4"/>
    <w:rsid w:val="009B780D"/>
    <w:rsid w:val="009C289F"/>
    <w:rsid w:val="009C3A87"/>
    <w:rsid w:val="009C4956"/>
    <w:rsid w:val="009C4C0C"/>
    <w:rsid w:val="009C5895"/>
    <w:rsid w:val="009C5F98"/>
    <w:rsid w:val="009C6459"/>
    <w:rsid w:val="009D032B"/>
    <w:rsid w:val="009D0873"/>
    <w:rsid w:val="009D1C76"/>
    <w:rsid w:val="009D2453"/>
    <w:rsid w:val="009D2EE4"/>
    <w:rsid w:val="009D6AFD"/>
    <w:rsid w:val="009D6FDE"/>
    <w:rsid w:val="009E0C1E"/>
    <w:rsid w:val="009E1B91"/>
    <w:rsid w:val="009E2090"/>
    <w:rsid w:val="009E21A0"/>
    <w:rsid w:val="009E33C0"/>
    <w:rsid w:val="009E39B2"/>
    <w:rsid w:val="009E4538"/>
    <w:rsid w:val="009E48CE"/>
    <w:rsid w:val="009E65C0"/>
    <w:rsid w:val="009E6DE4"/>
    <w:rsid w:val="009E77E9"/>
    <w:rsid w:val="009F0250"/>
    <w:rsid w:val="009F16E3"/>
    <w:rsid w:val="009F1D37"/>
    <w:rsid w:val="009F230D"/>
    <w:rsid w:val="009F359D"/>
    <w:rsid w:val="009F4E01"/>
    <w:rsid w:val="009F69AC"/>
    <w:rsid w:val="009F6CE6"/>
    <w:rsid w:val="00A00717"/>
    <w:rsid w:val="00A00CD4"/>
    <w:rsid w:val="00A01421"/>
    <w:rsid w:val="00A015A4"/>
    <w:rsid w:val="00A01A36"/>
    <w:rsid w:val="00A0281A"/>
    <w:rsid w:val="00A0296E"/>
    <w:rsid w:val="00A02F4B"/>
    <w:rsid w:val="00A03059"/>
    <w:rsid w:val="00A03476"/>
    <w:rsid w:val="00A03C16"/>
    <w:rsid w:val="00A04008"/>
    <w:rsid w:val="00A04BCB"/>
    <w:rsid w:val="00A050D3"/>
    <w:rsid w:val="00A07527"/>
    <w:rsid w:val="00A078E1"/>
    <w:rsid w:val="00A11BC9"/>
    <w:rsid w:val="00A12ADB"/>
    <w:rsid w:val="00A1399F"/>
    <w:rsid w:val="00A13A90"/>
    <w:rsid w:val="00A1526C"/>
    <w:rsid w:val="00A15742"/>
    <w:rsid w:val="00A165BF"/>
    <w:rsid w:val="00A165C4"/>
    <w:rsid w:val="00A16905"/>
    <w:rsid w:val="00A205E6"/>
    <w:rsid w:val="00A2067C"/>
    <w:rsid w:val="00A20EBD"/>
    <w:rsid w:val="00A216F9"/>
    <w:rsid w:val="00A21FF4"/>
    <w:rsid w:val="00A2326D"/>
    <w:rsid w:val="00A243CB"/>
    <w:rsid w:val="00A244D6"/>
    <w:rsid w:val="00A24CA2"/>
    <w:rsid w:val="00A24CD0"/>
    <w:rsid w:val="00A25465"/>
    <w:rsid w:val="00A25753"/>
    <w:rsid w:val="00A25C97"/>
    <w:rsid w:val="00A25E54"/>
    <w:rsid w:val="00A2630A"/>
    <w:rsid w:val="00A30159"/>
    <w:rsid w:val="00A3061C"/>
    <w:rsid w:val="00A30DBE"/>
    <w:rsid w:val="00A31969"/>
    <w:rsid w:val="00A32461"/>
    <w:rsid w:val="00A3314D"/>
    <w:rsid w:val="00A331F8"/>
    <w:rsid w:val="00A33641"/>
    <w:rsid w:val="00A336A3"/>
    <w:rsid w:val="00A341AD"/>
    <w:rsid w:val="00A34443"/>
    <w:rsid w:val="00A3511F"/>
    <w:rsid w:val="00A3570B"/>
    <w:rsid w:val="00A37574"/>
    <w:rsid w:val="00A37A2C"/>
    <w:rsid w:val="00A401BA"/>
    <w:rsid w:val="00A4080F"/>
    <w:rsid w:val="00A4181F"/>
    <w:rsid w:val="00A43E2C"/>
    <w:rsid w:val="00A43F2F"/>
    <w:rsid w:val="00A4514E"/>
    <w:rsid w:val="00A45726"/>
    <w:rsid w:val="00A46747"/>
    <w:rsid w:val="00A467A2"/>
    <w:rsid w:val="00A47319"/>
    <w:rsid w:val="00A4772E"/>
    <w:rsid w:val="00A52873"/>
    <w:rsid w:val="00A52930"/>
    <w:rsid w:val="00A52D35"/>
    <w:rsid w:val="00A53971"/>
    <w:rsid w:val="00A5427E"/>
    <w:rsid w:val="00A55033"/>
    <w:rsid w:val="00A554B9"/>
    <w:rsid w:val="00A55B77"/>
    <w:rsid w:val="00A56142"/>
    <w:rsid w:val="00A56524"/>
    <w:rsid w:val="00A566A2"/>
    <w:rsid w:val="00A56CC6"/>
    <w:rsid w:val="00A578CB"/>
    <w:rsid w:val="00A57A5E"/>
    <w:rsid w:val="00A60E25"/>
    <w:rsid w:val="00A61301"/>
    <w:rsid w:val="00A61788"/>
    <w:rsid w:val="00A62871"/>
    <w:rsid w:val="00A63007"/>
    <w:rsid w:val="00A636DD"/>
    <w:rsid w:val="00A63D94"/>
    <w:rsid w:val="00A6527A"/>
    <w:rsid w:val="00A667C8"/>
    <w:rsid w:val="00A671FD"/>
    <w:rsid w:val="00A67707"/>
    <w:rsid w:val="00A67724"/>
    <w:rsid w:val="00A67781"/>
    <w:rsid w:val="00A7021B"/>
    <w:rsid w:val="00A71B45"/>
    <w:rsid w:val="00A724EC"/>
    <w:rsid w:val="00A7477F"/>
    <w:rsid w:val="00A74BE8"/>
    <w:rsid w:val="00A76098"/>
    <w:rsid w:val="00A77996"/>
    <w:rsid w:val="00A77F45"/>
    <w:rsid w:val="00A800CC"/>
    <w:rsid w:val="00A80801"/>
    <w:rsid w:val="00A80D1C"/>
    <w:rsid w:val="00A81047"/>
    <w:rsid w:val="00A81AC6"/>
    <w:rsid w:val="00A820A8"/>
    <w:rsid w:val="00A82276"/>
    <w:rsid w:val="00A8228E"/>
    <w:rsid w:val="00A83526"/>
    <w:rsid w:val="00A83D86"/>
    <w:rsid w:val="00A83FA4"/>
    <w:rsid w:val="00A8416D"/>
    <w:rsid w:val="00A84216"/>
    <w:rsid w:val="00A851D7"/>
    <w:rsid w:val="00A8601B"/>
    <w:rsid w:val="00A86355"/>
    <w:rsid w:val="00A87497"/>
    <w:rsid w:val="00A90C3B"/>
    <w:rsid w:val="00A90ED0"/>
    <w:rsid w:val="00A912AE"/>
    <w:rsid w:val="00A9159D"/>
    <w:rsid w:val="00A91924"/>
    <w:rsid w:val="00A91C3E"/>
    <w:rsid w:val="00A92E49"/>
    <w:rsid w:val="00A93740"/>
    <w:rsid w:val="00A937CC"/>
    <w:rsid w:val="00A93E8D"/>
    <w:rsid w:val="00A94875"/>
    <w:rsid w:val="00A94C09"/>
    <w:rsid w:val="00A956FF"/>
    <w:rsid w:val="00A961F3"/>
    <w:rsid w:val="00A96484"/>
    <w:rsid w:val="00A9762E"/>
    <w:rsid w:val="00A97CE6"/>
    <w:rsid w:val="00A97E36"/>
    <w:rsid w:val="00AA1E57"/>
    <w:rsid w:val="00AA35BF"/>
    <w:rsid w:val="00AA386A"/>
    <w:rsid w:val="00AA3B58"/>
    <w:rsid w:val="00AA5216"/>
    <w:rsid w:val="00AA52B3"/>
    <w:rsid w:val="00AA52D3"/>
    <w:rsid w:val="00AA531A"/>
    <w:rsid w:val="00AA5F5C"/>
    <w:rsid w:val="00AA5F7D"/>
    <w:rsid w:val="00AA6110"/>
    <w:rsid w:val="00AA6B98"/>
    <w:rsid w:val="00AA6D48"/>
    <w:rsid w:val="00AB08C3"/>
    <w:rsid w:val="00AB0BE4"/>
    <w:rsid w:val="00AB1324"/>
    <w:rsid w:val="00AB3962"/>
    <w:rsid w:val="00AB3E0D"/>
    <w:rsid w:val="00AB5005"/>
    <w:rsid w:val="00AB56F1"/>
    <w:rsid w:val="00AB5AEB"/>
    <w:rsid w:val="00AB607F"/>
    <w:rsid w:val="00AB73FD"/>
    <w:rsid w:val="00AB7604"/>
    <w:rsid w:val="00AC045F"/>
    <w:rsid w:val="00AC055F"/>
    <w:rsid w:val="00AC0ADC"/>
    <w:rsid w:val="00AC117F"/>
    <w:rsid w:val="00AC35C0"/>
    <w:rsid w:val="00AC3851"/>
    <w:rsid w:val="00AC3AF1"/>
    <w:rsid w:val="00AC41CA"/>
    <w:rsid w:val="00AC47AB"/>
    <w:rsid w:val="00AC4A73"/>
    <w:rsid w:val="00AC5632"/>
    <w:rsid w:val="00AC5724"/>
    <w:rsid w:val="00AC5862"/>
    <w:rsid w:val="00AC6555"/>
    <w:rsid w:val="00AC752D"/>
    <w:rsid w:val="00AD0285"/>
    <w:rsid w:val="00AD0C30"/>
    <w:rsid w:val="00AD0F78"/>
    <w:rsid w:val="00AD2084"/>
    <w:rsid w:val="00AD2B78"/>
    <w:rsid w:val="00AD39D0"/>
    <w:rsid w:val="00AD4760"/>
    <w:rsid w:val="00AD483E"/>
    <w:rsid w:val="00AD6606"/>
    <w:rsid w:val="00AD6682"/>
    <w:rsid w:val="00AD6AA3"/>
    <w:rsid w:val="00AD7432"/>
    <w:rsid w:val="00AE007E"/>
    <w:rsid w:val="00AE0A23"/>
    <w:rsid w:val="00AE15C2"/>
    <w:rsid w:val="00AE1A7C"/>
    <w:rsid w:val="00AE1BE9"/>
    <w:rsid w:val="00AE207E"/>
    <w:rsid w:val="00AE3B05"/>
    <w:rsid w:val="00AE3B52"/>
    <w:rsid w:val="00AE3B98"/>
    <w:rsid w:val="00AE40E6"/>
    <w:rsid w:val="00AE4175"/>
    <w:rsid w:val="00AE4879"/>
    <w:rsid w:val="00AE54DE"/>
    <w:rsid w:val="00AE5A36"/>
    <w:rsid w:val="00AE6664"/>
    <w:rsid w:val="00AE7BE0"/>
    <w:rsid w:val="00AE7EB4"/>
    <w:rsid w:val="00AF03C9"/>
    <w:rsid w:val="00AF048E"/>
    <w:rsid w:val="00AF57FF"/>
    <w:rsid w:val="00AF5F35"/>
    <w:rsid w:val="00AF609B"/>
    <w:rsid w:val="00AF7AD5"/>
    <w:rsid w:val="00AF7BF2"/>
    <w:rsid w:val="00B00D4B"/>
    <w:rsid w:val="00B02705"/>
    <w:rsid w:val="00B0437D"/>
    <w:rsid w:val="00B04C7B"/>
    <w:rsid w:val="00B05A38"/>
    <w:rsid w:val="00B05CFA"/>
    <w:rsid w:val="00B067B9"/>
    <w:rsid w:val="00B07273"/>
    <w:rsid w:val="00B07698"/>
    <w:rsid w:val="00B10C4F"/>
    <w:rsid w:val="00B12919"/>
    <w:rsid w:val="00B12A39"/>
    <w:rsid w:val="00B13A9B"/>
    <w:rsid w:val="00B14307"/>
    <w:rsid w:val="00B14D6F"/>
    <w:rsid w:val="00B15ECB"/>
    <w:rsid w:val="00B1688C"/>
    <w:rsid w:val="00B168DD"/>
    <w:rsid w:val="00B16ACA"/>
    <w:rsid w:val="00B17990"/>
    <w:rsid w:val="00B2339C"/>
    <w:rsid w:val="00B24C1F"/>
    <w:rsid w:val="00B26C40"/>
    <w:rsid w:val="00B27179"/>
    <w:rsid w:val="00B27362"/>
    <w:rsid w:val="00B27392"/>
    <w:rsid w:val="00B30053"/>
    <w:rsid w:val="00B3057F"/>
    <w:rsid w:val="00B33700"/>
    <w:rsid w:val="00B405FB"/>
    <w:rsid w:val="00B410DF"/>
    <w:rsid w:val="00B41999"/>
    <w:rsid w:val="00B4382B"/>
    <w:rsid w:val="00B43C18"/>
    <w:rsid w:val="00B4421F"/>
    <w:rsid w:val="00B445C6"/>
    <w:rsid w:val="00B445E0"/>
    <w:rsid w:val="00B44B2B"/>
    <w:rsid w:val="00B461FB"/>
    <w:rsid w:val="00B4685A"/>
    <w:rsid w:val="00B46F87"/>
    <w:rsid w:val="00B47199"/>
    <w:rsid w:val="00B51438"/>
    <w:rsid w:val="00B51758"/>
    <w:rsid w:val="00B51D79"/>
    <w:rsid w:val="00B52888"/>
    <w:rsid w:val="00B53378"/>
    <w:rsid w:val="00B53D83"/>
    <w:rsid w:val="00B54200"/>
    <w:rsid w:val="00B54C2E"/>
    <w:rsid w:val="00B54C85"/>
    <w:rsid w:val="00B54D43"/>
    <w:rsid w:val="00B54E35"/>
    <w:rsid w:val="00B550C5"/>
    <w:rsid w:val="00B550CE"/>
    <w:rsid w:val="00B556F4"/>
    <w:rsid w:val="00B5603B"/>
    <w:rsid w:val="00B56D80"/>
    <w:rsid w:val="00B57134"/>
    <w:rsid w:val="00B606BC"/>
    <w:rsid w:val="00B60933"/>
    <w:rsid w:val="00B613F2"/>
    <w:rsid w:val="00B616D3"/>
    <w:rsid w:val="00B620A2"/>
    <w:rsid w:val="00B627AB"/>
    <w:rsid w:val="00B62A15"/>
    <w:rsid w:val="00B639D5"/>
    <w:rsid w:val="00B63CE8"/>
    <w:rsid w:val="00B64592"/>
    <w:rsid w:val="00B64DE4"/>
    <w:rsid w:val="00B66946"/>
    <w:rsid w:val="00B67966"/>
    <w:rsid w:val="00B67A47"/>
    <w:rsid w:val="00B67EEF"/>
    <w:rsid w:val="00B700F7"/>
    <w:rsid w:val="00B70FD3"/>
    <w:rsid w:val="00B7134A"/>
    <w:rsid w:val="00B71D74"/>
    <w:rsid w:val="00B7225C"/>
    <w:rsid w:val="00B734EA"/>
    <w:rsid w:val="00B73FC5"/>
    <w:rsid w:val="00B7442A"/>
    <w:rsid w:val="00B75CDE"/>
    <w:rsid w:val="00B75ECA"/>
    <w:rsid w:val="00B767C3"/>
    <w:rsid w:val="00B772A1"/>
    <w:rsid w:val="00B80704"/>
    <w:rsid w:val="00B80D18"/>
    <w:rsid w:val="00B80F40"/>
    <w:rsid w:val="00B81448"/>
    <w:rsid w:val="00B819BE"/>
    <w:rsid w:val="00B81D92"/>
    <w:rsid w:val="00B82967"/>
    <w:rsid w:val="00B82D3E"/>
    <w:rsid w:val="00B836EB"/>
    <w:rsid w:val="00B84AC3"/>
    <w:rsid w:val="00B85E76"/>
    <w:rsid w:val="00B8662E"/>
    <w:rsid w:val="00B87B54"/>
    <w:rsid w:val="00B87C2B"/>
    <w:rsid w:val="00B90F72"/>
    <w:rsid w:val="00B9247F"/>
    <w:rsid w:val="00B939AC"/>
    <w:rsid w:val="00B94746"/>
    <w:rsid w:val="00B94BF1"/>
    <w:rsid w:val="00B9539F"/>
    <w:rsid w:val="00B953AD"/>
    <w:rsid w:val="00B9560C"/>
    <w:rsid w:val="00BA06FE"/>
    <w:rsid w:val="00BA0E40"/>
    <w:rsid w:val="00BA1A0D"/>
    <w:rsid w:val="00BA1ED3"/>
    <w:rsid w:val="00BA1F06"/>
    <w:rsid w:val="00BA2E14"/>
    <w:rsid w:val="00BA37DD"/>
    <w:rsid w:val="00BA46FA"/>
    <w:rsid w:val="00BA48F5"/>
    <w:rsid w:val="00BA4CAE"/>
    <w:rsid w:val="00BA6502"/>
    <w:rsid w:val="00BA73A0"/>
    <w:rsid w:val="00BA7549"/>
    <w:rsid w:val="00BB07FA"/>
    <w:rsid w:val="00BB0FCB"/>
    <w:rsid w:val="00BB2F55"/>
    <w:rsid w:val="00BB3A93"/>
    <w:rsid w:val="00BB497C"/>
    <w:rsid w:val="00BB4B63"/>
    <w:rsid w:val="00BB61A3"/>
    <w:rsid w:val="00BB74A6"/>
    <w:rsid w:val="00BB7622"/>
    <w:rsid w:val="00BB7734"/>
    <w:rsid w:val="00BB7AD1"/>
    <w:rsid w:val="00BB7E05"/>
    <w:rsid w:val="00BC30CC"/>
    <w:rsid w:val="00BC436E"/>
    <w:rsid w:val="00BC4A04"/>
    <w:rsid w:val="00BC5329"/>
    <w:rsid w:val="00BC69A4"/>
    <w:rsid w:val="00BD01F1"/>
    <w:rsid w:val="00BD030D"/>
    <w:rsid w:val="00BD0453"/>
    <w:rsid w:val="00BD0471"/>
    <w:rsid w:val="00BD1BBB"/>
    <w:rsid w:val="00BD1F44"/>
    <w:rsid w:val="00BD2B5E"/>
    <w:rsid w:val="00BD381A"/>
    <w:rsid w:val="00BD3A50"/>
    <w:rsid w:val="00BD3A5F"/>
    <w:rsid w:val="00BD3B14"/>
    <w:rsid w:val="00BD3CE4"/>
    <w:rsid w:val="00BD454C"/>
    <w:rsid w:val="00BD4968"/>
    <w:rsid w:val="00BD5354"/>
    <w:rsid w:val="00BD5419"/>
    <w:rsid w:val="00BD541B"/>
    <w:rsid w:val="00BD5519"/>
    <w:rsid w:val="00BD5E7A"/>
    <w:rsid w:val="00BD6298"/>
    <w:rsid w:val="00BD655D"/>
    <w:rsid w:val="00BD6648"/>
    <w:rsid w:val="00BD69EC"/>
    <w:rsid w:val="00BD6D9F"/>
    <w:rsid w:val="00BE0227"/>
    <w:rsid w:val="00BE0538"/>
    <w:rsid w:val="00BE110C"/>
    <w:rsid w:val="00BE1750"/>
    <w:rsid w:val="00BE1B08"/>
    <w:rsid w:val="00BE1C22"/>
    <w:rsid w:val="00BE228A"/>
    <w:rsid w:val="00BE243E"/>
    <w:rsid w:val="00BE2CAE"/>
    <w:rsid w:val="00BE38D7"/>
    <w:rsid w:val="00BE3E93"/>
    <w:rsid w:val="00BE41DA"/>
    <w:rsid w:val="00BE423E"/>
    <w:rsid w:val="00BE4810"/>
    <w:rsid w:val="00BE495B"/>
    <w:rsid w:val="00BE4E4D"/>
    <w:rsid w:val="00BE62CC"/>
    <w:rsid w:val="00BF16D7"/>
    <w:rsid w:val="00BF271F"/>
    <w:rsid w:val="00BF28F4"/>
    <w:rsid w:val="00BF2A9A"/>
    <w:rsid w:val="00BF2BB9"/>
    <w:rsid w:val="00BF36B5"/>
    <w:rsid w:val="00BF3973"/>
    <w:rsid w:val="00BF3F07"/>
    <w:rsid w:val="00BF46EB"/>
    <w:rsid w:val="00BF5CB9"/>
    <w:rsid w:val="00BF624C"/>
    <w:rsid w:val="00BF65D7"/>
    <w:rsid w:val="00BF7309"/>
    <w:rsid w:val="00C0009A"/>
    <w:rsid w:val="00C00A65"/>
    <w:rsid w:val="00C00B36"/>
    <w:rsid w:val="00C04073"/>
    <w:rsid w:val="00C0424C"/>
    <w:rsid w:val="00C04401"/>
    <w:rsid w:val="00C04D37"/>
    <w:rsid w:val="00C060D2"/>
    <w:rsid w:val="00C06BDD"/>
    <w:rsid w:val="00C10191"/>
    <w:rsid w:val="00C10958"/>
    <w:rsid w:val="00C10980"/>
    <w:rsid w:val="00C10CDB"/>
    <w:rsid w:val="00C11D7F"/>
    <w:rsid w:val="00C12097"/>
    <w:rsid w:val="00C120B8"/>
    <w:rsid w:val="00C1221F"/>
    <w:rsid w:val="00C12C76"/>
    <w:rsid w:val="00C13C8E"/>
    <w:rsid w:val="00C13D12"/>
    <w:rsid w:val="00C153F4"/>
    <w:rsid w:val="00C164FA"/>
    <w:rsid w:val="00C165A8"/>
    <w:rsid w:val="00C17FA7"/>
    <w:rsid w:val="00C209EA"/>
    <w:rsid w:val="00C21C13"/>
    <w:rsid w:val="00C23266"/>
    <w:rsid w:val="00C234D8"/>
    <w:rsid w:val="00C27447"/>
    <w:rsid w:val="00C30869"/>
    <w:rsid w:val="00C30E98"/>
    <w:rsid w:val="00C32279"/>
    <w:rsid w:val="00C32385"/>
    <w:rsid w:val="00C3239F"/>
    <w:rsid w:val="00C33F24"/>
    <w:rsid w:val="00C351A5"/>
    <w:rsid w:val="00C35B49"/>
    <w:rsid w:val="00C362BA"/>
    <w:rsid w:val="00C363A1"/>
    <w:rsid w:val="00C367DB"/>
    <w:rsid w:val="00C36998"/>
    <w:rsid w:val="00C40237"/>
    <w:rsid w:val="00C404FA"/>
    <w:rsid w:val="00C40863"/>
    <w:rsid w:val="00C41C75"/>
    <w:rsid w:val="00C42397"/>
    <w:rsid w:val="00C4239D"/>
    <w:rsid w:val="00C42B21"/>
    <w:rsid w:val="00C42B82"/>
    <w:rsid w:val="00C42C07"/>
    <w:rsid w:val="00C42CA3"/>
    <w:rsid w:val="00C42F74"/>
    <w:rsid w:val="00C42FE1"/>
    <w:rsid w:val="00C432DF"/>
    <w:rsid w:val="00C4332E"/>
    <w:rsid w:val="00C43B52"/>
    <w:rsid w:val="00C43D23"/>
    <w:rsid w:val="00C43E03"/>
    <w:rsid w:val="00C44378"/>
    <w:rsid w:val="00C4472D"/>
    <w:rsid w:val="00C44BCA"/>
    <w:rsid w:val="00C44D08"/>
    <w:rsid w:val="00C44E7C"/>
    <w:rsid w:val="00C46C1C"/>
    <w:rsid w:val="00C46CD9"/>
    <w:rsid w:val="00C47533"/>
    <w:rsid w:val="00C502FD"/>
    <w:rsid w:val="00C50DB0"/>
    <w:rsid w:val="00C50DBE"/>
    <w:rsid w:val="00C51152"/>
    <w:rsid w:val="00C5126E"/>
    <w:rsid w:val="00C51BB1"/>
    <w:rsid w:val="00C520C6"/>
    <w:rsid w:val="00C534C4"/>
    <w:rsid w:val="00C54147"/>
    <w:rsid w:val="00C549AF"/>
    <w:rsid w:val="00C55420"/>
    <w:rsid w:val="00C55C9B"/>
    <w:rsid w:val="00C55CF6"/>
    <w:rsid w:val="00C56F08"/>
    <w:rsid w:val="00C61000"/>
    <w:rsid w:val="00C6407B"/>
    <w:rsid w:val="00C643C0"/>
    <w:rsid w:val="00C653AF"/>
    <w:rsid w:val="00C6639A"/>
    <w:rsid w:val="00C67E9A"/>
    <w:rsid w:val="00C70484"/>
    <w:rsid w:val="00C70714"/>
    <w:rsid w:val="00C7076F"/>
    <w:rsid w:val="00C71C48"/>
    <w:rsid w:val="00C72554"/>
    <w:rsid w:val="00C72579"/>
    <w:rsid w:val="00C73066"/>
    <w:rsid w:val="00C7383C"/>
    <w:rsid w:val="00C73F8B"/>
    <w:rsid w:val="00C7656A"/>
    <w:rsid w:val="00C7795D"/>
    <w:rsid w:val="00C8016B"/>
    <w:rsid w:val="00C804B8"/>
    <w:rsid w:val="00C80608"/>
    <w:rsid w:val="00C81336"/>
    <w:rsid w:val="00C81625"/>
    <w:rsid w:val="00C81BF6"/>
    <w:rsid w:val="00C839E1"/>
    <w:rsid w:val="00C8416E"/>
    <w:rsid w:val="00C84D34"/>
    <w:rsid w:val="00C85D30"/>
    <w:rsid w:val="00C869E2"/>
    <w:rsid w:val="00C86D8F"/>
    <w:rsid w:val="00C904B4"/>
    <w:rsid w:val="00C90753"/>
    <w:rsid w:val="00C908EE"/>
    <w:rsid w:val="00C916C1"/>
    <w:rsid w:val="00C926CA"/>
    <w:rsid w:val="00C92DCF"/>
    <w:rsid w:val="00C9316A"/>
    <w:rsid w:val="00C93850"/>
    <w:rsid w:val="00C9399A"/>
    <w:rsid w:val="00C951B5"/>
    <w:rsid w:val="00C95DBA"/>
    <w:rsid w:val="00C95F0F"/>
    <w:rsid w:val="00C96301"/>
    <w:rsid w:val="00C9656A"/>
    <w:rsid w:val="00C9731F"/>
    <w:rsid w:val="00C97812"/>
    <w:rsid w:val="00C97CB6"/>
    <w:rsid w:val="00CA09C0"/>
    <w:rsid w:val="00CA10E0"/>
    <w:rsid w:val="00CA130E"/>
    <w:rsid w:val="00CA172B"/>
    <w:rsid w:val="00CA1AD2"/>
    <w:rsid w:val="00CA3CC4"/>
    <w:rsid w:val="00CA449D"/>
    <w:rsid w:val="00CA4E19"/>
    <w:rsid w:val="00CA5190"/>
    <w:rsid w:val="00CA7867"/>
    <w:rsid w:val="00CA7FA5"/>
    <w:rsid w:val="00CB0871"/>
    <w:rsid w:val="00CB08EF"/>
    <w:rsid w:val="00CB1B3C"/>
    <w:rsid w:val="00CB45B7"/>
    <w:rsid w:val="00CB49A7"/>
    <w:rsid w:val="00CB5116"/>
    <w:rsid w:val="00CB53E9"/>
    <w:rsid w:val="00CB5439"/>
    <w:rsid w:val="00CB5B3B"/>
    <w:rsid w:val="00CB613E"/>
    <w:rsid w:val="00CB64D9"/>
    <w:rsid w:val="00CB65C9"/>
    <w:rsid w:val="00CB6F27"/>
    <w:rsid w:val="00CB74E0"/>
    <w:rsid w:val="00CB77CC"/>
    <w:rsid w:val="00CC07C7"/>
    <w:rsid w:val="00CC2B93"/>
    <w:rsid w:val="00CC4A6B"/>
    <w:rsid w:val="00CC51F4"/>
    <w:rsid w:val="00CC613B"/>
    <w:rsid w:val="00CC6E62"/>
    <w:rsid w:val="00CC6F9C"/>
    <w:rsid w:val="00CC7662"/>
    <w:rsid w:val="00CC7837"/>
    <w:rsid w:val="00CD0D16"/>
    <w:rsid w:val="00CD1506"/>
    <w:rsid w:val="00CD175D"/>
    <w:rsid w:val="00CD24CA"/>
    <w:rsid w:val="00CD292C"/>
    <w:rsid w:val="00CD405A"/>
    <w:rsid w:val="00CD4652"/>
    <w:rsid w:val="00CD4AEF"/>
    <w:rsid w:val="00CD4BE3"/>
    <w:rsid w:val="00CD4CB3"/>
    <w:rsid w:val="00CD501D"/>
    <w:rsid w:val="00CD5359"/>
    <w:rsid w:val="00CD5775"/>
    <w:rsid w:val="00CD5B20"/>
    <w:rsid w:val="00CD6E73"/>
    <w:rsid w:val="00CD7828"/>
    <w:rsid w:val="00CE1906"/>
    <w:rsid w:val="00CE2F56"/>
    <w:rsid w:val="00CE41D5"/>
    <w:rsid w:val="00CE4418"/>
    <w:rsid w:val="00CE4B47"/>
    <w:rsid w:val="00CE6C33"/>
    <w:rsid w:val="00CE7550"/>
    <w:rsid w:val="00CF112C"/>
    <w:rsid w:val="00CF1AD9"/>
    <w:rsid w:val="00CF1F79"/>
    <w:rsid w:val="00CF29A9"/>
    <w:rsid w:val="00CF4DFB"/>
    <w:rsid w:val="00CF6044"/>
    <w:rsid w:val="00CF6802"/>
    <w:rsid w:val="00CF69EB"/>
    <w:rsid w:val="00CF7417"/>
    <w:rsid w:val="00D0045B"/>
    <w:rsid w:val="00D01C1F"/>
    <w:rsid w:val="00D01E9C"/>
    <w:rsid w:val="00D0259F"/>
    <w:rsid w:val="00D02BE5"/>
    <w:rsid w:val="00D034AC"/>
    <w:rsid w:val="00D03901"/>
    <w:rsid w:val="00D040C5"/>
    <w:rsid w:val="00D04B63"/>
    <w:rsid w:val="00D04F9D"/>
    <w:rsid w:val="00D05B20"/>
    <w:rsid w:val="00D05FFF"/>
    <w:rsid w:val="00D06594"/>
    <w:rsid w:val="00D0679A"/>
    <w:rsid w:val="00D06D5A"/>
    <w:rsid w:val="00D0714D"/>
    <w:rsid w:val="00D1075D"/>
    <w:rsid w:val="00D108E6"/>
    <w:rsid w:val="00D11A3D"/>
    <w:rsid w:val="00D12102"/>
    <w:rsid w:val="00D12111"/>
    <w:rsid w:val="00D12B4E"/>
    <w:rsid w:val="00D13314"/>
    <w:rsid w:val="00D147A4"/>
    <w:rsid w:val="00D14D2B"/>
    <w:rsid w:val="00D15168"/>
    <w:rsid w:val="00D15240"/>
    <w:rsid w:val="00D15542"/>
    <w:rsid w:val="00D15CAE"/>
    <w:rsid w:val="00D163FE"/>
    <w:rsid w:val="00D16A51"/>
    <w:rsid w:val="00D17B9B"/>
    <w:rsid w:val="00D20F61"/>
    <w:rsid w:val="00D229E1"/>
    <w:rsid w:val="00D23366"/>
    <w:rsid w:val="00D23370"/>
    <w:rsid w:val="00D23B72"/>
    <w:rsid w:val="00D23CDD"/>
    <w:rsid w:val="00D24461"/>
    <w:rsid w:val="00D26943"/>
    <w:rsid w:val="00D2713B"/>
    <w:rsid w:val="00D274A8"/>
    <w:rsid w:val="00D305A2"/>
    <w:rsid w:val="00D306D0"/>
    <w:rsid w:val="00D3083E"/>
    <w:rsid w:val="00D312DD"/>
    <w:rsid w:val="00D31358"/>
    <w:rsid w:val="00D3201F"/>
    <w:rsid w:val="00D34149"/>
    <w:rsid w:val="00D34669"/>
    <w:rsid w:val="00D3508B"/>
    <w:rsid w:val="00D35201"/>
    <w:rsid w:val="00D36371"/>
    <w:rsid w:val="00D367B6"/>
    <w:rsid w:val="00D36AE8"/>
    <w:rsid w:val="00D37987"/>
    <w:rsid w:val="00D40355"/>
    <w:rsid w:val="00D403B6"/>
    <w:rsid w:val="00D41C74"/>
    <w:rsid w:val="00D42C12"/>
    <w:rsid w:val="00D43293"/>
    <w:rsid w:val="00D4367C"/>
    <w:rsid w:val="00D4550F"/>
    <w:rsid w:val="00D45C9A"/>
    <w:rsid w:val="00D46255"/>
    <w:rsid w:val="00D4654B"/>
    <w:rsid w:val="00D46A80"/>
    <w:rsid w:val="00D47FA1"/>
    <w:rsid w:val="00D5063E"/>
    <w:rsid w:val="00D51855"/>
    <w:rsid w:val="00D5285C"/>
    <w:rsid w:val="00D52B2D"/>
    <w:rsid w:val="00D53227"/>
    <w:rsid w:val="00D54850"/>
    <w:rsid w:val="00D54B02"/>
    <w:rsid w:val="00D5505C"/>
    <w:rsid w:val="00D550FE"/>
    <w:rsid w:val="00D5596E"/>
    <w:rsid w:val="00D55F7F"/>
    <w:rsid w:val="00D56178"/>
    <w:rsid w:val="00D56225"/>
    <w:rsid w:val="00D56CB8"/>
    <w:rsid w:val="00D579B3"/>
    <w:rsid w:val="00D57DBD"/>
    <w:rsid w:val="00D60299"/>
    <w:rsid w:val="00D603F5"/>
    <w:rsid w:val="00D6071B"/>
    <w:rsid w:val="00D60DE6"/>
    <w:rsid w:val="00D61099"/>
    <w:rsid w:val="00D61D28"/>
    <w:rsid w:val="00D62F11"/>
    <w:rsid w:val="00D6306F"/>
    <w:rsid w:val="00D63999"/>
    <w:rsid w:val="00D63C9F"/>
    <w:rsid w:val="00D63DEC"/>
    <w:rsid w:val="00D64CD0"/>
    <w:rsid w:val="00D65BE6"/>
    <w:rsid w:val="00D65E2F"/>
    <w:rsid w:val="00D664F8"/>
    <w:rsid w:val="00D66948"/>
    <w:rsid w:val="00D66984"/>
    <w:rsid w:val="00D66FD3"/>
    <w:rsid w:val="00D706E8"/>
    <w:rsid w:val="00D715D9"/>
    <w:rsid w:val="00D7187E"/>
    <w:rsid w:val="00D71EA4"/>
    <w:rsid w:val="00D7291B"/>
    <w:rsid w:val="00D75B99"/>
    <w:rsid w:val="00D7672A"/>
    <w:rsid w:val="00D77077"/>
    <w:rsid w:val="00D81EB8"/>
    <w:rsid w:val="00D81EDB"/>
    <w:rsid w:val="00D82EF2"/>
    <w:rsid w:val="00D83A91"/>
    <w:rsid w:val="00D843E8"/>
    <w:rsid w:val="00D85495"/>
    <w:rsid w:val="00D87952"/>
    <w:rsid w:val="00D9046C"/>
    <w:rsid w:val="00D90813"/>
    <w:rsid w:val="00D916E9"/>
    <w:rsid w:val="00D9246A"/>
    <w:rsid w:val="00D92C75"/>
    <w:rsid w:val="00D93479"/>
    <w:rsid w:val="00D93949"/>
    <w:rsid w:val="00D94FDD"/>
    <w:rsid w:val="00D95351"/>
    <w:rsid w:val="00D956D5"/>
    <w:rsid w:val="00D96262"/>
    <w:rsid w:val="00D96357"/>
    <w:rsid w:val="00DA0886"/>
    <w:rsid w:val="00DA0FC3"/>
    <w:rsid w:val="00DA1EC7"/>
    <w:rsid w:val="00DA454E"/>
    <w:rsid w:val="00DA4585"/>
    <w:rsid w:val="00DA46F6"/>
    <w:rsid w:val="00DA4D70"/>
    <w:rsid w:val="00DA697C"/>
    <w:rsid w:val="00DA6D97"/>
    <w:rsid w:val="00DB08C3"/>
    <w:rsid w:val="00DB323C"/>
    <w:rsid w:val="00DB472A"/>
    <w:rsid w:val="00DB4C2B"/>
    <w:rsid w:val="00DB5405"/>
    <w:rsid w:val="00DB69C3"/>
    <w:rsid w:val="00DB6ABB"/>
    <w:rsid w:val="00DB6C65"/>
    <w:rsid w:val="00DB7110"/>
    <w:rsid w:val="00DB7227"/>
    <w:rsid w:val="00DB7627"/>
    <w:rsid w:val="00DB7B8A"/>
    <w:rsid w:val="00DC1030"/>
    <w:rsid w:val="00DC140C"/>
    <w:rsid w:val="00DC1FAD"/>
    <w:rsid w:val="00DC2561"/>
    <w:rsid w:val="00DC35BB"/>
    <w:rsid w:val="00DC44CE"/>
    <w:rsid w:val="00DC7CFD"/>
    <w:rsid w:val="00DD0259"/>
    <w:rsid w:val="00DD04A9"/>
    <w:rsid w:val="00DD0568"/>
    <w:rsid w:val="00DD0B86"/>
    <w:rsid w:val="00DD103D"/>
    <w:rsid w:val="00DD129A"/>
    <w:rsid w:val="00DD1644"/>
    <w:rsid w:val="00DD27F7"/>
    <w:rsid w:val="00DD2844"/>
    <w:rsid w:val="00DD2EF4"/>
    <w:rsid w:val="00DD4241"/>
    <w:rsid w:val="00DD44CE"/>
    <w:rsid w:val="00DD4E8A"/>
    <w:rsid w:val="00DD54D5"/>
    <w:rsid w:val="00DD580C"/>
    <w:rsid w:val="00DD606E"/>
    <w:rsid w:val="00DD6B70"/>
    <w:rsid w:val="00DD6D40"/>
    <w:rsid w:val="00DE0A64"/>
    <w:rsid w:val="00DE1552"/>
    <w:rsid w:val="00DE29B2"/>
    <w:rsid w:val="00DE3137"/>
    <w:rsid w:val="00DE3DFB"/>
    <w:rsid w:val="00DE47A8"/>
    <w:rsid w:val="00DE4CC6"/>
    <w:rsid w:val="00DE4D11"/>
    <w:rsid w:val="00DE5BFB"/>
    <w:rsid w:val="00DE70E2"/>
    <w:rsid w:val="00DF1904"/>
    <w:rsid w:val="00DF3F9B"/>
    <w:rsid w:val="00DF5C98"/>
    <w:rsid w:val="00DF64DC"/>
    <w:rsid w:val="00DF73AB"/>
    <w:rsid w:val="00DF7551"/>
    <w:rsid w:val="00DF769D"/>
    <w:rsid w:val="00DF7C6D"/>
    <w:rsid w:val="00DF7E01"/>
    <w:rsid w:val="00E01369"/>
    <w:rsid w:val="00E015BF"/>
    <w:rsid w:val="00E016E6"/>
    <w:rsid w:val="00E03954"/>
    <w:rsid w:val="00E0448C"/>
    <w:rsid w:val="00E04AAB"/>
    <w:rsid w:val="00E05B63"/>
    <w:rsid w:val="00E05EB2"/>
    <w:rsid w:val="00E05FEC"/>
    <w:rsid w:val="00E108EF"/>
    <w:rsid w:val="00E11065"/>
    <w:rsid w:val="00E1130C"/>
    <w:rsid w:val="00E11788"/>
    <w:rsid w:val="00E1319F"/>
    <w:rsid w:val="00E131B1"/>
    <w:rsid w:val="00E13F4F"/>
    <w:rsid w:val="00E14DE0"/>
    <w:rsid w:val="00E15A08"/>
    <w:rsid w:val="00E15AB7"/>
    <w:rsid w:val="00E16382"/>
    <w:rsid w:val="00E168F6"/>
    <w:rsid w:val="00E16BA5"/>
    <w:rsid w:val="00E16E36"/>
    <w:rsid w:val="00E1712F"/>
    <w:rsid w:val="00E17BA2"/>
    <w:rsid w:val="00E17CED"/>
    <w:rsid w:val="00E22B3B"/>
    <w:rsid w:val="00E24103"/>
    <w:rsid w:val="00E246DD"/>
    <w:rsid w:val="00E2477D"/>
    <w:rsid w:val="00E248BD"/>
    <w:rsid w:val="00E31839"/>
    <w:rsid w:val="00E328ED"/>
    <w:rsid w:val="00E34EA4"/>
    <w:rsid w:val="00E36AF8"/>
    <w:rsid w:val="00E3751E"/>
    <w:rsid w:val="00E427EA"/>
    <w:rsid w:val="00E43D52"/>
    <w:rsid w:val="00E4471A"/>
    <w:rsid w:val="00E45A7E"/>
    <w:rsid w:val="00E45F60"/>
    <w:rsid w:val="00E46D1B"/>
    <w:rsid w:val="00E47424"/>
    <w:rsid w:val="00E47E9F"/>
    <w:rsid w:val="00E50687"/>
    <w:rsid w:val="00E50951"/>
    <w:rsid w:val="00E50A56"/>
    <w:rsid w:val="00E510BD"/>
    <w:rsid w:val="00E51188"/>
    <w:rsid w:val="00E52926"/>
    <w:rsid w:val="00E53458"/>
    <w:rsid w:val="00E534F7"/>
    <w:rsid w:val="00E53BAE"/>
    <w:rsid w:val="00E54079"/>
    <w:rsid w:val="00E544B1"/>
    <w:rsid w:val="00E54EB2"/>
    <w:rsid w:val="00E56847"/>
    <w:rsid w:val="00E572B6"/>
    <w:rsid w:val="00E574CC"/>
    <w:rsid w:val="00E57E14"/>
    <w:rsid w:val="00E60131"/>
    <w:rsid w:val="00E6076E"/>
    <w:rsid w:val="00E61C8C"/>
    <w:rsid w:val="00E63253"/>
    <w:rsid w:val="00E63536"/>
    <w:rsid w:val="00E636E4"/>
    <w:rsid w:val="00E6390F"/>
    <w:rsid w:val="00E63CD3"/>
    <w:rsid w:val="00E63F0C"/>
    <w:rsid w:val="00E64C52"/>
    <w:rsid w:val="00E652AA"/>
    <w:rsid w:val="00E65459"/>
    <w:rsid w:val="00E655DD"/>
    <w:rsid w:val="00E668BB"/>
    <w:rsid w:val="00E66B11"/>
    <w:rsid w:val="00E6700A"/>
    <w:rsid w:val="00E679BD"/>
    <w:rsid w:val="00E711C2"/>
    <w:rsid w:val="00E7158C"/>
    <w:rsid w:val="00E7255D"/>
    <w:rsid w:val="00E72635"/>
    <w:rsid w:val="00E73260"/>
    <w:rsid w:val="00E73343"/>
    <w:rsid w:val="00E74824"/>
    <w:rsid w:val="00E748A4"/>
    <w:rsid w:val="00E7503C"/>
    <w:rsid w:val="00E75F5D"/>
    <w:rsid w:val="00E766F1"/>
    <w:rsid w:val="00E77581"/>
    <w:rsid w:val="00E8029A"/>
    <w:rsid w:val="00E80CF5"/>
    <w:rsid w:val="00E80F9A"/>
    <w:rsid w:val="00E813C5"/>
    <w:rsid w:val="00E81C99"/>
    <w:rsid w:val="00E82E27"/>
    <w:rsid w:val="00E82F44"/>
    <w:rsid w:val="00E82F89"/>
    <w:rsid w:val="00E8420F"/>
    <w:rsid w:val="00E84356"/>
    <w:rsid w:val="00E848A3"/>
    <w:rsid w:val="00E850DC"/>
    <w:rsid w:val="00E85D4F"/>
    <w:rsid w:val="00E85FE7"/>
    <w:rsid w:val="00E8693E"/>
    <w:rsid w:val="00E8780B"/>
    <w:rsid w:val="00E87E3E"/>
    <w:rsid w:val="00E900DD"/>
    <w:rsid w:val="00E90CCE"/>
    <w:rsid w:val="00E92B17"/>
    <w:rsid w:val="00E92C3C"/>
    <w:rsid w:val="00E9407A"/>
    <w:rsid w:val="00E94429"/>
    <w:rsid w:val="00E94A31"/>
    <w:rsid w:val="00E953BD"/>
    <w:rsid w:val="00E9581C"/>
    <w:rsid w:val="00E963D7"/>
    <w:rsid w:val="00EA05B1"/>
    <w:rsid w:val="00EA178F"/>
    <w:rsid w:val="00EA1B65"/>
    <w:rsid w:val="00EA210F"/>
    <w:rsid w:val="00EA30C7"/>
    <w:rsid w:val="00EA3A7D"/>
    <w:rsid w:val="00EA511D"/>
    <w:rsid w:val="00EA62F9"/>
    <w:rsid w:val="00EA649A"/>
    <w:rsid w:val="00EA67DF"/>
    <w:rsid w:val="00EA7116"/>
    <w:rsid w:val="00EA734E"/>
    <w:rsid w:val="00EA786A"/>
    <w:rsid w:val="00EA7E87"/>
    <w:rsid w:val="00EA7ECC"/>
    <w:rsid w:val="00EB07F9"/>
    <w:rsid w:val="00EB113C"/>
    <w:rsid w:val="00EB13A8"/>
    <w:rsid w:val="00EB1D9A"/>
    <w:rsid w:val="00EB2443"/>
    <w:rsid w:val="00EB2C9F"/>
    <w:rsid w:val="00EB35D0"/>
    <w:rsid w:val="00EB511A"/>
    <w:rsid w:val="00EB5FD3"/>
    <w:rsid w:val="00EB6074"/>
    <w:rsid w:val="00EC0458"/>
    <w:rsid w:val="00EC04BC"/>
    <w:rsid w:val="00EC11CA"/>
    <w:rsid w:val="00EC131B"/>
    <w:rsid w:val="00EC19AA"/>
    <w:rsid w:val="00EC1E49"/>
    <w:rsid w:val="00EC1EC3"/>
    <w:rsid w:val="00EC2958"/>
    <w:rsid w:val="00EC2A97"/>
    <w:rsid w:val="00EC4734"/>
    <w:rsid w:val="00EC47E9"/>
    <w:rsid w:val="00EC61BB"/>
    <w:rsid w:val="00EC66B9"/>
    <w:rsid w:val="00EC6CAF"/>
    <w:rsid w:val="00EC778C"/>
    <w:rsid w:val="00EC7878"/>
    <w:rsid w:val="00EC7A7B"/>
    <w:rsid w:val="00ED130E"/>
    <w:rsid w:val="00ED1C3A"/>
    <w:rsid w:val="00ED2523"/>
    <w:rsid w:val="00ED2583"/>
    <w:rsid w:val="00ED3CA6"/>
    <w:rsid w:val="00ED4673"/>
    <w:rsid w:val="00ED7E5A"/>
    <w:rsid w:val="00EE1E75"/>
    <w:rsid w:val="00EE264F"/>
    <w:rsid w:val="00EE2E90"/>
    <w:rsid w:val="00EE3292"/>
    <w:rsid w:val="00EE41AB"/>
    <w:rsid w:val="00EE4CCE"/>
    <w:rsid w:val="00EE5A85"/>
    <w:rsid w:val="00EE5AE3"/>
    <w:rsid w:val="00EE686D"/>
    <w:rsid w:val="00EE7327"/>
    <w:rsid w:val="00EF0122"/>
    <w:rsid w:val="00EF0B01"/>
    <w:rsid w:val="00EF12A4"/>
    <w:rsid w:val="00EF2035"/>
    <w:rsid w:val="00EF32E1"/>
    <w:rsid w:val="00EF3A8C"/>
    <w:rsid w:val="00EF450D"/>
    <w:rsid w:val="00EF5D68"/>
    <w:rsid w:val="00EF604F"/>
    <w:rsid w:val="00EF6442"/>
    <w:rsid w:val="00EF645A"/>
    <w:rsid w:val="00EF77F4"/>
    <w:rsid w:val="00EF7995"/>
    <w:rsid w:val="00EF7BE5"/>
    <w:rsid w:val="00F0060D"/>
    <w:rsid w:val="00F00DE2"/>
    <w:rsid w:val="00F00E39"/>
    <w:rsid w:val="00F01286"/>
    <w:rsid w:val="00F02998"/>
    <w:rsid w:val="00F02F9F"/>
    <w:rsid w:val="00F04945"/>
    <w:rsid w:val="00F04A93"/>
    <w:rsid w:val="00F04E2D"/>
    <w:rsid w:val="00F05FC7"/>
    <w:rsid w:val="00F0604A"/>
    <w:rsid w:val="00F064A6"/>
    <w:rsid w:val="00F06595"/>
    <w:rsid w:val="00F06EE1"/>
    <w:rsid w:val="00F070DD"/>
    <w:rsid w:val="00F1049D"/>
    <w:rsid w:val="00F1088A"/>
    <w:rsid w:val="00F10C54"/>
    <w:rsid w:val="00F113C8"/>
    <w:rsid w:val="00F11B14"/>
    <w:rsid w:val="00F12544"/>
    <w:rsid w:val="00F138CD"/>
    <w:rsid w:val="00F13E09"/>
    <w:rsid w:val="00F13FD1"/>
    <w:rsid w:val="00F1568C"/>
    <w:rsid w:val="00F15D75"/>
    <w:rsid w:val="00F17881"/>
    <w:rsid w:val="00F202B4"/>
    <w:rsid w:val="00F20A3F"/>
    <w:rsid w:val="00F22039"/>
    <w:rsid w:val="00F22057"/>
    <w:rsid w:val="00F22D7B"/>
    <w:rsid w:val="00F24EA9"/>
    <w:rsid w:val="00F2582D"/>
    <w:rsid w:val="00F25928"/>
    <w:rsid w:val="00F2728F"/>
    <w:rsid w:val="00F27B37"/>
    <w:rsid w:val="00F314C6"/>
    <w:rsid w:val="00F3254A"/>
    <w:rsid w:val="00F32A8B"/>
    <w:rsid w:val="00F32C9F"/>
    <w:rsid w:val="00F32ED4"/>
    <w:rsid w:val="00F3319C"/>
    <w:rsid w:val="00F337DD"/>
    <w:rsid w:val="00F3396C"/>
    <w:rsid w:val="00F33E2D"/>
    <w:rsid w:val="00F35825"/>
    <w:rsid w:val="00F36D18"/>
    <w:rsid w:val="00F36EA5"/>
    <w:rsid w:val="00F375EE"/>
    <w:rsid w:val="00F37A54"/>
    <w:rsid w:val="00F40A3A"/>
    <w:rsid w:val="00F42B24"/>
    <w:rsid w:val="00F43293"/>
    <w:rsid w:val="00F4407F"/>
    <w:rsid w:val="00F44F89"/>
    <w:rsid w:val="00F450C9"/>
    <w:rsid w:val="00F4638B"/>
    <w:rsid w:val="00F466DF"/>
    <w:rsid w:val="00F519F3"/>
    <w:rsid w:val="00F51AF1"/>
    <w:rsid w:val="00F522AC"/>
    <w:rsid w:val="00F527EC"/>
    <w:rsid w:val="00F52DDD"/>
    <w:rsid w:val="00F53106"/>
    <w:rsid w:val="00F53422"/>
    <w:rsid w:val="00F547CB"/>
    <w:rsid w:val="00F54CEF"/>
    <w:rsid w:val="00F55619"/>
    <w:rsid w:val="00F55A5F"/>
    <w:rsid w:val="00F565AF"/>
    <w:rsid w:val="00F57BA7"/>
    <w:rsid w:val="00F60065"/>
    <w:rsid w:val="00F61AEC"/>
    <w:rsid w:val="00F61B2C"/>
    <w:rsid w:val="00F62B0E"/>
    <w:rsid w:val="00F636C4"/>
    <w:rsid w:val="00F63E4D"/>
    <w:rsid w:val="00F6416A"/>
    <w:rsid w:val="00F64D49"/>
    <w:rsid w:val="00F65198"/>
    <w:rsid w:val="00F656F2"/>
    <w:rsid w:val="00F65B67"/>
    <w:rsid w:val="00F65E7F"/>
    <w:rsid w:val="00F66200"/>
    <w:rsid w:val="00F70B05"/>
    <w:rsid w:val="00F7101C"/>
    <w:rsid w:val="00F72122"/>
    <w:rsid w:val="00F72372"/>
    <w:rsid w:val="00F72A4A"/>
    <w:rsid w:val="00F73179"/>
    <w:rsid w:val="00F73525"/>
    <w:rsid w:val="00F73643"/>
    <w:rsid w:val="00F73E1E"/>
    <w:rsid w:val="00F73FE6"/>
    <w:rsid w:val="00F74005"/>
    <w:rsid w:val="00F7411F"/>
    <w:rsid w:val="00F74964"/>
    <w:rsid w:val="00F74BEE"/>
    <w:rsid w:val="00F74C01"/>
    <w:rsid w:val="00F75405"/>
    <w:rsid w:val="00F75CB5"/>
    <w:rsid w:val="00F77144"/>
    <w:rsid w:val="00F81776"/>
    <w:rsid w:val="00F81B74"/>
    <w:rsid w:val="00F84595"/>
    <w:rsid w:val="00F84D78"/>
    <w:rsid w:val="00F8646A"/>
    <w:rsid w:val="00F86AC8"/>
    <w:rsid w:val="00F909E9"/>
    <w:rsid w:val="00F90F68"/>
    <w:rsid w:val="00F91AA9"/>
    <w:rsid w:val="00F91F79"/>
    <w:rsid w:val="00F93B85"/>
    <w:rsid w:val="00F94120"/>
    <w:rsid w:val="00F9454C"/>
    <w:rsid w:val="00F956FF"/>
    <w:rsid w:val="00F95D22"/>
    <w:rsid w:val="00F9631A"/>
    <w:rsid w:val="00F970BB"/>
    <w:rsid w:val="00F97CAA"/>
    <w:rsid w:val="00FA2637"/>
    <w:rsid w:val="00FA542C"/>
    <w:rsid w:val="00FA598B"/>
    <w:rsid w:val="00FA5AAC"/>
    <w:rsid w:val="00FA5D7D"/>
    <w:rsid w:val="00FA5F02"/>
    <w:rsid w:val="00FA661E"/>
    <w:rsid w:val="00FA666D"/>
    <w:rsid w:val="00FA67A7"/>
    <w:rsid w:val="00FA6890"/>
    <w:rsid w:val="00FB039A"/>
    <w:rsid w:val="00FB052B"/>
    <w:rsid w:val="00FB222E"/>
    <w:rsid w:val="00FB2E8D"/>
    <w:rsid w:val="00FB33C0"/>
    <w:rsid w:val="00FB3778"/>
    <w:rsid w:val="00FB3FD2"/>
    <w:rsid w:val="00FB5FB1"/>
    <w:rsid w:val="00FB67BE"/>
    <w:rsid w:val="00FB78EA"/>
    <w:rsid w:val="00FB7F70"/>
    <w:rsid w:val="00FC094F"/>
    <w:rsid w:val="00FC1FB3"/>
    <w:rsid w:val="00FC2F5E"/>
    <w:rsid w:val="00FC36A7"/>
    <w:rsid w:val="00FC409D"/>
    <w:rsid w:val="00FC46D6"/>
    <w:rsid w:val="00FC4756"/>
    <w:rsid w:val="00FC5B72"/>
    <w:rsid w:val="00FC5E35"/>
    <w:rsid w:val="00FC6CEE"/>
    <w:rsid w:val="00FC74E5"/>
    <w:rsid w:val="00FC7939"/>
    <w:rsid w:val="00FC7B33"/>
    <w:rsid w:val="00FD1125"/>
    <w:rsid w:val="00FD21D0"/>
    <w:rsid w:val="00FD2380"/>
    <w:rsid w:val="00FD24E6"/>
    <w:rsid w:val="00FD2F3B"/>
    <w:rsid w:val="00FD3DA8"/>
    <w:rsid w:val="00FD438B"/>
    <w:rsid w:val="00FD464B"/>
    <w:rsid w:val="00FD4F0E"/>
    <w:rsid w:val="00FD50F1"/>
    <w:rsid w:val="00FD6372"/>
    <w:rsid w:val="00FD7971"/>
    <w:rsid w:val="00FE063E"/>
    <w:rsid w:val="00FE1E83"/>
    <w:rsid w:val="00FE2931"/>
    <w:rsid w:val="00FE2C7E"/>
    <w:rsid w:val="00FE3E28"/>
    <w:rsid w:val="00FE4C88"/>
    <w:rsid w:val="00FE5709"/>
    <w:rsid w:val="00FE77DB"/>
    <w:rsid w:val="00FF1D0E"/>
    <w:rsid w:val="00FF257C"/>
    <w:rsid w:val="00FF2E20"/>
    <w:rsid w:val="00FF4949"/>
    <w:rsid w:val="00FF522D"/>
    <w:rsid w:val="00FF579A"/>
    <w:rsid w:val="00FF5F9E"/>
    <w:rsid w:val="00FF6268"/>
    <w:rsid w:val="00FF6E81"/>
    <w:rsid w:val="00FF711C"/>
    <w:rsid w:val="00FF73EF"/>
    <w:rsid w:val="03E37934"/>
    <w:rsid w:val="1EF28767"/>
    <w:rsid w:val="3BD8557B"/>
    <w:rsid w:val="3ED379AA"/>
    <w:rsid w:val="41137C64"/>
    <w:rsid w:val="6EF7C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3288"/>
  <w15:chartTrackingRefBased/>
  <w15:docId w15:val="{35D7A18F-7053-4DD3-9D46-02A67A9B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15"/>
    <w:rPr>
      <w:rFonts w:eastAsiaTheme="majorEastAsia" w:cstheme="majorBidi"/>
      <w:color w:val="272727" w:themeColor="text1" w:themeTint="D8"/>
    </w:rPr>
  </w:style>
  <w:style w:type="paragraph" w:styleId="Title">
    <w:name w:val="Title"/>
    <w:basedOn w:val="Normal"/>
    <w:next w:val="Normal"/>
    <w:link w:val="TitleChar"/>
    <w:uiPriority w:val="10"/>
    <w:qFormat/>
    <w:rsid w:val="006F2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15"/>
    <w:pPr>
      <w:spacing w:before="160"/>
      <w:jc w:val="center"/>
    </w:pPr>
    <w:rPr>
      <w:i/>
      <w:iCs/>
      <w:color w:val="404040" w:themeColor="text1" w:themeTint="BF"/>
    </w:rPr>
  </w:style>
  <w:style w:type="character" w:customStyle="1" w:styleId="QuoteChar">
    <w:name w:val="Quote Char"/>
    <w:basedOn w:val="DefaultParagraphFont"/>
    <w:link w:val="Quote"/>
    <w:uiPriority w:val="29"/>
    <w:rsid w:val="006F2C15"/>
    <w:rPr>
      <w:i/>
      <w:iCs/>
      <w:color w:val="404040" w:themeColor="text1" w:themeTint="BF"/>
    </w:rPr>
  </w:style>
  <w:style w:type="paragraph" w:styleId="ListParagraph">
    <w:name w:val="List Paragraph"/>
    <w:basedOn w:val="Normal"/>
    <w:uiPriority w:val="34"/>
    <w:qFormat/>
    <w:rsid w:val="006F2C15"/>
    <w:pPr>
      <w:ind w:left="720"/>
      <w:contextualSpacing/>
    </w:pPr>
  </w:style>
  <w:style w:type="character" w:styleId="IntenseEmphasis">
    <w:name w:val="Intense Emphasis"/>
    <w:basedOn w:val="DefaultParagraphFont"/>
    <w:uiPriority w:val="21"/>
    <w:qFormat/>
    <w:rsid w:val="006F2C15"/>
    <w:rPr>
      <w:i/>
      <w:iCs/>
      <w:color w:val="0F4761" w:themeColor="accent1" w:themeShade="BF"/>
    </w:rPr>
  </w:style>
  <w:style w:type="paragraph" w:styleId="IntenseQuote">
    <w:name w:val="Intense Quote"/>
    <w:basedOn w:val="Normal"/>
    <w:next w:val="Normal"/>
    <w:link w:val="IntenseQuoteChar"/>
    <w:uiPriority w:val="30"/>
    <w:qFormat/>
    <w:rsid w:val="006F2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15"/>
    <w:rPr>
      <w:i/>
      <w:iCs/>
      <w:color w:val="0F4761" w:themeColor="accent1" w:themeShade="BF"/>
    </w:rPr>
  </w:style>
  <w:style w:type="character" w:styleId="IntenseReference">
    <w:name w:val="Intense Reference"/>
    <w:basedOn w:val="DefaultParagraphFont"/>
    <w:uiPriority w:val="32"/>
    <w:qFormat/>
    <w:rsid w:val="006F2C15"/>
    <w:rPr>
      <w:b/>
      <w:bCs/>
      <w:smallCaps/>
      <w:color w:val="0F4761" w:themeColor="accent1" w:themeShade="BF"/>
      <w:spacing w:val="5"/>
    </w:rPr>
  </w:style>
  <w:style w:type="table" w:styleId="TableGrid">
    <w:name w:val="Table Grid"/>
    <w:basedOn w:val="TableNormal"/>
    <w:uiPriority w:val="39"/>
    <w:rsid w:val="007800F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2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24412"/>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024412"/>
  </w:style>
  <w:style w:type="character" w:styleId="Hyperlink">
    <w:name w:val="Hyperlink"/>
    <w:basedOn w:val="DefaultParagraphFont"/>
    <w:uiPriority w:val="99"/>
    <w:unhideWhenUsed/>
    <w:rsid w:val="00034155"/>
    <w:rPr>
      <w:color w:val="467886" w:themeColor="hyperlink"/>
      <w:u w:val="single"/>
    </w:rPr>
  </w:style>
  <w:style w:type="character" w:customStyle="1" w:styleId="UnresolvedMention1">
    <w:name w:val="Unresolved Mention1"/>
    <w:basedOn w:val="DefaultParagraphFont"/>
    <w:uiPriority w:val="99"/>
    <w:semiHidden/>
    <w:unhideWhenUsed/>
    <w:rsid w:val="00034155"/>
    <w:rPr>
      <w:color w:val="605E5C"/>
      <w:shd w:val="clear" w:color="auto" w:fill="E1DFDD"/>
    </w:rPr>
  </w:style>
  <w:style w:type="character" w:styleId="LineNumber">
    <w:name w:val="line number"/>
    <w:basedOn w:val="DefaultParagraphFont"/>
    <w:uiPriority w:val="99"/>
    <w:semiHidden/>
    <w:unhideWhenUsed/>
    <w:rsid w:val="00EF2035"/>
  </w:style>
  <w:style w:type="character" w:customStyle="1" w:styleId="gntyacmbf4b">
    <w:name w:val="gntyacmbf4b"/>
    <w:basedOn w:val="DefaultParagraphFont"/>
    <w:rsid w:val="00170370"/>
  </w:style>
  <w:style w:type="character" w:customStyle="1" w:styleId="gntyacmbe3b">
    <w:name w:val="gntyacmbe3b"/>
    <w:basedOn w:val="DefaultParagraphFont"/>
    <w:rsid w:val="00170370"/>
  </w:style>
  <w:style w:type="character" w:styleId="PlaceholderText">
    <w:name w:val="Placeholder Text"/>
    <w:basedOn w:val="DefaultParagraphFont"/>
    <w:uiPriority w:val="99"/>
    <w:semiHidden/>
    <w:rsid w:val="00091FA5"/>
    <w:rPr>
      <w:color w:val="666666"/>
    </w:rPr>
  </w:style>
  <w:style w:type="character" w:styleId="CommentReference">
    <w:name w:val="annotation reference"/>
    <w:basedOn w:val="DefaultParagraphFont"/>
    <w:uiPriority w:val="99"/>
    <w:semiHidden/>
    <w:unhideWhenUsed/>
    <w:rsid w:val="00A62871"/>
    <w:rPr>
      <w:sz w:val="16"/>
      <w:szCs w:val="16"/>
    </w:rPr>
  </w:style>
  <w:style w:type="paragraph" w:styleId="CommentText">
    <w:name w:val="annotation text"/>
    <w:basedOn w:val="Normal"/>
    <w:link w:val="CommentTextChar"/>
    <w:uiPriority w:val="99"/>
    <w:unhideWhenUsed/>
    <w:rsid w:val="00A62871"/>
    <w:pPr>
      <w:spacing w:line="240" w:lineRule="auto"/>
    </w:pPr>
    <w:rPr>
      <w:sz w:val="20"/>
      <w:szCs w:val="20"/>
    </w:rPr>
  </w:style>
  <w:style w:type="character" w:customStyle="1" w:styleId="CommentTextChar">
    <w:name w:val="Comment Text Char"/>
    <w:basedOn w:val="DefaultParagraphFont"/>
    <w:link w:val="CommentText"/>
    <w:uiPriority w:val="99"/>
    <w:rsid w:val="00A62871"/>
    <w:rPr>
      <w:sz w:val="20"/>
      <w:szCs w:val="20"/>
    </w:rPr>
  </w:style>
  <w:style w:type="paragraph" w:styleId="CommentSubject">
    <w:name w:val="annotation subject"/>
    <w:basedOn w:val="CommentText"/>
    <w:next w:val="CommentText"/>
    <w:link w:val="CommentSubjectChar"/>
    <w:uiPriority w:val="99"/>
    <w:semiHidden/>
    <w:unhideWhenUsed/>
    <w:rsid w:val="00A62871"/>
    <w:rPr>
      <w:b/>
      <w:bCs/>
    </w:rPr>
  </w:style>
  <w:style w:type="character" w:customStyle="1" w:styleId="CommentSubjectChar">
    <w:name w:val="Comment Subject Char"/>
    <w:basedOn w:val="CommentTextChar"/>
    <w:link w:val="CommentSubject"/>
    <w:uiPriority w:val="99"/>
    <w:semiHidden/>
    <w:rsid w:val="00A62871"/>
    <w:rPr>
      <w:b/>
      <w:bCs/>
      <w:sz w:val="20"/>
      <w:szCs w:val="20"/>
    </w:rPr>
  </w:style>
  <w:style w:type="paragraph" w:styleId="Revision">
    <w:name w:val="Revision"/>
    <w:hidden/>
    <w:uiPriority w:val="99"/>
    <w:semiHidden/>
    <w:rsid w:val="00EE5A85"/>
    <w:pPr>
      <w:spacing w:after="0" w:line="240" w:lineRule="auto"/>
    </w:pPr>
  </w:style>
  <w:style w:type="paragraph" w:styleId="Header">
    <w:name w:val="header"/>
    <w:basedOn w:val="Normal"/>
    <w:link w:val="HeaderChar"/>
    <w:uiPriority w:val="99"/>
    <w:unhideWhenUsed/>
    <w:rsid w:val="00905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338"/>
  </w:style>
  <w:style w:type="paragraph" w:styleId="Footer">
    <w:name w:val="footer"/>
    <w:basedOn w:val="Normal"/>
    <w:link w:val="FooterChar"/>
    <w:uiPriority w:val="99"/>
    <w:unhideWhenUsed/>
    <w:rsid w:val="00905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338"/>
  </w:style>
  <w:style w:type="paragraph" w:styleId="BalloonText">
    <w:name w:val="Balloon Text"/>
    <w:basedOn w:val="Normal"/>
    <w:link w:val="BalloonTextChar"/>
    <w:uiPriority w:val="99"/>
    <w:semiHidden/>
    <w:unhideWhenUsed/>
    <w:rsid w:val="00932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4493">
      <w:bodyDiv w:val="1"/>
      <w:marLeft w:val="0"/>
      <w:marRight w:val="0"/>
      <w:marTop w:val="0"/>
      <w:marBottom w:val="0"/>
      <w:divBdr>
        <w:top w:val="none" w:sz="0" w:space="0" w:color="auto"/>
        <w:left w:val="none" w:sz="0" w:space="0" w:color="auto"/>
        <w:bottom w:val="none" w:sz="0" w:space="0" w:color="auto"/>
        <w:right w:val="none" w:sz="0" w:space="0" w:color="auto"/>
      </w:divBdr>
    </w:div>
    <w:div w:id="75785359">
      <w:bodyDiv w:val="1"/>
      <w:marLeft w:val="0"/>
      <w:marRight w:val="0"/>
      <w:marTop w:val="0"/>
      <w:marBottom w:val="0"/>
      <w:divBdr>
        <w:top w:val="none" w:sz="0" w:space="0" w:color="auto"/>
        <w:left w:val="none" w:sz="0" w:space="0" w:color="auto"/>
        <w:bottom w:val="none" w:sz="0" w:space="0" w:color="auto"/>
        <w:right w:val="none" w:sz="0" w:space="0" w:color="auto"/>
      </w:divBdr>
    </w:div>
    <w:div w:id="93942568">
      <w:bodyDiv w:val="1"/>
      <w:marLeft w:val="0"/>
      <w:marRight w:val="0"/>
      <w:marTop w:val="0"/>
      <w:marBottom w:val="0"/>
      <w:divBdr>
        <w:top w:val="none" w:sz="0" w:space="0" w:color="auto"/>
        <w:left w:val="none" w:sz="0" w:space="0" w:color="auto"/>
        <w:bottom w:val="none" w:sz="0" w:space="0" w:color="auto"/>
        <w:right w:val="none" w:sz="0" w:space="0" w:color="auto"/>
      </w:divBdr>
    </w:div>
    <w:div w:id="238366240">
      <w:bodyDiv w:val="1"/>
      <w:marLeft w:val="0"/>
      <w:marRight w:val="0"/>
      <w:marTop w:val="0"/>
      <w:marBottom w:val="0"/>
      <w:divBdr>
        <w:top w:val="none" w:sz="0" w:space="0" w:color="auto"/>
        <w:left w:val="none" w:sz="0" w:space="0" w:color="auto"/>
        <w:bottom w:val="none" w:sz="0" w:space="0" w:color="auto"/>
        <w:right w:val="none" w:sz="0" w:space="0" w:color="auto"/>
      </w:divBdr>
    </w:div>
    <w:div w:id="278463060">
      <w:bodyDiv w:val="1"/>
      <w:marLeft w:val="0"/>
      <w:marRight w:val="0"/>
      <w:marTop w:val="0"/>
      <w:marBottom w:val="0"/>
      <w:divBdr>
        <w:top w:val="none" w:sz="0" w:space="0" w:color="auto"/>
        <w:left w:val="none" w:sz="0" w:space="0" w:color="auto"/>
        <w:bottom w:val="none" w:sz="0" w:space="0" w:color="auto"/>
        <w:right w:val="none" w:sz="0" w:space="0" w:color="auto"/>
      </w:divBdr>
      <w:divsChild>
        <w:div w:id="1473867685">
          <w:marLeft w:val="0"/>
          <w:marRight w:val="0"/>
          <w:marTop w:val="0"/>
          <w:marBottom w:val="0"/>
          <w:divBdr>
            <w:top w:val="none" w:sz="0" w:space="0" w:color="auto"/>
            <w:left w:val="none" w:sz="0" w:space="0" w:color="auto"/>
            <w:bottom w:val="none" w:sz="0" w:space="0" w:color="auto"/>
            <w:right w:val="none" w:sz="0" w:space="0" w:color="auto"/>
          </w:divBdr>
        </w:div>
      </w:divsChild>
    </w:div>
    <w:div w:id="334723803">
      <w:bodyDiv w:val="1"/>
      <w:marLeft w:val="0"/>
      <w:marRight w:val="0"/>
      <w:marTop w:val="0"/>
      <w:marBottom w:val="0"/>
      <w:divBdr>
        <w:top w:val="none" w:sz="0" w:space="0" w:color="auto"/>
        <w:left w:val="none" w:sz="0" w:space="0" w:color="auto"/>
        <w:bottom w:val="none" w:sz="0" w:space="0" w:color="auto"/>
        <w:right w:val="none" w:sz="0" w:space="0" w:color="auto"/>
      </w:divBdr>
    </w:div>
    <w:div w:id="399255168">
      <w:bodyDiv w:val="1"/>
      <w:marLeft w:val="0"/>
      <w:marRight w:val="0"/>
      <w:marTop w:val="0"/>
      <w:marBottom w:val="0"/>
      <w:divBdr>
        <w:top w:val="none" w:sz="0" w:space="0" w:color="auto"/>
        <w:left w:val="none" w:sz="0" w:space="0" w:color="auto"/>
        <w:bottom w:val="none" w:sz="0" w:space="0" w:color="auto"/>
        <w:right w:val="none" w:sz="0" w:space="0" w:color="auto"/>
      </w:divBdr>
    </w:div>
    <w:div w:id="413477446">
      <w:bodyDiv w:val="1"/>
      <w:marLeft w:val="0"/>
      <w:marRight w:val="0"/>
      <w:marTop w:val="0"/>
      <w:marBottom w:val="0"/>
      <w:divBdr>
        <w:top w:val="none" w:sz="0" w:space="0" w:color="auto"/>
        <w:left w:val="none" w:sz="0" w:space="0" w:color="auto"/>
        <w:bottom w:val="none" w:sz="0" w:space="0" w:color="auto"/>
        <w:right w:val="none" w:sz="0" w:space="0" w:color="auto"/>
      </w:divBdr>
    </w:div>
    <w:div w:id="588466439">
      <w:bodyDiv w:val="1"/>
      <w:marLeft w:val="0"/>
      <w:marRight w:val="0"/>
      <w:marTop w:val="0"/>
      <w:marBottom w:val="0"/>
      <w:divBdr>
        <w:top w:val="none" w:sz="0" w:space="0" w:color="auto"/>
        <w:left w:val="none" w:sz="0" w:space="0" w:color="auto"/>
        <w:bottom w:val="none" w:sz="0" w:space="0" w:color="auto"/>
        <w:right w:val="none" w:sz="0" w:space="0" w:color="auto"/>
      </w:divBdr>
    </w:div>
    <w:div w:id="689453704">
      <w:bodyDiv w:val="1"/>
      <w:marLeft w:val="0"/>
      <w:marRight w:val="0"/>
      <w:marTop w:val="0"/>
      <w:marBottom w:val="0"/>
      <w:divBdr>
        <w:top w:val="none" w:sz="0" w:space="0" w:color="auto"/>
        <w:left w:val="none" w:sz="0" w:space="0" w:color="auto"/>
        <w:bottom w:val="none" w:sz="0" w:space="0" w:color="auto"/>
        <w:right w:val="none" w:sz="0" w:space="0" w:color="auto"/>
      </w:divBdr>
    </w:div>
    <w:div w:id="705444229">
      <w:bodyDiv w:val="1"/>
      <w:marLeft w:val="0"/>
      <w:marRight w:val="0"/>
      <w:marTop w:val="0"/>
      <w:marBottom w:val="0"/>
      <w:divBdr>
        <w:top w:val="none" w:sz="0" w:space="0" w:color="auto"/>
        <w:left w:val="none" w:sz="0" w:space="0" w:color="auto"/>
        <w:bottom w:val="none" w:sz="0" w:space="0" w:color="auto"/>
        <w:right w:val="none" w:sz="0" w:space="0" w:color="auto"/>
      </w:divBdr>
    </w:div>
    <w:div w:id="834953331">
      <w:bodyDiv w:val="1"/>
      <w:marLeft w:val="0"/>
      <w:marRight w:val="0"/>
      <w:marTop w:val="0"/>
      <w:marBottom w:val="0"/>
      <w:divBdr>
        <w:top w:val="none" w:sz="0" w:space="0" w:color="auto"/>
        <w:left w:val="none" w:sz="0" w:space="0" w:color="auto"/>
        <w:bottom w:val="none" w:sz="0" w:space="0" w:color="auto"/>
        <w:right w:val="none" w:sz="0" w:space="0" w:color="auto"/>
      </w:divBdr>
      <w:divsChild>
        <w:div w:id="1454137221">
          <w:marLeft w:val="0"/>
          <w:marRight w:val="0"/>
          <w:marTop w:val="0"/>
          <w:marBottom w:val="0"/>
          <w:divBdr>
            <w:top w:val="none" w:sz="0" w:space="0" w:color="auto"/>
            <w:left w:val="none" w:sz="0" w:space="0" w:color="auto"/>
            <w:bottom w:val="none" w:sz="0" w:space="0" w:color="auto"/>
            <w:right w:val="none" w:sz="0" w:space="0" w:color="auto"/>
          </w:divBdr>
        </w:div>
      </w:divsChild>
    </w:div>
    <w:div w:id="921062576">
      <w:bodyDiv w:val="1"/>
      <w:marLeft w:val="0"/>
      <w:marRight w:val="0"/>
      <w:marTop w:val="0"/>
      <w:marBottom w:val="0"/>
      <w:divBdr>
        <w:top w:val="none" w:sz="0" w:space="0" w:color="auto"/>
        <w:left w:val="none" w:sz="0" w:space="0" w:color="auto"/>
        <w:bottom w:val="none" w:sz="0" w:space="0" w:color="auto"/>
        <w:right w:val="none" w:sz="0" w:space="0" w:color="auto"/>
      </w:divBdr>
    </w:div>
    <w:div w:id="928663958">
      <w:bodyDiv w:val="1"/>
      <w:marLeft w:val="0"/>
      <w:marRight w:val="0"/>
      <w:marTop w:val="0"/>
      <w:marBottom w:val="0"/>
      <w:divBdr>
        <w:top w:val="none" w:sz="0" w:space="0" w:color="auto"/>
        <w:left w:val="none" w:sz="0" w:space="0" w:color="auto"/>
        <w:bottom w:val="none" w:sz="0" w:space="0" w:color="auto"/>
        <w:right w:val="none" w:sz="0" w:space="0" w:color="auto"/>
      </w:divBdr>
    </w:div>
    <w:div w:id="1201236570">
      <w:bodyDiv w:val="1"/>
      <w:marLeft w:val="0"/>
      <w:marRight w:val="0"/>
      <w:marTop w:val="0"/>
      <w:marBottom w:val="0"/>
      <w:divBdr>
        <w:top w:val="none" w:sz="0" w:space="0" w:color="auto"/>
        <w:left w:val="none" w:sz="0" w:space="0" w:color="auto"/>
        <w:bottom w:val="none" w:sz="0" w:space="0" w:color="auto"/>
        <w:right w:val="none" w:sz="0" w:space="0" w:color="auto"/>
      </w:divBdr>
    </w:div>
    <w:div w:id="1259288036">
      <w:bodyDiv w:val="1"/>
      <w:marLeft w:val="0"/>
      <w:marRight w:val="0"/>
      <w:marTop w:val="0"/>
      <w:marBottom w:val="0"/>
      <w:divBdr>
        <w:top w:val="none" w:sz="0" w:space="0" w:color="auto"/>
        <w:left w:val="none" w:sz="0" w:space="0" w:color="auto"/>
        <w:bottom w:val="none" w:sz="0" w:space="0" w:color="auto"/>
        <w:right w:val="none" w:sz="0" w:space="0" w:color="auto"/>
      </w:divBdr>
    </w:div>
    <w:div w:id="1262883108">
      <w:bodyDiv w:val="1"/>
      <w:marLeft w:val="0"/>
      <w:marRight w:val="0"/>
      <w:marTop w:val="0"/>
      <w:marBottom w:val="0"/>
      <w:divBdr>
        <w:top w:val="none" w:sz="0" w:space="0" w:color="auto"/>
        <w:left w:val="none" w:sz="0" w:space="0" w:color="auto"/>
        <w:bottom w:val="none" w:sz="0" w:space="0" w:color="auto"/>
        <w:right w:val="none" w:sz="0" w:space="0" w:color="auto"/>
      </w:divBdr>
    </w:div>
    <w:div w:id="1313675380">
      <w:bodyDiv w:val="1"/>
      <w:marLeft w:val="0"/>
      <w:marRight w:val="0"/>
      <w:marTop w:val="0"/>
      <w:marBottom w:val="0"/>
      <w:divBdr>
        <w:top w:val="none" w:sz="0" w:space="0" w:color="auto"/>
        <w:left w:val="none" w:sz="0" w:space="0" w:color="auto"/>
        <w:bottom w:val="none" w:sz="0" w:space="0" w:color="auto"/>
        <w:right w:val="none" w:sz="0" w:space="0" w:color="auto"/>
      </w:divBdr>
    </w:div>
    <w:div w:id="1324578385">
      <w:bodyDiv w:val="1"/>
      <w:marLeft w:val="0"/>
      <w:marRight w:val="0"/>
      <w:marTop w:val="0"/>
      <w:marBottom w:val="0"/>
      <w:divBdr>
        <w:top w:val="none" w:sz="0" w:space="0" w:color="auto"/>
        <w:left w:val="none" w:sz="0" w:space="0" w:color="auto"/>
        <w:bottom w:val="none" w:sz="0" w:space="0" w:color="auto"/>
        <w:right w:val="none" w:sz="0" w:space="0" w:color="auto"/>
      </w:divBdr>
    </w:div>
    <w:div w:id="1425761134">
      <w:bodyDiv w:val="1"/>
      <w:marLeft w:val="0"/>
      <w:marRight w:val="0"/>
      <w:marTop w:val="0"/>
      <w:marBottom w:val="0"/>
      <w:divBdr>
        <w:top w:val="none" w:sz="0" w:space="0" w:color="auto"/>
        <w:left w:val="none" w:sz="0" w:space="0" w:color="auto"/>
        <w:bottom w:val="none" w:sz="0" w:space="0" w:color="auto"/>
        <w:right w:val="none" w:sz="0" w:space="0" w:color="auto"/>
      </w:divBdr>
    </w:div>
    <w:div w:id="1518696917">
      <w:bodyDiv w:val="1"/>
      <w:marLeft w:val="0"/>
      <w:marRight w:val="0"/>
      <w:marTop w:val="0"/>
      <w:marBottom w:val="0"/>
      <w:divBdr>
        <w:top w:val="none" w:sz="0" w:space="0" w:color="auto"/>
        <w:left w:val="none" w:sz="0" w:space="0" w:color="auto"/>
        <w:bottom w:val="none" w:sz="0" w:space="0" w:color="auto"/>
        <w:right w:val="none" w:sz="0" w:space="0" w:color="auto"/>
      </w:divBdr>
    </w:div>
    <w:div w:id="1642541569">
      <w:bodyDiv w:val="1"/>
      <w:marLeft w:val="0"/>
      <w:marRight w:val="0"/>
      <w:marTop w:val="0"/>
      <w:marBottom w:val="0"/>
      <w:divBdr>
        <w:top w:val="none" w:sz="0" w:space="0" w:color="auto"/>
        <w:left w:val="none" w:sz="0" w:space="0" w:color="auto"/>
        <w:bottom w:val="none" w:sz="0" w:space="0" w:color="auto"/>
        <w:right w:val="none" w:sz="0" w:space="0" w:color="auto"/>
      </w:divBdr>
    </w:div>
    <w:div w:id="1789162461">
      <w:bodyDiv w:val="1"/>
      <w:marLeft w:val="0"/>
      <w:marRight w:val="0"/>
      <w:marTop w:val="0"/>
      <w:marBottom w:val="0"/>
      <w:divBdr>
        <w:top w:val="none" w:sz="0" w:space="0" w:color="auto"/>
        <w:left w:val="none" w:sz="0" w:space="0" w:color="auto"/>
        <w:bottom w:val="none" w:sz="0" w:space="0" w:color="auto"/>
        <w:right w:val="none" w:sz="0" w:space="0" w:color="auto"/>
      </w:divBdr>
    </w:div>
    <w:div w:id="1821917519">
      <w:bodyDiv w:val="1"/>
      <w:marLeft w:val="0"/>
      <w:marRight w:val="0"/>
      <w:marTop w:val="0"/>
      <w:marBottom w:val="0"/>
      <w:divBdr>
        <w:top w:val="none" w:sz="0" w:space="0" w:color="auto"/>
        <w:left w:val="none" w:sz="0" w:space="0" w:color="auto"/>
        <w:bottom w:val="none" w:sz="0" w:space="0" w:color="auto"/>
        <w:right w:val="none" w:sz="0" w:space="0" w:color="auto"/>
      </w:divBdr>
    </w:div>
    <w:div w:id="18482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AN.R-project.org/package=Fed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bird.org/hom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RD11@ps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09ce9be-fdf1-4e31-a4a5-3fd8073982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CCBE67464534FB4CD18166BA22260" ma:contentTypeVersion="18" ma:contentTypeDescription="Create a new document." ma:contentTypeScope="" ma:versionID="d972dc3c465d6c3b8fd9e982e8beae29">
  <xsd:schema xmlns:xsd="http://www.w3.org/2001/XMLSchema" xmlns:xs="http://www.w3.org/2001/XMLSchema" xmlns:p="http://schemas.microsoft.com/office/2006/metadata/properties" xmlns:ns3="c09ce9be-fdf1-4e31-a4a5-3fd8073982fc" xmlns:ns4="5e587b42-633f-4d0c-a259-d706ce28629f" targetNamespace="http://schemas.microsoft.com/office/2006/metadata/properties" ma:root="true" ma:fieldsID="bc251c5a6a78261239fcee06c533d955" ns3:_="" ns4:_="">
    <xsd:import namespace="c09ce9be-fdf1-4e31-a4a5-3fd8073982fc"/>
    <xsd:import namespace="5e587b42-633f-4d0c-a259-d706ce2862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ce9be-fdf1-4e31-a4a5-3fd807398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587b42-633f-4d0c-a259-d706ce28629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D90CD6-F076-4760-B16B-91CC65691E3D}">
  <ds:schemaRefs>
    <ds:schemaRef ds:uri="http://schemas.microsoft.com/sharepoint/v3/contenttype/forms"/>
  </ds:schemaRefs>
</ds:datastoreItem>
</file>

<file path=customXml/itemProps2.xml><?xml version="1.0" encoding="utf-8"?>
<ds:datastoreItem xmlns:ds="http://schemas.openxmlformats.org/officeDocument/2006/customXml" ds:itemID="{B8A1AD46-03A8-4715-8B67-811EE80FC411}">
  <ds:schemaRefs>
    <ds:schemaRef ds:uri="http://schemas.microsoft.com/office/2006/metadata/properties"/>
    <ds:schemaRef ds:uri="http://schemas.microsoft.com/office/infopath/2007/PartnerControls"/>
    <ds:schemaRef ds:uri="c09ce9be-fdf1-4e31-a4a5-3fd8073982fc"/>
  </ds:schemaRefs>
</ds:datastoreItem>
</file>

<file path=customXml/itemProps3.xml><?xml version="1.0" encoding="utf-8"?>
<ds:datastoreItem xmlns:ds="http://schemas.openxmlformats.org/officeDocument/2006/customXml" ds:itemID="{14EDB054-C098-4F16-9CDD-DD0DC7403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ce9be-fdf1-4e31-a4a5-3fd8073982fc"/>
    <ds:schemaRef ds:uri="5e587b42-633f-4d0c-a259-d706ce286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27</Pages>
  <Words>6690</Words>
  <Characters>38139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44740</CharactersWithSpaces>
  <SharedDoc>false</SharedDoc>
  <HLinks>
    <vt:vector size="18" baseType="variant">
      <vt:variant>
        <vt:i4>7077996</vt:i4>
      </vt:variant>
      <vt:variant>
        <vt:i4>6</vt:i4>
      </vt:variant>
      <vt:variant>
        <vt:i4>0</vt:i4>
      </vt:variant>
      <vt:variant>
        <vt:i4>5</vt:i4>
      </vt:variant>
      <vt:variant>
        <vt:lpwstr>https://cran.r-project.org/package=FedData</vt:lpwstr>
      </vt:variant>
      <vt:variant>
        <vt:lpwstr/>
      </vt:variant>
      <vt:variant>
        <vt:i4>7864357</vt:i4>
      </vt:variant>
      <vt:variant>
        <vt:i4>3</vt:i4>
      </vt:variant>
      <vt:variant>
        <vt:i4>0</vt:i4>
      </vt:variant>
      <vt:variant>
        <vt:i4>5</vt:i4>
      </vt:variant>
      <vt:variant>
        <vt:lpwstr>https://ebird.org/home</vt:lpwstr>
      </vt:variant>
      <vt:variant>
        <vt:lpwstr/>
      </vt:variant>
      <vt:variant>
        <vt:i4>4587632</vt:i4>
      </vt:variant>
      <vt:variant>
        <vt:i4>0</vt:i4>
      </vt:variant>
      <vt:variant>
        <vt:i4>0</vt:i4>
      </vt:variant>
      <vt:variant>
        <vt:i4>5</vt:i4>
      </vt:variant>
      <vt:variant>
        <vt:lpwstr>mailto:DRD11@psu.edu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Diefenbach, Duane R</dc:creator>
  <cp:keywords/>
  <dc:description/>
  <cp:lastModifiedBy>Diefenbach, Duane R</cp:lastModifiedBy>
  <cp:revision>21</cp:revision>
  <cp:lastPrinted>2024-06-27T20:11:00Z</cp:lastPrinted>
  <dcterms:created xsi:type="dcterms:W3CDTF">2025-03-24T13:06:00Z</dcterms:created>
  <dcterms:modified xsi:type="dcterms:W3CDTF">2025-03-24T17:07:00Z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0x010100049CCBE67464534FB4CD18166BA22260</vt:lpwstr>
  </property>
</Properties>
</file>