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F2942" w:val="clear"/>
            <w:tcMar>
              <w:top w:type="dxa" w:w="2880"/>
              <w:left w:type="dxa" w:w="1440"/>
              <w:bottom w:type="dxa" w:w="2880"/>
              <w:right w:type="dxa" w:w="1440"/>
            </w:tcMar>
          </w:tcPr>
          <w:p>
            <w:pPr>
              <w:spacing w:after="120" w:before="0"/>
              <w:jc w:val="left"/>
            </w:pPr>
            <w:r>
              <w:rPr>
                <w:rFonts w:ascii="Arial" w:cs="Arial" w:eastAsia="Arial" w:hAnsi="Arial"/>
                <w:b/>
                <w:bCs/>
                <w:color w:val="FFFFFF"/>
                <w:sz w:val="72"/>
                <w:szCs w:val="72"/>
              </w:rPr>
              <w:t xml:space="preserve">THE SILENT BURDEN</w:t>
            </w:r>
          </w:p>
          <w:p>
            <w:pPr>
              <w:spacing w:after="360" w:before="0"/>
              <w:jc w:val="left"/>
            </w:pPr>
            <w:r>
              <w:rPr>
                <w:rFonts w:ascii="Arial" w:cs="Arial" w:eastAsia="Arial" w:hAnsi="Arial"/>
                <w:i/>
                <w:iCs/>
                <w:color w:val="0D9488"/>
                <w:sz w:val="36"/>
                <w:szCs w:val="36"/>
              </w:rPr>
              <w:t xml:space="preserve">Male Suicide, Race &amp; Mental Health in the United Kingdom</w:t>
            </w:r>
          </w:p>
          <w:p>
            <w:pPr>
              <w:spacing w:after="720" w:before="0"/>
              <w:jc w:val="left"/>
            </w:pPr>
            <w:r>
              <w:rPr>
                <w:rFonts w:ascii="Arial" w:cs="Arial" w:eastAsia="Arial" w:hAnsi="Arial"/>
                <w:color w:val="CBD5E1"/>
                <w:sz w:val="26"/>
                <w:szCs w:val="26"/>
              </w:rPr>
              <w:t xml:space="preserve">A Data Analytics Investigation · 2000–2024</w:t>
            </w:r>
          </w:p>
          <w:p>
            <w:pPr>
              <w:pBdr>
                <w:bottom w:val="single" w:color="0D9488" w:sz="6" w:space="12"/>
              </w:pBdr>
              <w:spacing w:after="480" w:before="0"/>
            </w:pPr>
            <w:r>
              <w:rPr>
                <w:rFonts w:ascii="Arial" w:cs="Arial" w:eastAsia="Arial" w:hAnsi="Arial"/>
              </w:rPr>
              <w:t xml:space="preserve"/>
            </w:r>
          </w:p>
          <w:p>
            <w:pPr>
              <w:spacing w:after="100" w:before="0"/>
              <w:jc w:val="left"/>
            </w:pPr>
            <w:r>
              <w:rPr>
                <w:rFonts w:ascii="Arial" w:cs="Arial" w:eastAsia="Arial" w:hAnsi="Arial"/>
                <w:b/>
                <w:bCs/>
                <w:color w:val="FFFFFF"/>
                <w:sz w:val="48"/>
                <w:szCs w:val="48"/>
              </w:rPr>
              <w:t xml:space="preserve">75%     12.1     4.32×     18%</w:t>
            </w:r>
          </w:p>
          <w:p>
            <w:pPr>
              <w:spacing w:after="900" w:before="0"/>
              <w:jc w:val="left"/>
            </w:pPr>
            <w:r>
              <w:rPr>
                <w:rFonts w:ascii="Arial" w:cs="Arial" w:eastAsia="Arial" w:hAnsi="Arial"/>
                <w:color w:val="CBD5E1"/>
                <w:sz w:val="18"/>
                <w:szCs w:val="18"/>
              </w:rPr>
              <w:t xml:space="preserve">of all UK suicides are male     per 100,000 (2022)     Black MHA detention vs White British     deaths with ethnicity not stated</w:t>
            </w:r>
          </w:p>
          <w:p>
            <w:pPr>
              <w:spacing w:after="80" w:before="0"/>
              <w:jc w:val="left"/>
            </w:pPr>
            <w:r>
              <w:rPr>
                <w:rFonts w:ascii="Arial" w:cs="Arial" w:eastAsia="Arial" w:hAnsi="Arial"/>
                <w:color w:val="CBD5E1"/>
                <w:sz w:val="22"/>
                <w:szCs w:val="22"/>
              </w:rPr>
              <w:t xml:space="preserve">Author: </w:t>
            </w:r>
            <w:r>
              <w:rPr>
                <w:rFonts w:ascii="Arial" w:cs="Arial" w:eastAsia="Arial" w:hAnsi="Arial"/>
                <w:b/>
                <w:bCs/>
                <w:color w:val="FFFFFF"/>
                <w:sz w:val="22"/>
                <w:szCs w:val="22"/>
              </w:rPr>
              <w:t xml:space="preserve">Kudzanayi Shepherd Mhlanga</w:t>
            </w:r>
          </w:p>
          <w:p>
            <w:pPr>
              <w:spacing w:after="80" w:before="0"/>
              <w:jc w:val="left"/>
            </w:pPr>
            <w:r>
              <w:rPr>
                <w:rFonts w:ascii="Arial" w:cs="Arial" w:eastAsia="Arial" w:hAnsi="Arial"/>
                <w:color w:val="CBD5E1"/>
                <w:sz w:val="20"/>
                <w:szCs w:val="20"/>
              </w:rPr>
              <w:t>Senior Vehicle Engineer → Data Analyst  ·  London, England  ·  June 2026</w:t>
            </w:r>
          </w:p>
          <w:p>
            <w:pPr>
              <w:spacing w:after="360" w:before="0"/>
              <w:jc w:val="left"/>
            </w:pPr>
            <w:r>
              <w:rPr>
                <w:rFonts w:ascii="Arial" w:cs="Arial" w:eastAsia="Arial" w:hAnsi="Arial"/>
                <w:color w:val="0D9488"/>
                <w:sz w:val="20"/>
                <w:szCs w:val="20"/>
              </w:rPr>
              <w:t xml:space="preserve">datascienceportfol.io/ksmhlanga  ·  github.com/ksmhlanga/UK_Silent_Crisis_Project</w:t>
            </w:r>
          </w:p>
          <w:p>
            <w:pPr>
              <w:pBdr>
                <w:top w:val="single" w:color="CA6B6E" w:sz="2" w:space="8"/>
              </w:pBdr>
              <w:spacing w:after="0" w:before="0"/>
              <w:jc w:val="left"/>
            </w:pPr>
            <w:r>
              <w:rPr>
                <w:rFonts w:ascii="Arial" w:cs="Arial" w:eastAsia="Arial" w:hAnsi="Arial"/>
                <w:color w:val="CBD5E1"/>
                <w:sz w:val="18"/>
                <w:szCs w:val="18"/>
              </w:rPr>
              <w:t xml:space="preserve">Crisis support: Samaritans 116 123 (24/7)  ·  CALM 0800 58 58 58  ·  Shout 85258  ·  Black Minds Matter blackmindsmatteruk.com</w:t>
            </w:r>
          </w:p>
        </w:tc>
      </w:tr>
    </w:tbl>
    <w:p>
      <w:pPr>
        <w:sectPr>
          <w:pgSz w:w="12240" w:h="15840" w:orient="portrait"/>
          <w:pgMar w:top="0" w:right="0" w:bottom="0" w:left="0" w:header="708" w:footer="708" w:gutter="0"/>
          <w:pgNumType/>
          <w:docGrid w:linePitch="360"/>
        </w:sectPr>
      </w:pPr>
    </w:p>
    <w:p>
      <w:pPr>
        <w:spacing w:after="160" w:before="0"/>
        <w:jc w:val="center"/>
      </w:pPr>
      <w:r>
        <w:rPr>
          <w:rFonts w:ascii="Arial" w:cs="Arial" w:eastAsia="Arial" w:hAnsi="Arial"/>
          <w:b/>
          <w:bCs/>
          <w:caps/>
          <w:color w:val="0F2942"/>
          <w:sz w:val="28"/>
          <w:szCs w:val="28"/>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single" w:color="0D9488" w:sz="6"/>
              <w:right w:val="single" w:color="0D9488" w:sz="6"/>
            </w:tcBorders>
            <w:tcMar>
              <w:top w:type="dxa" w:w="0"/>
              <w:left w:type="dxa" w:w="0"/>
              <w:bottom w:type="dxa" w:w="120"/>
              <w:right w:type="dxa" w:w="0"/>
            </w:tcMar>
          </w:tcPr>
          <w:p>
            <w:pPr>
              <w:shd w:fill="0D9488" w:val="clear"/>
              <w:spacing w:after="40" w:before="80"/>
              <w:ind w:left="160" w:right="160"/>
            </w:pPr>
            <w:r>
              <w:rPr>
                <w:rFonts w:ascii="Arial" w:cs="Arial" w:eastAsia="Arial" w:hAnsi="Arial"/>
                <w:b/>
                <w:bCs/>
                <w:caps/>
                <w:color w:val="FFFFFF"/>
                <w:sz w:val="18"/>
                <w:szCs w:val="18"/>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Background: Male suicide constitutes 75% of all registered suicide deaths in the United Kingdom, a ratio unchanged for over three decades. Whilst aggregate national rates have declined from historic highs of 17–18 per 100,000 in the early 2000s, this improvement masks profound and widening disparities across ethnicity, geography, age, and socioeconomic status.</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Objectives: This study analyses UK male suicide data from 2000 to 2024 to (1) quantify national and regional trends; (2) characterise ethnic disparities in suicide mortality and mental health service access; (3) identify high-risk age groups; and (4) generate evidence-based policy recommendations.</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Methods: Secondary analysis of publicly available data from the Office for National Statistics (ONS), NHS Digital IAPT annual reports, Mental Health Act detention statistics, Samaritans regional datasets, and Public Health Scotland. Time-series analysis, age-standardised rate calculation, and rate ratio computation were employed using Python (pandas, numpy).</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Key Findings: The 2022 national male suicide rate stands at 12.1 per 100,000 (5,642 deaths, England &amp; Wales). Black Caribbean men are detained under the Mental Health Act at 4.32 times the rate of White British men, yet complete voluntary NHS Talking Therapies at less than half the rate (32% vs 65%). Scotland records the highest national rate at 16.0 per 100,000. Men aged 45–49 constitute the highest-risk age cohort at 23.8 per 100,000. Approximately 18% of male suicide deaths carry no ethnicity coding, systematically obscuring true minority rates.</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Conclusions: UK male suicide is simultaneously a public health crisis and a crisis of institutional design. The mental health system fails minority men through cultural mismatch, linguistic exclusion, and structural racism. Policy reforms must prioritise mandatory ethnicity data collection, culturally adapted therapy at NHS scale, and community-first outreach models.</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Keywords: male suicide; UK; ethnicity; race; mental health; IAPT; MHA; deindustrialisation; austerity; intersectionality</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60" w:before="6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1. Introduction</w:t>
      </w:r>
    </w:p>
    <w:p>
      <w:pPr>
        <w:spacing w:after="120" w:before="80"/>
      </w:pPr>
      <w:r>
        <w:rPr>
          <w:rFonts w:ascii="Arial" w:cs="Arial" w:eastAsia="Arial" w:hAnsi="Arial"/>
          <w:color w:val="1E293B"/>
          <w:sz w:val="22"/>
          <w:szCs w:val="22"/>
        </w:rPr>
        <w:t xml:space="preserve">Every two hours, a man dies by suicide in the United Kingdom. This is not a new phenomenon — the male-to-female suicide ratio of approximately 3:1 has persisted for over thirty years — but it remains one of the most consistently under-addressed public health crises in British public life.</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Male suicide is the leading cause of death for men under 50 in England and Wales. It kills more men annually than road traffic accidents, prostate cancer, and workplace fatalities combined. Yet it receives a fraction of the research funding, political attention, and public discourse devoted to those causes.</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This project is a data analytics investigation into UK male suicide from 2000 to 2024. It is built on the premise that to address a crisis, you must first see it clearly — and that the current visibility of this crisis is distorted by missing data, inadequate service design, and a political failure to confront the structural causes of male psychological distress.</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1.1 Research Questions</w:t>
      </w:r>
    </w:p>
    <w:p>
      <w:pPr>
        <w:spacing w:after="120" w:before="80"/>
      </w:pPr>
      <w:r>
        <w:rPr>
          <w:rFonts w:ascii="Arial" w:cs="Arial" w:eastAsia="Arial" w:hAnsi="Arial"/>
          <w:color w:val="1E293B"/>
          <w:sz w:val="22"/>
          <w:szCs w:val="22"/>
        </w:rPr>
        <w:t xml:space="preserve">This analysis is organised around four primary research questions:</w:t>
      </w:r>
    </w:p>
    <w:p>
      <w:pPr>
        <w:pStyle w:val="ListParagraph"/>
        <w:numPr>
          <w:ilvl w:val="0"/>
          <w:numId w:val="2"/>
        </w:numPr>
        <w:spacing w:after="60" w:before="60"/>
      </w:pPr>
      <w:r>
        <w:rPr>
          <w:rFonts w:ascii="Arial" w:cs="Arial" w:eastAsia="Arial" w:hAnsi="Arial"/>
          <w:color w:val="1E293B"/>
          <w:sz w:val="22"/>
          <w:szCs w:val="22"/>
        </w:rPr>
        <w:t xml:space="preserve">What are the national trends in male suicide rates in the UK from 2000 to 2024, and what structural and policy factors explain key inflection points?</w:t>
      </w:r>
    </w:p>
    <w:p>
      <w:pPr>
        <w:pStyle w:val="ListParagraph"/>
        <w:numPr>
          <w:ilvl w:val="0"/>
          <w:numId w:val="2"/>
        </w:numPr>
        <w:spacing w:after="60" w:before="60"/>
      </w:pPr>
      <w:r>
        <w:rPr>
          <w:rFonts w:ascii="Arial" w:cs="Arial" w:eastAsia="Arial" w:hAnsi="Arial"/>
          <w:color w:val="1E293B"/>
          <w:sz w:val="22"/>
          <w:szCs w:val="22"/>
        </w:rPr>
        <w:t xml:space="preserve">How do male suicide rates and mental health service access vary by ethnicity, and what mechanisms explain observed disparities?</w:t>
      </w:r>
    </w:p>
    <w:p>
      <w:pPr>
        <w:pStyle w:val="ListParagraph"/>
        <w:numPr>
          <w:ilvl w:val="0"/>
          <w:numId w:val="2"/>
        </w:numPr>
        <w:spacing w:after="60" w:before="60"/>
      </w:pPr>
      <w:r>
        <w:rPr>
          <w:rFonts w:ascii="Arial" w:cs="Arial" w:eastAsia="Arial" w:hAnsi="Arial"/>
          <w:color w:val="1E293B"/>
          <w:sz w:val="22"/>
          <w:szCs w:val="22"/>
        </w:rPr>
        <w:t xml:space="preserve">How does risk vary by age group and region, and what service gaps are associated with these patterns?</w:t>
      </w:r>
    </w:p>
    <w:p>
      <w:pPr>
        <w:pStyle w:val="ListParagraph"/>
        <w:numPr>
          <w:ilvl w:val="0"/>
          <w:numId w:val="2"/>
        </w:numPr>
        <w:spacing w:after="60" w:before="60"/>
      </w:pPr>
      <w:r>
        <w:rPr>
          <w:rFonts w:ascii="Arial" w:cs="Arial" w:eastAsia="Arial" w:hAnsi="Arial"/>
          <w:color w:val="1E293B"/>
          <w:sz w:val="22"/>
          <w:szCs w:val="22"/>
        </w:rPr>
        <w:t xml:space="preserve">What evidence-based policy interventions would most effectively reduce male suicide across the identified high-risk populations?</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1.2 Significance and Positionality</w:t>
      </w:r>
    </w:p>
    <w:p>
      <w:pPr>
        <w:spacing w:after="120" w:before="80"/>
      </w:pPr>
      <w:r>
        <w:rPr>
          <w:rFonts w:ascii="Arial" w:cs="Arial" w:eastAsia="Arial" w:hAnsi="Arial"/>
          <w:color w:val="1E293B"/>
          <w:sz w:val="22"/>
          <w:szCs w:val="22"/>
        </w:rPr>
        <w:t>This project was developed by Kudzanayi Shepherd Mhlanga, a PSV mechanic and data analyst in training based in London, England. Originally from Harare, Zimbabwe. The focus on ethnic minority men and structural racism is deliberate and personal. As a Black man navigating UK institutions, immigration systems, and predominantly White professional environments, this project is an attempt to make invisible experiences quantifiable — and therefore harder for policy makers to ignore.</w:t>
      </w:r>
    </w:p>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2. Literature Review</w:t>
      </w:r>
    </w:p>
    <w:p>
      <w:pPr>
        <w:pStyle w:val="Heading2"/>
        <w:spacing w:after="120" w:before="300"/>
      </w:pPr>
      <w:r>
        <w:rPr>
          <w:rFonts w:ascii="Arial" w:cs="Arial" w:eastAsia="Arial" w:hAnsi="Arial"/>
          <w:b/>
          <w:bCs/>
          <w:color w:val="0F2942"/>
          <w:sz w:val="26"/>
          <w:szCs w:val="26"/>
        </w:rPr>
        <w:t xml:space="preserve">2.1 The Sociology of Male Suicide</w:t>
      </w:r>
    </w:p>
    <w:p>
      <w:pPr>
        <w:spacing w:after="120" w:before="80"/>
      </w:pPr>
      <w:r>
        <w:rPr>
          <w:rFonts w:ascii="Arial" w:cs="Arial" w:eastAsia="Arial" w:hAnsi="Arial"/>
          <w:color w:val="1E293B"/>
          <w:sz w:val="22"/>
          <w:szCs w:val="22"/>
        </w:rPr>
        <w:t xml:space="preserve">Durkheim's foundational (1897) analysis established that suicide is not purely an individual act but is shaped by social integration and regulation.</w:t>
      </w:r>
    </w:p>
    <w:p>
      <w:pPr>
        <w:spacing w:after="120" w:before="80"/>
      </w:pPr>
      <w:r>
        <w:rPr>
          <w:rFonts w:ascii="Arial" w:cs="Arial" w:eastAsia="Arial" w:hAnsi="Arial"/>
          <w:color w:val="1E293B"/>
          <w:sz w:val="22"/>
          <w:szCs w:val="22"/>
        </w:rPr>
        <w:t xml:space="preserve">Durkheim's foundational (1897) analysis established that suicide is not purely an individual act but is shaped by social integration and regulation.</w:t>
      </w:r>
      <w:r>
        <w:rPr>
          <w:rStyle w:val="FootnoteReference"/>
        </w:rPr>
        <w:footnoteReference w:id="14"/>
      </w:r>
    </w:p>
    <w:p>
      <w:pPr>
        <w:spacing w:after="120" w:before="80"/>
      </w:pPr>
      <w:r>
        <w:rPr>
          <w:rFonts w:ascii="Arial" w:cs="Arial" w:eastAsia="Arial" w:hAnsi="Arial"/>
          <w:color w:val="1E293B"/>
          <w:sz w:val="22"/>
          <w:szCs w:val="22"/>
        </w:rPr>
        <w:t xml:space="preserve">His concept of "anomic suicide" — arising from social disruption, norm breakdown, and loss of shared purpose — has proven remarkably applicable to patterns of male suicide in post-industrial UK communities. The rapid dismantling of manufacturing, mining, and shipbuilding industries from the 1980s onwards removed not just employment but the entire architecture of male identity, community, and social role that those industries had provided.</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Marmot's (2010) review of health inequalities established a strong social gradient in mental health outcomes, with men in the lowest socioeconomic quintile experiencing suicide rates up to five times those in the highest.</w:t>
      </w:r>
      <w:r>
        <w:rPr>
          <w:rStyle w:val="FootnoteReference"/>
        </w:rPr>
        <w:footnoteReference w:id="12"/>
      </w:r>
    </w:p>
    <w:p>
      <w:pPr>
        <w:spacing w:after="120" w:before="80"/>
      </w:pPr>
      <w:r>
        <w:rPr>
          <w:rFonts w:ascii="Arial" w:cs="Arial" w:eastAsia="Arial" w:hAnsi="Arial"/>
          <w:color w:val="1E293B"/>
          <w:sz w:val="22"/>
          <w:szCs w:val="22"/>
        </w:rPr>
        <w:t xml:space="preserve">Case and Deaton's (2015) analysis of "deaths of despair" in the United States — rising mortality from suicide, alcohol, and drugs among non-Hispanic White working-class men — has a direct UK parallel, albeit obscured by different data collection systems and ethnic demographics.</w:t>
      </w:r>
      <w:r>
        <w:rPr>
          <w:rStyle w:val="FootnoteReference"/>
        </w:rPr>
        <w:footnoteReference w:id="15"/>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2.2 Ethnicity, Mental Health, and Structural Racism</w:t>
      </w:r>
    </w:p>
    <w:p>
      <w:pPr>
        <w:spacing w:after="120" w:before="80"/>
      </w:pPr>
      <w:r>
        <w:rPr>
          <w:rFonts w:ascii="Arial" w:cs="Arial" w:eastAsia="Arial" w:hAnsi="Arial"/>
          <w:color w:val="1E293B"/>
          <w:sz w:val="22"/>
          <w:szCs w:val="22"/>
        </w:rPr>
        <w:t xml:space="preserve">The relationship between ethnic minority status and mental health outcomes in the UK is well-documented but poorly understood at a mechanistic level. Bhui et al. (2007) found higher rates of self-harm and suicidality among some minority groups, whilst simultaneously identifying lower rates of voluntary mental health service use.</w:t>
      </w:r>
      <w:r>
        <w:rPr>
          <w:rStyle w:val="FootnoteReference"/>
        </w:rPr>
        <w:footnoteReference w:id="19"/>
      </w:r>
    </w:p>
    <w:p>
      <w:pPr>
        <w:spacing w:after="120" w:before="80"/>
      </w:pPr>
      <w:r>
        <w:rPr>
          <w:rFonts w:ascii="Arial" w:cs="Arial" w:eastAsia="Arial" w:hAnsi="Arial"/>
          <w:color w:val="1E293B"/>
          <w:sz w:val="22"/>
          <w:szCs w:val="22"/>
        </w:rPr>
        <w:t xml:space="preserve">This apparent paradox — higher need, lower use — is not explained by lower rates of mental distress, but by structural barriers to access: institutional distrust, cultural mismatch in therapeutic models, language barriers, and the absence of culturally competent care.</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The "Minority Stress Model" (Meyer, 2003) provides a theoretical framework for understanding how chronic exposure to prejudice, discrimination, and microaggressions produces specific forms of psychological distress that standard CBT models, designed for majority population presentations, are poorly equipped to address.</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2.3 Austerity and Suicide: The Evidence</w:t>
      </w:r>
    </w:p>
    <w:p>
      <w:pPr>
        <w:spacing w:after="120" w:before="80"/>
      </w:pPr>
      <w:r>
        <w:rPr>
          <w:rFonts w:ascii="Arial" w:cs="Arial" w:eastAsia="Arial" w:hAnsi="Arial"/>
          <w:color w:val="1E293B"/>
          <w:sz w:val="22"/>
          <w:szCs w:val="22"/>
        </w:rPr>
        <w:t xml:space="preserve">The association between austerity-driven welfare cuts and increased suicide rates is supported by multiple peer-reviewed studies. Barr et al. (2012) estimated that austerity-related welfare cuts were associated with approximately 590 additional suicides in England between 2010 and 2011 alone.</w:t>
      </w:r>
      <w:r>
        <w:rPr>
          <w:rStyle w:val="FootnoteReference"/>
        </w:rPr>
        <w:footnoteReference w:id="5"/>
      </w:r>
    </w:p>
    <w:p>
      <w:pPr>
        <w:spacing w:after="120" w:before="80"/>
      </w:pPr>
      <w:r>
        <w:rPr>
          <w:rFonts w:ascii="Arial" w:cs="Arial" w:eastAsia="Arial" w:hAnsi="Arial"/>
          <w:color w:val="1E293B"/>
          <w:sz w:val="22"/>
          <w:szCs w:val="22"/>
        </w:rPr>
        <w:t xml:space="preserve">This figure is likely an underestimate: it does not capture the cumulative effect of subsequent years of cuts, the specific impact of the Work Capability Assessment process, or the interaction effects between welfare conditionality, housing instability, and mental health deterioration.</w:t>
      </w:r>
    </w:p>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3. Methodology and Data Sources</w:t>
      </w:r>
    </w:p>
    <w:p>
      <w:pPr>
        <w:pStyle w:val="Heading2"/>
        <w:spacing w:after="120" w:before="300"/>
      </w:pPr>
      <w:r>
        <w:rPr>
          <w:rFonts w:ascii="Arial" w:cs="Arial" w:eastAsia="Arial" w:hAnsi="Arial"/>
          <w:b/>
          <w:bCs/>
          <w:color w:val="0F2942"/>
          <w:sz w:val="26"/>
          <w:szCs w:val="26"/>
        </w:rPr>
        <w:t xml:space="preserve">3.1 Data Sources</w:t>
      </w:r>
    </w:p>
    <w:p>
      <w:pPr>
        <w:spacing w:after="120" w:before="80"/>
      </w:pPr>
      <w:r>
        <w:rPr>
          <w:rFonts w:ascii="Arial" w:cs="Arial" w:eastAsia="Arial" w:hAnsi="Arial"/>
          <w:color w:val="1E293B"/>
          <w:sz w:val="22"/>
          <w:szCs w:val="22"/>
        </w:rPr>
        <w:t xml:space="preserve">This analysis draws on the following publicly available datasets. All sources are freely accessible and updated on regular cycles: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2760"/>
      </w:tblGrid>
      <w:tr>
        <w:trPr>
          <w:tblHeader/>
        </w:trPr>
        <w:tc>
          <w:tcPr>
            <w:tcW w:type="dxa" w:w="32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Coverage</w:t>
            </w:r>
          </w:p>
        </w:tc>
        <w:tc>
          <w:tcPr>
            <w:tcW w:type="dxa" w:w="27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Key Variables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Suicides in England and Wales: 2022 Registrations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2001–2022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Deaths by sex, age band, method, region, ethnicity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NHS Talking Therapies (IAPT) Annual Report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NHS Digital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2012–2024</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Referrals, completions, outcomes by ethnicity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Mental Health Bulletin: Annual Statistics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NHS Digital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2014–2023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MHA detentions by ethnicity, diagnosis, legal status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Suicide Statistics Report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Samaritans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2000–2023</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Rates by region, age, occupation; trend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Deaths by Suicide in Scotland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Public Health Scotland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2000–2023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Scottish national and regional rates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London, UK Suicide Statistics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NISRA</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2000–2023</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NI rates, age and sex breakdowns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Census 2021: Ethnic Group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2021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Population denominators by ethnicity, region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English Indices of Multiple Deprivation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MHCLG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2019</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Deprivation deciles by LSOA</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3.2 Analytical Methods</w:t>
      </w:r>
    </w:p>
    <w:p>
      <w:pPr>
        <w:pStyle w:val="ListParagraph"/>
        <w:numPr>
          <w:ilvl w:val="0"/>
          <w:numId w:val="2"/>
        </w:numPr>
        <w:spacing w:after="60" w:before="60"/>
      </w:pPr>
      <w:r>
        <w:rPr>
          <w:rFonts w:ascii="Arial" w:cs="Arial" w:eastAsia="Arial" w:hAnsi="Arial"/>
          <w:color w:val="1E293B"/>
          <w:sz w:val="22"/>
          <w:szCs w:val="22"/>
        </w:rPr>
        <w:t xml:space="preserve">Age-standardised rate calculation: All rates expressed per 100,000 males, standardised to the 2013 European Standard Population to allow temporal and geographic comparability.</w:t>
      </w:r>
    </w:p>
    <w:p>
      <w:pPr>
        <w:pStyle w:val="ListParagraph"/>
        <w:numPr>
          <w:ilvl w:val="0"/>
          <w:numId w:val="2"/>
        </w:numPr>
        <w:spacing w:after="60" w:before="60"/>
      </w:pPr>
      <w:r>
        <w:rPr>
          <w:rFonts w:ascii="Arial" w:cs="Arial" w:eastAsia="Arial" w:hAnsi="Arial"/>
          <w:color w:val="1E293B"/>
          <w:sz w:val="22"/>
          <w:szCs w:val="22"/>
        </w:rPr>
        <w:t xml:space="preserve">Time-series analysis: Mann-Kendall trend test applied to 2000–2022 national rate series to identify statistically significant trend changes.</w:t>
      </w:r>
    </w:p>
    <w:p>
      <w:pPr>
        <w:pStyle w:val="ListParagraph"/>
        <w:numPr>
          <w:ilvl w:val="0"/>
          <w:numId w:val="2"/>
        </w:numPr>
        <w:spacing w:after="60" w:before="60"/>
      </w:pPr>
      <w:r>
        <w:rPr>
          <w:rFonts w:ascii="Arial" w:cs="Arial" w:eastAsia="Arial" w:hAnsi="Arial"/>
          <w:color w:val="1E293B"/>
          <w:sz w:val="22"/>
          <w:szCs w:val="22"/>
        </w:rPr>
        <w:t xml:space="preserve">Rate ratio computation: Detention and therapy completion rates compared across ethnic groups using White British as the reference category.</w:t>
      </w:r>
    </w:p>
    <w:p>
      <w:pPr>
        <w:pStyle w:val="ListParagraph"/>
        <w:numPr>
          <w:ilvl w:val="0"/>
          <w:numId w:val="2"/>
        </w:numPr>
        <w:spacing w:after="60" w:before="60"/>
      </w:pPr>
      <w:r>
        <w:rPr>
          <w:rFonts w:ascii="Arial" w:cs="Arial" w:eastAsia="Arial" w:hAnsi="Arial"/>
          <w:color w:val="1E293B"/>
          <w:sz w:val="22"/>
          <w:szCs w:val="22"/>
        </w:rPr>
        <w:t xml:space="preserve">Regional analysis: Choropleth mapping of ONS regional rates using Python (geopandas, matplotlib).</w:t>
      </w:r>
    </w:p>
    <w:p>
      <w:pPr>
        <w:pStyle w:val="ListParagraph"/>
        <w:numPr>
          <w:ilvl w:val="0"/>
          <w:numId w:val="2"/>
        </w:numPr>
        <w:spacing w:after="60" w:before="60"/>
      </w:pPr>
      <w:r>
        <w:rPr>
          <w:rFonts w:ascii="Arial" w:cs="Arial" w:eastAsia="Arial" w:hAnsi="Arial"/>
          <w:color w:val="1E293B"/>
          <w:sz w:val="22"/>
          <w:szCs w:val="22"/>
        </w:rPr>
        <w:t xml:space="preserve">Data suppression handling: ONS suppresses counts below 3 for small ethnic group cells; suppressed values are noted and ranges estimated where possible from published confidence intervals.</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3.3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6"/>
              <w:left w:val="single" w:color="64748B" w:sz="6"/>
              <w:bottom w:val="single" w:color="64748B" w:sz="6"/>
              <w:right w:val="single" w:color="64748B" w:sz="6"/>
            </w:tcBorders>
            <w:tcMar>
              <w:top w:type="dxa" w:w="0"/>
              <w:left w:type="dxa" w:w="0"/>
              <w:bottom w:type="dxa" w:w="120"/>
              <w:right w:type="dxa" w:w="0"/>
            </w:tcMar>
          </w:tcPr>
          <w:p>
            <w:pPr>
              <w:shd w:fill="64748B" w:val="clear"/>
              <w:spacing w:after="40" w:before="80"/>
              <w:ind w:left="160" w:right="160"/>
            </w:pPr>
            <w:r>
              <w:rPr>
                <w:rFonts w:ascii="Arial" w:cs="Arial" w:eastAsia="Arial" w:hAnsi="Arial"/>
                <w:b/>
                <w:bCs/>
                <w:caps/>
                <w:color w:val="FFFFFF"/>
                <w:sz w:val="18"/>
                <w:szCs w:val="18"/>
              </w:rPr>
              <w:t xml:space="preserve">METHODOLOGICAL NOTE</w:t>
            </w:r>
          </w:p>
          <w:p>
            <w:pPr>
              <w:shd w:fill="F0F4F8" w:val="clear"/>
              <w:spacing w:after="60" w:before="60"/>
              <w:ind w:left="160" w:right="160"/>
            </w:pPr>
            <w:r>
              <w:rPr>
                <w:rFonts w:ascii="Arial" w:cs="Arial" w:eastAsia="Arial" w:hAnsi="Arial"/>
                <w:i w:val="false"/>
                <w:iCs w:val="false"/>
                <w:color w:val="1E293B"/>
                <w:sz w:val="22"/>
                <w:szCs w:val="22"/>
              </w:rPr>
              <w:t xml:space="preserve">Missing ethnicity data (18%): Approximately 18% of male suicide deaths in ONS records carry no ethnicity coding. This is not random loss — it disproportionately affects minority communities where coroner processes are less likely to capture ethnicity accurately. Every quantitative finding in Sections 4 and 5 therefore understates minority suicide rates.</w:t>
            </w:r>
          </w:p>
          <w:p>
            <w:pPr>
              <w:shd w:fill="F0F4F8" w:val="clear"/>
              <w:spacing w:after="60" w:before="60"/>
              <w:ind w:left="160" w:right="160"/>
            </w:pPr>
            <w:r>
              <w:rPr>
                <w:rFonts w:ascii="Arial" w:cs="Arial" w:eastAsia="Arial" w:hAnsi="Arial"/>
                <w:i w:val="false"/>
                <w:iCs w:val="false"/>
                <w:color w:val="1E293B"/>
                <w:sz w:val="22"/>
                <w:szCs w:val="22"/>
              </w:rPr>
              <w:t xml:space="preserve"/>
            </w:r>
          </w:p>
          <w:p>
            <w:pPr>
              <w:shd w:fill="F0F4F8" w:val="clear"/>
              <w:spacing w:after="60" w:before="60"/>
              <w:ind w:left="160" w:right="160"/>
            </w:pPr>
            <w:r>
              <w:rPr>
                <w:rFonts w:ascii="Arial" w:cs="Arial" w:eastAsia="Arial" w:hAnsi="Arial"/>
                <w:i w:val="false"/>
                <w:iCs w:val="false"/>
                <w:color w:val="1E293B"/>
                <w:sz w:val="22"/>
                <w:szCs w:val="22"/>
              </w:rPr>
              <w:t xml:space="preserve">IAPT data granularity: NHS Digital publishes IAPT ethnicity data at broad Census categories. Sub-group analysis (e.g., Black Caribbean vs Black African vs Black Other) is not possible from published tables.</w:t>
            </w:r>
          </w:p>
          <w:p>
            <w:pPr>
              <w:shd w:fill="F0F4F8" w:val="clear"/>
              <w:spacing w:after="60" w:before="60"/>
              <w:ind w:left="160" w:right="160"/>
            </w:pPr>
            <w:r>
              <w:rPr>
                <w:rFonts w:ascii="Arial" w:cs="Arial" w:eastAsia="Arial" w:hAnsi="Arial"/>
                <w:i w:val="false"/>
                <w:iCs w:val="false"/>
                <w:color w:val="1E293B"/>
                <w:sz w:val="22"/>
                <w:szCs w:val="22"/>
              </w:rPr>
              <w:t xml:space="preserve"/>
            </w:r>
          </w:p>
          <w:p>
            <w:pPr>
              <w:shd w:fill="F0F4F8" w:val="clear"/>
              <w:spacing w:after="60" w:before="60"/>
              <w:ind w:left="160" w:right="160"/>
            </w:pPr>
            <w:r>
              <w:rPr>
                <w:rFonts w:ascii="Arial" w:cs="Arial" w:eastAsia="Arial" w:hAnsi="Arial"/>
                <w:i w:val="false"/>
                <w:iCs w:val="false"/>
                <w:color w:val="1E293B"/>
                <w:sz w:val="22"/>
                <w:szCs w:val="22"/>
              </w:rPr>
              <w:t xml:space="preserve">Time lag: ONS mortality data lags registration year by approximately 18 months. The most recent complete year available is 2022. References to "2024" in trend analysis are based on provisional NHS waiting list and primary care data.</w:t>
            </w:r>
          </w:p>
          <w:p>
            <w:pPr>
              <w:shd w:fill="F0F4F8" w:val="clear"/>
              <w:spacing w:after="60" w:before="60"/>
              <w:ind w:left="160" w:right="160"/>
            </w:pPr>
            <w:r>
              <w:rPr>
                <w:rFonts w:ascii="Arial" w:cs="Arial" w:eastAsia="Arial" w:hAnsi="Arial"/>
                <w:i w:val="false"/>
                <w:iCs w:val="false"/>
                <w:color w:val="1E293B"/>
                <w:sz w:val="22"/>
                <w:szCs w:val="22"/>
              </w:rPr>
              <w:t xml:space="preserve"/>
            </w:r>
          </w:p>
          <w:p>
            <w:pPr>
              <w:shd w:fill="F0F4F8" w:val="clear"/>
              <w:spacing w:after="60" w:before="60"/>
              <w:ind w:left="160" w:right="160"/>
            </w:pPr>
            <w:r>
              <w:rPr>
                <w:rFonts w:ascii="Arial" w:cs="Arial" w:eastAsia="Arial" w:hAnsi="Arial"/>
                <w:i w:val="false"/>
                <w:iCs w:val="false"/>
                <w:color w:val="1E293B"/>
                <w:sz w:val="22"/>
                <w:szCs w:val="22"/>
              </w:rPr>
              <w:t xml:space="preserve">Ecological inference: Regional-level associations between deprivation and suicide rates do not imply individual-level causation (ecological fallacy). These findings are indicators of structural risk, not deterministic individual predictors.</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4. National Picture: The Scale of the Crisis</w:t>
      </w:r>
    </w:p>
    <w:p>
      <w:pPr>
        <w:pStyle w:val="Heading2"/>
        <w:spacing w:after="120" w:before="300"/>
      </w:pPr>
      <w:r>
        <w:rPr>
          <w:rFonts w:ascii="Arial" w:cs="Arial" w:eastAsia="Arial" w:hAnsi="Arial"/>
          <w:b/>
          <w:bCs/>
          <w:color w:val="0F2942"/>
          <w:sz w:val="26"/>
          <w:szCs w:val="26"/>
        </w:rPr>
        <w:t xml:space="preserve">4.1 Headline Statistics (2022)</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Indicator</w:t>
            </w:r>
          </w:p>
        </w:tc>
        <w:tc>
          <w:tcPr>
            <w:tcW w:type="dxa" w:w="2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Registered male suicide deaths (E&amp;W)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5,642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Leading cause of death in men under 50</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Age-standardised rate (per 100,000)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12.1</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Rebound from 2020 COVID dip of 11.6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Share of all UK suicides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Stable for over 30 years</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Frequency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Every ~2 hours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 male death every 1 hour 52 minutes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Scotland rate (per 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Highest of the four nations</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Peak-risk age group rate (45–49)</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23.8</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Nearly double the national average</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4.2 Method Distribution</w:t>
      </w:r>
    </w:p>
    <w:p>
      <w:pPr>
        <w:spacing w:after="120" w:before="80"/>
      </w:pPr>
      <w:r>
        <w:rPr>
          <w:rFonts w:ascii="Arial" w:cs="Arial" w:eastAsia="Arial" w:hAnsi="Arial"/>
          <w:color w:val="1E293B"/>
          <w:sz w:val="22"/>
          <w:szCs w:val="22"/>
        </w:rPr>
        <w:t xml:space="preserve">Method distribution data is critical for suicide prevention policy, particularly means restriction initiatives. The 2022 ONS data shows a consistent pattern that has remained broadly stable across the study period:</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Share of Male Suicides</w:t>
            </w:r>
          </w:p>
        </w:tc>
        <w:tc>
          <w:tcPr>
            <w:tcW w:type="dxa" w:w="43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Policy Relevance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Hanging / suffocation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Highest lethality; key target for means restriction (e.g. ligature-free environments)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Poisoning (drugs / substances)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~15%</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Medication stockpiling; pack-size restrictions effective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Drowning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Bridge and water access interventions; Safe Messaging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Firearms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~3%</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UK licensing controls effective vs. USA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Other / undetermined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Includes falls, RTAs; some misclassification to undetermined likely</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5. Trend Analysis: 2000–2024</w:t>
      </w:r>
    </w:p>
    <w:p>
      <w:pPr>
        <w:pStyle w:val="Heading2"/>
        <w:spacing w:after="120" w:before="300"/>
      </w:pPr>
      <w:r>
        <w:rPr>
          <w:rFonts w:ascii="Arial" w:cs="Arial" w:eastAsia="Arial" w:hAnsi="Arial"/>
          <w:b/>
          <w:bCs/>
          <w:color w:val="0F2942"/>
          <w:sz w:val="26"/>
          <w:szCs w:val="26"/>
        </w:rPr>
        <w:t xml:space="preserve">5.1 Long-Term Rate Trajectory</w:t>
      </w:r>
    </w:p>
    <w:p>
      <w:pPr>
        <w:spacing w:after="120" w:before="80"/>
      </w:pPr>
      <w:r>
        <w:rPr>
          <w:rFonts w:ascii="Arial" w:cs="Arial" w:eastAsia="Arial" w:hAnsi="Arial"/>
          <w:color w:val="1E293B"/>
          <w:sz w:val="22"/>
          <w:szCs w:val="22"/>
        </w:rPr>
        <w:t xml:space="preserve">The 24-year trend reveals that the UK's male suicide rate has not followed a sustained improvement trajectory. Rather, it has oscillated in direct response to economic shocks, public spending decisions, and the periodic expansion or contraction of NHS mental health capacity: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Rate (per 100k)</w:t>
            </w:r>
          </w:p>
        </w:tc>
        <w:tc>
          <w:tcPr>
            <w:tcW w:type="dxa" w:w="1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37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Key Driver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2000–2004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17–18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Declining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Economic stability; early mental health investment; Choose Life (Scotland)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2005–2012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15–16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Stable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2008 financial crisis onset; austerity programme begins 2010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2013–2015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15.5 (peak)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Peak austerity: welfare reform, WCA roll-out, mental health bed closures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2016–2019</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13.8–14.2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Improving</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Suicide Prevention Strategy for England; IAPT expansion; Time to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2020 (COVID)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Dip (anomaly)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Lockdown reduced method access; community social support pauses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2021–2022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12.1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Rebound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Post-COVID economic pressures; long-COVID mental health fallout; NHS backlog</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B6E" w:sz="6"/>
              <w:left w:val="single" w:color="CA6B6E" w:sz="6"/>
              <w:bottom w:val="single" w:color="CA6B6E" w:sz="6"/>
              <w:right w:val="single" w:color="CA6B6E" w:sz="6"/>
            </w:tcBorders>
            <w:tcMar>
              <w:top w:type="dxa" w:w="0"/>
              <w:left w:type="dxa" w:w="0"/>
              <w:bottom w:type="dxa" w:w="120"/>
              <w:right w:type="dxa" w:w="0"/>
            </w:tcMar>
          </w:tcPr>
          <w:p>
            <w:pPr>
              <w:shd w:fill="CA6B6E" w:val="clear"/>
              <w:spacing w:after="40" w:before="80"/>
              <w:ind w:left="160" w:right="160"/>
            </w:pPr>
            <w:r>
              <w:rPr>
                <w:rFonts w:ascii="Arial" w:cs="Arial" w:eastAsia="Arial" w:hAnsi="Arial"/>
                <w:b/>
                <w:bCs/>
                <w:caps/>
                <w:color w:val="FFFFFF"/>
                <w:sz w:val="18"/>
                <w:szCs w:val="18"/>
              </w:rPr>
              <w:t xml:space="preserve">STRUCTURAL FINDING: The Austerity Signature</w:t>
            </w:r>
          </w:p>
          <w:p>
            <w:pPr>
              <w:shd w:fill="FEE2E2" w:val="clear"/>
              <w:spacing w:after="60" w:before="60"/>
              <w:ind w:left="160" w:right="160"/>
            </w:pPr>
            <w:r>
              <w:rPr>
                <w:rFonts w:ascii="Arial" w:cs="Arial" w:eastAsia="Arial" w:hAnsi="Arial"/>
                <w:i w:val="false"/>
                <w:iCs w:val="false"/>
                <w:color w:val="1E293B"/>
                <w:sz w:val="22"/>
                <w:szCs w:val="22"/>
              </w:rPr>
              <w:t xml:space="preserve">The 2013–2015 period represents the highest sustained male suicide rate in the 2000–2024 study window. This coincides precisely with peak-austerity public spending decisions: the closure of over 2,000 mental health beds between 2010 and 2015, the introduction of welfare conditionality through the Work Capability Assessment, and the dismantling of community-based mental health support services.</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Barr et al. (2012) estimated austerity-related welfare cuts were associated with approximately 590 additional suicides in England between 2010 and 2011 alone. This figure is likely an underestimate of the cumulative harm across the full austerity period (2010–2019).</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5.2 Key Policy Events and Rate Responses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3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Policy / Economic Event</w:t>
            </w:r>
          </w:p>
        </w:tc>
        <w:tc>
          <w:tcPr>
            <w:tcW w:type="dxa" w:w="41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Estimated Rate Impact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2008–2010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2008 Financial Crisis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Rate rose 8% in the two years following the market crash</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2012</w:t>
            </w:r>
          </w:p>
        </w:tc>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Welfare Reform Act (WCA introduction)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BMJ (2015) linked WCA to ~590 additional suicides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Suicide Prevention Strategy for England published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Rate declined steadily from 14.5 to 13.8 (2016–2019)</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2017</w:t>
            </w:r>
          </w:p>
        </w:tc>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IAPT expansion target: 1 million referrals per year</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Positive signal; access benefits unequal by ethnicity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2019–2020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COVID-19 pandemic and lockdowns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Paradoxical dip 2020; lockdown effects complex and contested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2021</w:t>
            </w:r>
          </w:p>
        </w:tc>
        <w:tc>
          <w:tcPr>
            <w:tcW w:type="dxa" w:w="3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Post-pandemic economic pressures; Universal Credit cuts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4.3% year-on-year increase in male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2023–2024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NHS mental health waiting list reaches 2.3 million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Deferred help-seeking; crisis presentations increasing</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5.3 International Comparative Context</w:t>
      </w:r>
    </w:p>
    <w:p>
      <w:pPr>
        <w:spacing w:after="120" w:before="80"/>
      </w:pPr>
      <w:r>
        <w:rPr>
          <w:rFonts w:ascii="Arial" w:cs="Arial" w:eastAsia="Arial" w:hAnsi="Arial"/>
          <w:color w:val="1E293B"/>
          <w:sz w:val="22"/>
          <w:szCs w:val="22"/>
        </w:rPr>
        <w:t xml:space="preserve">The UK's 2022 male suicide rate of 12.1 per 100,000 places it in the mid-range of high-income countries. Nations with significantly lower rates share common structural features: universal healthcare with short waiting times, stronger social safety nets, and active destigmatisation campaigns.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Country</w:t>
            </w:r>
          </w:p>
        </w:tc>
        <w:tc>
          <w:tcPr>
            <w:tcW w:type="dxa" w:w="2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Rate per 100,000 (approx.)</w:t>
            </w:r>
          </w:p>
        </w:tc>
        <w:tc>
          <w:tcPr>
            <w:tcW w:type="dxa" w:w="35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Notable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Russia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Highest among large countries; alcohol policy interaction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USA</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22.0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Firearms access; rural crisis; opioid epidemic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Australia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Higher than UK; significant Indigenous disparity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UK (England &amp; Wales)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12.1</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Reference country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Germany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Strong social support; lower economic precarity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France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13.2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Rural isolation; farming sector disproportionate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Spain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Lower precarity; Mediterranean social networks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Italy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8.0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Low rate; strong family support structures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Greece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Lowest in Europe despite economic crisis</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6. Race and Ethnicity: The Crisis Within the Crisis</w:t>
      </w:r>
    </w:p>
    <w:p>
      <w:pPr>
        <w:spacing w:after="120" w:before="80"/>
      </w:pPr>
      <w:r>
        <w:rPr>
          <w:rFonts w:ascii="Arial" w:cs="Arial" w:eastAsia="Arial" w:hAnsi="Arial"/>
          <w:color w:val="1E293B"/>
          <w:sz w:val="22"/>
          <w:szCs w:val="22"/>
        </w:rPr>
        <w:t xml:space="preserve">The national statistics obscure a second, qualitatively distinct crisis playing out within ethnic minority communities. Black and minority men are not simply experiencing the same crisis at the same rate — they are experiencing a fundamentally different pattern of systemic failure, cultural invisibility, and institutional exclusion.</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6.1 NHS Talking Therapies (IAPT): Structural Exclusion</w:t>
      </w:r>
    </w:p>
    <w:p>
      <w:pPr>
        <w:spacing w:after="120" w:before="80"/>
      </w:pPr>
      <w:r>
        <w:rPr>
          <w:rFonts w:ascii="Arial" w:cs="Arial" w:eastAsia="Arial" w:hAnsi="Arial"/>
          <w:color w:val="1E293B"/>
          <w:sz w:val="22"/>
          <w:szCs w:val="22"/>
        </w:rPr>
        <w:t xml:space="preserve">IAPT — Improving Access to Psychological Therapies, rebranded as NHS Talking Therapies in 2023 — is England's primary vehicle for delivering evidence-based psychological support at scale. With over one million referrals per year, it is the most significant mental health infrastructure in the NHS. Completion rates by ethnicity reveal a system that fails minority men at every stage of the therapeutic journey: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000"/>
        <w:gridCol w:w="2660"/>
      </w:tblGrid>
      <w:tr>
        <w:trPr>
          <w:tblHeader/>
        </w:trPr>
        <w:tc>
          <w:tcPr>
            <w:tcW w:type="dxa" w:w="2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Ethnic Group</w:t>
            </w:r>
          </w:p>
        </w:tc>
        <w:tc>
          <w:tcPr>
            <w:tcW w:type="dxa" w:w="19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Referral Rate</w:t>
            </w:r>
          </w:p>
        </w:tc>
        <w:tc>
          <w:tcPr>
            <w:tcW w:type="dxa" w:w="2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Completion Rate</w:t>
            </w:r>
          </w:p>
        </w:tc>
        <w:tc>
          <w:tcPr>
            <w:tcW w:type="dxa" w:w="26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Gap vs White British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White British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Mixed Heritage</w:t>
            </w:r>
          </w:p>
        </w:tc>
        <w:tc>
          <w:tcPr>
            <w:tcW w:type="dxa" w:w="1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Similar to White British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48%</w:t>
            </w:r>
          </w:p>
        </w:tc>
        <w:tc>
          <w:tcPr>
            <w:tcW w:type="dxa" w:w="26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-17 percentage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South Asian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Below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-24 percentage points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Black / Black British</w:t>
            </w:r>
          </w:p>
        </w:tc>
        <w:tc>
          <w:tcPr>
            <w:tcW w:type="dxa" w:w="1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Below baseline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32%</w:t>
            </w:r>
          </w:p>
        </w:tc>
        <w:tc>
          <w:tcPr>
            <w:tcW w:type="dxa" w:w="26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-33 percentage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Other / Not Stated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Below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~-30 percentage points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single" w:color="0D9488" w:sz="6"/>
              <w:right w:val="single" w:color="0D9488" w:sz="6"/>
            </w:tcBorders>
            <w:tcMar>
              <w:top w:type="dxa" w:w="0"/>
              <w:left w:type="dxa" w:w="0"/>
              <w:bottom w:type="dxa" w:w="120"/>
              <w:right w:type="dxa" w:w="0"/>
            </w:tcMar>
          </w:tcPr>
          <w:p>
            <w:pPr>
              <w:shd w:fill="0D9488" w:val="clear"/>
              <w:spacing w:after="40" w:before="80"/>
              <w:ind w:left="160" w:right="160"/>
            </w:pPr>
            <w:r>
              <w:rPr>
                <w:rFonts w:ascii="Arial" w:cs="Arial" w:eastAsia="Arial" w:hAnsi="Arial"/>
                <w:b/>
                <w:bCs/>
                <w:caps/>
                <w:color w:val="FFFFFF"/>
                <w:sz w:val="18"/>
                <w:szCs w:val="18"/>
              </w:rPr>
              <w:t xml:space="preserve">ANALYSIS: Why Completion Rates Are Lower</w:t>
            </w:r>
          </w:p>
          <w:p>
            <w:pPr>
              <w:shd w:fill="D1FAE5" w:val="clear"/>
              <w:spacing w:after="60" w:before="60"/>
              <w:ind w:left="160" w:right="160"/>
            </w:pPr>
            <w:r>
              <w:rPr>
                <w:rFonts w:ascii="Arial" w:cs="Arial" w:eastAsia="Arial" w:hAnsi="Arial"/>
                <w:i w:val="false"/>
                <w:iCs w:val="false"/>
                <w:color w:val="1E293B"/>
                <w:sz w:val="22"/>
                <w:szCs w:val="22"/>
              </w:rPr>
              <w:t xml:space="preserve">IAPT's standard CBT model is culturally calibrated for White British presentations of psychological distress. Black and minority men encounter:</w:t>
            </w:r>
          </w:p>
          <w:p>
            <w:pPr>
              <w:shd w:fill="D1FAE5" w:val="clear"/>
              <w:spacing w:after="60" w:before="60"/>
              <w:ind w:left="160" w:right="160"/>
            </w:pPr>
            <w:r>
              <w:rPr>
                <w:rFonts w:ascii="Arial" w:cs="Arial" w:eastAsia="Arial" w:hAnsi="Arial"/>
                <w:i w:val="false"/>
                <w:iCs w:val="false"/>
                <w:color w:val="1E293B"/>
                <w:sz w:val="22"/>
                <w:szCs w:val="22"/>
              </w:rPr>
              <w:t xml:space="preserve"/>
            </w:r>
          </w:p>
          <w:p>
            <w:pPr>
              <w:shd w:fill="D1FAE5" w:val="clear"/>
              <w:spacing w:after="60" w:before="60"/>
              <w:ind w:left="160" w:right="160"/>
            </w:pPr>
            <w:r>
              <w:rPr>
                <w:rFonts w:ascii="Arial" w:cs="Arial" w:eastAsia="Arial" w:hAnsi="Arial"/>
                <w:i w:val="false"/>
                <w:iCs w:val="false"/>
                <w:color w:val="1E293B"/>
                <w:sz w:val="22"/>
                <w:szCs w:val="22"/>
              </w:rPr>
              <w:t xml:space="preserve">▪  Therapists with no lived experience of racism, cultural displacement, or minority stress</w:t>
            </w:r>
          </w:p>
          <w:p>
            <w:pPr>
              <w:shd w:fill="D1FAE5" w:val="clear"/>
              <w:spacing w:after="60" w:before="60"/>
              <w:ind w:left="160" w:right="160"/>
            </w:pPr>
            <w:r>
              <w:rPr>
                <w:rFonts w:ascii="Arial" w:cs="Arial" w:eastAsia="Arial" w:hAnsi="Arial"/>
                <w:i w:val="false"/>
                <w:iCs w:val="false"/>
                <w:color w:val="1E293B"/>
                <w:sz w:val="22"/>
                <w:szCs w:val="22"/>
              </w:rPr>
              <w:t xml:space="preserve">▪  Therapeutic frameworks that pathologise coping responses to structural oppression as individual pathology</w:t>
            </w:r>
          </w:p>
          <w:p>
            <w:pPr>
              <w:shd w:fill="D1FAE5" w:val="clear"/>
              <w:spacing w:after="60" w:before="60"/>
              <w:ind w:left="160" w:right="160"/>
            </w:pPr>
            <w:r>
              <w:rPr>
                <w:rFonts w:ascii="Arial" w:cs="Arial" w:eastAsia="Arial" w:hAnsi="Arial"/>
                <w:i w:val="false"/>
                <w:iCs w:val="false"/>
                <w:color w:val="1E293B"/>
                <w:sz w:val="22"/>
                <w:szCs w:val="22"/>
              </w:rPr>
              <w:t xml:space="preserve">▪  Services located in areas with poor transport links from ethnic minority residential concentrations</w:t>
            </w:r>
          </w:p>
          <w:p>
            <w:pPr>
              <w:shd w:fill="D1FAE5" w:val="clear"/>
              <w:spacing w:after="60" w:before="60"/>
              <w:ind w:left="160" w:right="160"/>
            </w:pPr>
            <w:r>
              <w:rPr>
                <w:rFonts w:ascii="Arial" w:cs="Arial" w:eastAsia="Arial" w:hAnsi="Arial"/>
                <w:i w:val="false"/>
                <w:iCs w:val="false"/>
                <w:color w:val="1E293B"/>
                <w:sz w:val="22"/>
                <w:szCs w:val="22"/>
              </w:rPr>
              <w:t xml:space="preserve">▪  Assessment tools normed on White British populations that misclassify minority presentations</w:t>
            </w:r>
          </w:p>
          <w:p>
            <w:pPr>
              <w:shd w:fill="D1FAE5" w:val="clear"/>
              <w:spacing w:after="60" w:before="60"/>
              <w:ind w:left="160" w:right="160"/>
            </w:pPr>
            <w:r>
              <w:rPr>
                <w:rFonts w:ascii="Arial" w:cs="Arial" w:eastAsia="Arial" w:hAnsi="Arial"/>
                <w:i w:val="false"/>
                <w:iCs w:val="false"/>
                <w:color w:val="1E293B"/>
                <w:sz w:val="22"/>
                <w:szCs w:val="22"/>
              </w:rPr>
              <w:t xml:space="preserve">▪  No availability of therapists with shared cultural background or first language</w:t>
            </w:r>
          </w:p>
          <w:p>
            <w:pPr>
              <w:shd w:fill="D1FAE5" w:val="clear"/>
              <w:spacing w:after="60" w:before="60"/>
              <w:ind w:left="160" w:right="160"/>
            </w:pPr>
            <w:r>
              <w:rPr>
                <w:rFonts w:ascii="Arial" w:cs="Arial" w:eastAsia="Arial" w:hAnsi="Arial"/>
                <w:i w:val="false"/>
                <w:iCs w:val="false"/>
                <w:color w:val="1E293B"/>
                <w:sz w:val="22"/>
                <w:szCs w:val="22"/>
              </w:rPr>
              <w:t xml:space="preserve"/>
            </w:r>
          </w:p>
          <w:p>
            <w:pPr>
              <w:shd w:fill="D1FAE5" w:val="clear"/>
              <w:spacing w:after="60" w:before="60"/>
              <w:ind w:left="160" w:right="160"/>
            </w:pPr>
            <w:r>
              <w:rPr>
                <w:rFonts w:ascii="Arial" w:cs="Arial" w:eastAsia="Arial" w:hAnsi="Arial"/>
                <w:i w:val="false"/>
                <w:iCs w:val="false"/>
                <w:color w:val="1E293B"/>
                <w:sz w:val="22"/>
                <w:szCs w:val="22"/>
              </w:rPr>
              <w:t xml:space="preserve">Many minority men leave before completing because the therapy itself is experienced as alienating or irrelevant — not because their distress has resolved.</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6.2 Mental Health Act Detention: Forced, Not Supported</w:t>
      </w:r>
    </w:p>
    <w:p>
      <w:pPr>
        <w:spacing w:after="120" w:before="80"/>
      </w:pPr>
      <w:r>
        <w:rPr>
          <w:rFonts w:ascii="Arial" w:cs="Arial" w:eastAsia="Arial" w:hAnsi="Arial"/>
          <w:color w:val="1E293B"/>
          <w:sz w:val="22"/>
          <w:szCs w:val="22"/>
        </w:rPr>
        <w:t xml:space="preserve">The Mental Health Act (1983, amended 2007) allows for compulsory detention and treatment. The disparity in detention rates by ethnicity is among the most cited — and least acted upon — statistics in UK mental health policy:</w:t>
      </w:r>
      <w:r>
        <w:rPr>
          <w:rStyle w:val="FootnoteReference"/>
        </w:rPr>
        <w:footnoteReference w:id="3"/>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Ethnic Group</w:t>
            </w:r>
          </w:p>
        </w:tc>
        <w:tc>
          <w:tcPr>
            <w:tcW w:type="dxa" w:w="22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MHA Detention Index</w:t>
            </w:r>
          </w:p>
        </w:tc>
        <w:tc>
          <w:tcPr>
            <w:tcW w:type="dxa" w:w="43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Rate Relative to White British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White British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100 (baseline)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Reference group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White Other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142</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1.42× more likely to be detained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Asian / Asian British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168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1.68× more likely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Mixed Heritage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198</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1.98× more likely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Black / Black British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4.32× more likely — crisis-level disparity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Other Ethnic Groups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210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2.10× more likely</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B6E" w:sz="6"/>
              <w:left w:val="single" w:color="CA6B6E" w:sz="6"/>
              <w:bottom w:val="single" w:color="CA6B6E" w:sz="6"/>
              <w:right w:val="single" w:color="CA6B6E" w:sz="6"/>
            </w:tcBorders>
            <w:tcMar>
              <w:top w:type="dxa" w:w="0"/>
              <w:left w:type="dxa" w:w="0"/>
              <w:bottom w:type="dxa" w:w="120"/>
              <w:right w:type="dxa" w:w="0"/>
            </w:tcMar>
          </w:tcPr>
          <w:p>
            <w:pPr>
              <w:shd w:fill="CA6B6E" w:val="clear"/>
              <w:spacing w:after="40" w:before="80"/>
              <w:ind w:left="160" w:right="160"/>
            </w:pPr>
            <w:r>
              <w:rPr>
                <w:rFonts w:ascii="Arial" w:cs="Arial" w:eastAsia="Arial" w:hAnsi="Arial"/>
                <w:b/>
                <w:bCs/>
                <w:caps/>
                <w:color w:val="FFFFFF"/>
                <w:sz w:val="18"/>
                <w:szCs w:val="18"/>
              </w:rPr>
              <w:t xml:space="preserve">CRITICAL FINDING: The Detention Paradox</w:t>
            </w:r>
          </w:p>
          <w:p>
            <w:pPr>
              <w:shd w:fill="FEE2E2" w:val="clear"/>
              <w:spacing w:after="60" w:before="60"/>
              <w:ind w:left="160" w:right="160"/>
            </w:pPr>
            <w:r>
              <w:rPr>
                <w:rFonts w:ascii="Arial" w:cs="Arial" w:eastAsia="Arial" w:hAnsi="Arial"/>
                <w:i w:val="false"/>
                <w:iCs w:val="false"/>
                <w:color w:val="1E293B"/>
                <w:sz w:val="22"/>
                <w:szCs w:val="22"/>
              </w:rPr>
              <w:t xml:space="preserve">Black men are 4.32× more likely to be detained under the Mental Health Act than White British men — yet they complete voluntary NHS therapy at less than half the rate. This is not a coincidence.</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When voluntary mental health services fail minority men through cultural mismatch, linguistic exclusion, and institutional distrust, the first contact with the mental health system becomes crisis: police involvement, Accident &amp; Emergency, and compulsory detention. The system eventually reaches them — but too late, and in the most traumatising, coercive, and identity-violating way possible.</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Detention at Section is not equivalent to receiving care. For many Black men, it is the culmination of a series of institutional failures, not the beginning of therapeutic support.</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6.3 The Data Gap: 18% "Ethnicity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6"/>
              <w:left w:val="single" w:color="64748B" w:sz="6"/>
              <w:bottom w:val="single" w:color="64748B" w:sz="6"/>
              <w:right w:val="single" w:color="64748B" w:sz="6"/>
            </w:tcBorders>
            <w:tcMar>
              <w:top w:type="dxa" w:w="0"/>
              <w:left w:type="dxa" w:w="0"/>
              <w:bottom w:type="dxa" w:w="120"/>
              <w:right w:type="dxa" w:w="0"/>
            </w:tcMar>
          </w:tcPr>
          <w:p>
            <w:pPr>
              <w:shd w:fill="64748B" w:val="clear"/>
              <w:spacing w:after="40" w:before="80"/>
              <w:ind w:left="160" w:right="160"/>
            </w:pPr>
            <w:r>
              <w:rPr>
                <w:rFonts w:ascii="Arial" w:cs="Arial" w:eastAsia="Arial" w:hAnsi="Arial"/>
                <w:b/>
                <w:bCs/>
                <w:caps/>
                <w:color w:val="FFFFFF"/>
                <w:sz w:val="18"/>
                <w:szCs w:val="18"/>
              </w:rPr>
              <w:t xml:space="preserve">SYSTEMIC FINDING: Missing Data as Policy Failure</w:t>
            </w:r>
          </w:p>
          <w:p>
            <w:pPr>
              <w:shd w:fill="F0F4F8" w:val="clear"/>
              <w:spacing w:after="60" w:before="60"/>
              <w:ind w:left="160" w:right="160"/>
            </w:pPr>
            <w:r>
              <w:rPr>
                <w:rFonts w:ascii="Arial" w:cs="Arial" w:eastAsia="Arial" w:hAnsi="Arial"/>
                <w:i w:val="false"/>
                <w:iCs w:val="false"/>
                <w:color w:val="1E293B"/>
                <w:sz w:val="22"/>
                <w:szCs w:val="22"/>
              </w:rPr>
              <w:t xml:space="preserve">Approximately 18% of male suicide deaths in ONS records carry no ethnicity coding. This is not random data loss — coroner processes in areas with high minority populations are structurally less likely to capture ethnicity data accurately. The practical consequence is that every statistic presented in this section understates minority suicide rates.</w:t>
            </w:r>
          </w:p>
          <w:p>
            <w:pPr>
              <w:shd w:fill="F0F4F8" w:val="clear"/>
              <w:spacing w:after="60" w:before="60"/>
              <w:ind w:left="160" w:right="160"/>
            </w:pPr>
            <w:r>
              <w:rPr>
                <w:rFonts w:ascii="Arial" w:cs="Arial" w:eastAsia="Arial" w:hAnsi="Arial"/>
                <w:i w:val="false"/>
                <w:iCs w:val="false"/>
                <w:color w:val="1E293B"/>
                <w:sz w:val="22"/>
                <w:szCs w:val="22"/>
              </w:rPr>
              <w:t xml:space="preserve"/>
            </w:r>
          </w:p>
          <w:p>
            <w:pPr>
              <w:shd w:fill="F0F4F8" w:val="clear"/>
              <w:spacing w:after="60" w:before="60"/>
              <w:ind w:left="160" w:right="160"/>
            </w:pPr>
            <w:r>
              <w:rPr>
                <w:rFonts w:ascii="Arial" w:cs="Arial" w:eastAsia="Arial" w:hAnsi="Arial"/>
                <w:i w:val="false"/>
                <w:iCs w:val="false"/>
                <w:color w:val="1E293B"/>
                <w:sz w:val="22"/>
                <w:szCs w:val="22"/>
              </w:rPr>
              <w:t xml:space="preserve">This missing data is not a technical problem awaiting a technical solution. It is a governance failure. Mandatory ethnicity recording in coroner death inquiries requires a single piece of legislation and costs close to nothing to implement. Its absence is a political choice that renders minority deaths statistically invisible and, consequently, policy-invisible.</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6.4 LGBTQ+ Men of Colour: The Invisible Intersection</w:t>
      </w:r>
    </w:p>
    <w:p>
      <w:pPr>
        <w:spacing w:after="120" w:before="80"/>
      </w:pPr>
      <w:r>
        <w:rPr>
          <w:rFonts w:ascii="Arial" w:cs="Arial" w:eastAsia="Arial" w:hAnsi="Arial"/>
          <w:color w:val="1E293B"/>
          <w:sz w:val="22"/>
          <w:szCs w:val="22"/>
        </w:rPr>
        <w:t xml:space="preserve">LGBTQ+ men of colour occupy an acute position of double exclusion. They face racism within queer spaces and homophobia (or transphobia) within ethnic communities, leaving them excluded from both primary sources of cultural identity and belonging. Research by Meyer (2003), King et al. (2008), and others indicates suicidality rates up to 5× higher than the general male population.</w:t>
      </w:r>
      <w:r>
        <w:rPr>
          <w:rStyle w:val="FootnoteReference"/>
        </w:rPr>
        <w:footnoteReference w:id="7"/>
      </w:r>
      <w:r>
        <w:rPr>
          <w:rStyle w:val="FootnoteReference"/>
        </w:rPr>
        <w:footnoteReference w:id="8"/>
      </w:r>
    </w:p>
    <w:p>
      <w:pPr>
        <w:spacing w:after="120" w:before="80"/>
      </w:pPr>
      <w:r>
        <w:rPr>
          <w:rFonts w:ascii="Arial" w:cs="Arial" w:eastAsia="Arial" w:hAnsi="Arial"/>
          <w:color w:val="1E293B"/>
          <w:sz w:val="22"/>
          <w:szCs w:val="22"/>
        </w:rPr>
        <w:t xml:space="preserve">Yet this group is almost entirely absent from UK ethnicity-disaggregated suicide statistics. NHS systems do not routinely collect LGBTQ+ identity alongside ethnicity data, making intersectional analysis of this highest-risk sub-group impossible from official sources. The absence of data should not be confused with the absence of a problem.</w:t>
      </w:r>
    </w:p>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7. Nations and Regions</w:t>
      </w:r>
    </w:p>
    <w:p>
      <w:pPr>
        <w:pStyle w:val="Heading2"/>
        <w:spacing w:after="120" w:before="300"/>
      </w:pPr>
      <w:r>
        <w:rPr>
          <w:rFonts w:ascii="Arial" w:cs="Arial" w:eastAsia="Arial" w:hAnsi="Arial"/>
          <w:b/>
          <w:bCs/>
          <w:color w:val="0F2942"/>
          <w:sz w:val="26"/>
          <w:szCs w:val="26"/>
        </w:rPr>
        <w:t xml:space="preserve">7.1 Four Nations Comparison</w:t>
      </w:r>
    </w:p>
    <w:p>
      <w:pPr>
        <w:spacing w:after="120" w:before="80"/>
      </w:pPr>
      <w:r>
        <w:rPr>
          <w:rFonts w:ascii="Arial" w:cs="Arial" w:eastAsia="Arial" w:hAnsi="Arial"/>
          <w:color w:val="1E293B"/>
          <w:sz w:val="22"/>
          <w:szCs w:val="22"/>
        </w:rPr>
        <w:t xml:space="preserve">Male suicide rates vary significantly across the four UK nations, reflecting differences in NHS funding models, social policy, rural demographics, and historical economic legacies:</w:t>
      </w:r>
      <w:r>
        <w:rPr>
          <w:rStyle w:val="FootnoteReference"/>
        </w:rPr>
        <w:footnoteReference w:id="10"/>
      </w:r>
      <w:r>
        <w:rPr>
          <w:rStyle w:val="FootnoteReference"/>
        </w:rPr>
        <w:footnoteReference w:id="11"/>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Nation</w:t>
            </w:r>
          </w:p>
        </w:tc>
        <w:tc>
          <w:tcPr>
            <w:tcW w:type="dxa" w:w="22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Rate per 100k (2022)</w:t>
            </w:r>
          </w:p>
        </w:tc>
        <w:tc>
          <w:tcPr>
            <w:tcW w:type="dxa" w:w="22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Trend (vs 2019)</w:t>
            </w:r>
          </w:p>
        </w:tc>
        <w:tc>
          <w:tcPr>
            <w:tcW w:type="dxa" w:w="27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Key Contextual Factor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Scotland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Declining (-8%)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Choose Life strategy; but post-COVID rebound evident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London, UK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13.1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Stable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Legacies of the Troubles; rural access gaps; lower service density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Rising (+5%)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Rural deprivation; Welsh-language service gaps; GP access issues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England (overall)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11.4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Rising (+4%)</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Significant regional variation; London depresses national figure</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7.2 English Regional Rates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Rate per 100k</w:t>
            </w:r>
          </w:p>
        </w:tc>
        <w:tc>
          <w:tcPr>
            <w:tcW w:type="dxa" w:w="1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vs National Avg</w:t>
            </w:r>
          </w:p>
        </w:tc>
        <w:tc>
          <w:tcPr>
            <w:tcW w:type="dxa" w:w="31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Key Risk Driver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North East England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Above average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Post-industrial; highest English unemployment rate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Yorkshire &amp; Humber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13.5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Above average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Former coal and steel communities; deindustrialisation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South West England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Above average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Rural isolation; GP access; farming sector risk</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East Midlands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12.8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Slight above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Mixed urban-rural; manufacturing decline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West Midlands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Near average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Urban deprivation pockets; significant minority population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East of England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Near average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Rural pockets in Norfolk / Suffolk; coastal deprivation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South East England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Below average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Higher median income; better service access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London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8.7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Lowest in England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Cultural diversity; service density; but data underreporting risk</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942" w:sz="6"/>
              <w:left w:val="single" w:color="0F2942" w:sz="6"/>
              <w:bottom w:val="single" w:color="0F2942" w:sz="6"/>
              <w:right w:val="single" w:color="0F2942" w:sz="6"/>
            </w:tcBorders>
            <w:tcMar>
              <w:top w:type="dxa" w:w="0"/>
              <w:left w:type="dxa" w:w="0"/>
              <w:bottom w:type="dxa" w:w="120"/>
              <w:right w:type="dxa" w:w="0"/>
            </w:tcMar>
          </w:tcPr>
          <w:p>
            <w:pPr>
              <w:shd w:fill="0F2942" w:val="clear"/>
              <w:spacing w:after="40" w:before="80"/>
              <w:ind w:left="160" w:right="160"/>
            </w:pPr>
            <w:r>
              <w:rPr>
                <w:rFonts w:ascii="Arial" w:cs="Arial" w:eastAsia="Arial" w:hAnsi="Arial"/>
                <w:b/>
                <w:bCs/>
                <w:caps/>
                <w:color w:val="FFFFFF"/>
                <w:sz w:val="18"/>
                <w:szCs w:val="18"/>
              </w:rPr>
              <w:t xml:space="preserve">STRUCTURAL DRIVER: Deindustrialisation as a Suicide Risk Factor</w:t>
            </w:r>
          </w:p>
          <w:p>
            <w:pPr>
              <w:shd w:fill="EFF6FF" w:val="clear"/>
              <w:spacing w:after="60" w:before="60"/>
              <w:ind w:left="160" w:right="160"/>
            </w:pPr>
            <w:r>
              <w:rPr>
                <w:rFonts w:ascii="Arial" w:cs="Arial" w:eastAsia="Arial" w:hAnsi="Arial"/>
                <w:i w:val="false"/>
                <w:iCs w:val="false"/>
                <w:color w:val="1E293B"/>
                <w:sz w:val="22"/>
                <w:szCs w:val="22"/>
              </w:rPr>
              <w:t xml:space="preserve">The regions with the highest male suicide rates — Scotland (former heavy industry, coal, shipbuilding), North East England (coal, steel, shipbuilding), Yorkshire (steel, textiles) — share a common structural history.</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The rapid dismantling of these industries from the 1980s onwards removed not just employment, but the entire architecture of male identity, community, and social purpose. "Deaths of despair" is often described as an American phenomenon (Case &amp; Deaton, 2015), but the mechanism is profoundly British, and the effects have not been adequately addressed by any subsequent public health strategy.</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The correlation between deprivation index (IMD 2019) and male suicide rate by local authority (r = 0.67, p&lt;0.001) represents one of the strongest modifiable risk associations in this dataset.</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8. Age Analysis</w:t>
      </w:r>
    </w:p>
    <w:p>
      <w:pPr>
        <w:pStyle w:val="Heading2"/>
        <w:spacing w:after="120" w:before="300"/>
      </w:pPr>
      <w:r>
        <w:rPr>
          <w:rFonts w:ascii="Arial" w:cs="Arial" w:eastAsia="Arial" w:hAnsi="Arial"/>
          <w:b/>
          <w:bCs/>
          <w:color w:val="0F2942"/>
          <w:sz w:val="26"/>
          <w:szCs w:val="26"/>
        </w:rPr>
        <w:t xml:space="preserve">8.1 Age-Specific Suicide Rates</w:t>
      </w:r>
    </w:p>
    <w:p>
      <w:pPr>
        <w:spacing w:after="120" w:before="80"/>
      </w:pPr>
      <w:r>
        <w:rPr>
          <w:rFonts w:ascii="Arial" w:cs="Arial" w:eastAsia="Arial" w:hAnsi="Arial"/>
          <w:color w:val="1E293B"/>
          <w:sz w:val="22"/>
          <w:szCs w:val="22"/>
        </w:rPr>
        <w:t xml:space="preserve">Male suicide risk is not distributed evenly across the life course. Two distinct peaks emerge in the age-specific data — one in middle age (45–49) and a secondary elevation in older men (75+) — each reflecting different but equally neglected pathways to crisis: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400"/>
        <w:gridCol w:w="3060"/>
      </w:tblGrid>
      <w:tr>
        <w:trPr>
          <w:tblHeader/>
        </w:trPr>
        <w:tc>
          <w:tcPr>
            <w:tcW w:type="dxa" w:w="14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Age Group</w:t>
            </w:r>
          </w:p>
        </w:tc>
        <w:tc>
          <w:tcPr>
            <w:tcW w:type="dxa" w:w="15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Rate per 100k</w:t>
            </w:r>
          </w:p>
        </w:tc>
        <w:tc>
          <w:tcPr>
            <w:tcW w:type="dxa" w:w="34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Key Risk Factors</w:t>
            </w:r>
          </w:p>
        </w:tc>
        <w:tc>
          <w:tcPr>
            <w:tcW w:type="dxa" w:w="30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Primary Service 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Social media; COVID school disruption; LGBTQ+ identity crisis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CAMHS wait times average 18+ weeks; stigma severe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25–34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14.5</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Student debt; housing insecurity; relationship breakdown; career precarity</w:t>
            </w:r>
          </w:p>
        </w:tc>
        <w:tc>
          <w:tcPr>
            <w:tcW w:type="dxa" w:w="3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IAPT eligibility gaps; work-focused GP consultations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35–44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18.1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Divorce; custody loss; career stagnation; alcohol dependency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Reluctance to seek help; male stoicism culturally reinforced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45–49</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23.8</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Unemployment; financial pressure; empty nest; midlife identity loss</w:t>
            </w:r>
          </w:p>
        </w:tc>
        <w:tc>
          <w:tcPr>
            <w:tcW w:type="dxa" w:w="3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Most underserved crisis group; no dedicated service threshold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50–59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Redundancy; chronic physical health problems; bereavement; debt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GPs often miss depression in older men; somatic presentation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60–74</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15.2</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Retirement transition; chronic pain; social isolation; loss of purpose</w:t>
            </w:r>
          </w:p>
        </w:tc>
        <w:tc>
          <w:tcPr>
            <w:tcW w:type="dxa" w:w="3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Older adult mental health severely underfunded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19.3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Widowhood; physical frailty; loss of autonomy; profound loneliness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Almost invisible in service design; care home risk untracked</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B6E" w:sz="6"/>
              <w:left w:val="single" w:color="CA6B6E" w:sz="6"/>
              <w:bottom w:val="single" w:color="CA6B6E" w:sz="6"/>
              <w:right w:val="single" w:color="CA6B6E" w:sz="6"/>
            </w:tcBorders>
            <w:tcMar>
              <w:top w:type="dxa" w:w="0"/>
              <w:left w:type="dxa" w:w="0"/>
              <w:bottom w:type="dxa" w:w="120"/>
              <w:right w:type="dxa" w:w="0"/>
            </w:tcMar>
          </w:tcPr>
          <w:p>
            <w:pPr>
              <w:shd w:fill="CA6B6E" w:val="clear"/>
              <w:spacing w:after="40" w:before="80"/>
              <w:ind w:left="160" w:right="160"/>
            </w:pPr>
            <w:r>
              <w:rPr>
                <w:rFonts w:ascii="Arial" w:cs="Arial" w:eastAsia="Arial" w:hAnsi="Arial"/>
                <w:b/>
                <w:bCs/>
                <w:caps/>
                <w:color w:val="FFFFFF"/>
                <w:sz w:val="18"/>
                <w:szCs w:val="18"/>
              </w:rPr>
              <w:t xml:space="preserve">HIGHEST-RISK GROUP: Men Aged 45–49</w:t>
            </w:r>
          </w:p>
          <w:p>
            <w:pPr>
              <w:shd w:fill="FEE2E2" w:val="clear"/>
              <w:spacing w:after="60" w:before="60"/>
              <w:ind w:left="160" w:right="160"/>
            </w:pPr>
            <w:r>
              <w:rPr>
                <w:rFonts w:ascii="Arial" w:cs="Arial" w:eastAsia="Arial" w:hAnsi="Arial"/>
                <w:i w:val="false"/>
                <w:iCs w:val="false"/>
                <w:color w:val="1E293B"/>
                <w:sz w:val="22"/>
                <w:szCs w:val="22"/>
              </w:rPr>
              <w:t xml:space="preserve">Men aged 45–49 die by suicide at 23.8 per 100,000 — nearly twice the national average of 12.1.</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This cohort is the product of converging structural forces:</w:t>
            </w:r>
          </w:p>
          <w:p>
            <w:pPr>
              <w:shd w:fill="FEE2E2" w:val="clear"/>
              <w:spacing w:after="60" w:before="60"/>
              <w:ind w:left="160" w:right="160"/>
            </w:pPr>
            <w:r>
              <w:rPr>
                <w:rFonts w:ascii="Arial" w:cs="Arial" w:eastAsia="Arial" w:hAnsi="Arial"/>
                <w:i w:val="false"/>
                <w:iCs w:val="false"/>
                <w:color w:val="1E293B"/>
                <w:sz w:val="22"/>
                <w:szCs w:val="22"/>
              </w:rPr>
              <w:t xml:space="preserve">▪  Grew up in the 1980s and 1990s with deeply embedded "man up" cultural norms about emotional suppression</w:t>
            </w:r>
          </w:p>
          <w:p>
            <w:pPr>
              <w:shd w:fill="FEE2E2" w:val="clear"/>
              <w:spacing w:after="60" w:before="60"/>
              <w:ind w:left="160" w:right="160"/>
            </w:pPr>
            <w:r>
              <w:rPr>
                <w:rFonts w:ascii="Arial" w:cs="Arial" w:eastAsia="Arial" w:hAnsi="Arial"/>
                <w:i w:val="false"/>
                <w:iCs w:val="false"/>
                <w:color w:val="1E293B"/>
                <w:sz w:val="22"/>
                <w:szCs w:val="22"/>
              </w:rPr>
              <w:t xml:space="preserve">▪  Lost industries and social structures that provided identity and community</w:t>
            </w:r>
          </w:p>
          <w:p>
            <w:pPr>
              <w:shd w:fill="FEE2E2" w:val="clear"/>
              <w:spacing w:after="60" w:before="60"/>
              <w:ind w:left="160" w:right="160"/>
            </w:pPr>
            <w:r>
              <w:rPr>
                <w:rFonts w:ascii="Arial" w:cs="Arial" w:eastAsia="Arial" w:hAnsi="Arial"/>
                <w:i w:val="false"/>
                <w:iCs w:val="false"/>
                <w:color w:val="1E293B"/>
                <w:sz w:val="22"/>
                <w:szCs w:val="22"/>
              </w:rPr>
              <w:t xml:space="preserve">▪  Disproportionately affected by family court outcomes that reduce paternal contact after separation</w:t>
            </w:r>
          </w:p>
          <w:p>
            <w:pPr>
              <w:shd w:fill="FEE2E2" w:val="clear"/>
              <w:spacing w:after="60" w:before="60"/>
              <w:ind w:left="160" w:right="160"/>
            </w:pPr>
            <w:r>
              <w:rPr>
                <w:rFonts w:ascii="Arial" w:cs="Arial" w:eastAsia="Arial" w:hAnsi="Arial"/>
                <w:i w:val="false"/>
                <w:iCs w:val="false"/>
                <w:color w:val="1E293B"/>
                <w:sz w:val="22"/>
                <w:szCs w:val="22"/>
              </w:rPr>
              <w:t xml:space="preserve">▪  Too old for youth mental health services, too young for older adult mental health teams</w:t>
            </w:r>
          </w:p>
          <w:p>
            <w:pPr>
              <w:shd w:fill="FEE2E2" w:val="clear"/>
              <w:spacing w:after="60" w:before="60"/>
              <w:ind w:left="160" w:right="160"/>
            </w:pPr>
            <w:r>
              <w:rPr>
                <w:rFonts w:ascii="Arial" w:cs="Arial" w:eastAsia="Arial" w:hAnsi="Arial"/>
                <w:i w:val="false"/>
                <w:iCs w:val="false"/>
                <w:color w:val="1E293B"/>
                <w:sz w:val="22"/>
                <w:szCs w:val="22"/>
              </w:rPr>
              <w:t xml:space="preserve">▪  Caught between economic redundancy and pension age with no clear pathway to purpose</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They fall between every service threshold. They are not a priority for any service, yet they are dying faster than any other group.</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9. Risk Factors and Intersectional Vulnerabilities</w:t>
      </w:r>
    </w:p>
    <w:p>
      <w:pPr>
        <w:spacing w:after="120" w:before="80"/>
      </w:pPr>
      <w:r>
        <w:rPr>
          <w:rFonts w:ascii="Arial" w:cs="Arial" w:eastAsia="Arial" w:hAnsi="Arial"/>
          <w:color w:val="1E293B"/>
          <w:sz w:val="22"/>
          <w:szCs w:val="22"/>
        </w:rPr>
        <w:t xml:space="preserve">Male suicide is rarely mono-causal. The data consistently reveals a clustering of risk factors — economic, social, psychological, and structural — that compound one another. The most dangerous situations are those of intersectional vulnerability, where multiple risk factors converge in a single individual or community.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rPr>
          <w:tblHeader/>
        </w:trPr>
        <w:tc>
          <w:tcPr>
            <w:tcW w:type="dxa" w:w="3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Risk Factor</w:t>
            </w:r>
          </w:p>
        </w:tc>
        <w:tc>
          <w:tcPr>
            <w:tcW w:type="dxa" w:w="2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Relative Risk Index (1–10)</w:t>
            </w:r>
          </w:p>
        </w:tc>
        <w:tc>
          <w:tcPr>
            <w:tcW w:type="dxa" w:w="18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Evidence Quality</w:t>
            </w:r>
          </w:p>
        </w:tc>
        <w:tc>
          <w:tcPr>
            <w:tcW w:type="dxa" w:w="25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Social isolation / loneliness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Strong (meta-analysis)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Jo Cox Commission; Campaign to End Loneliness data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LGBTQ+ men of colour (compound exclusion)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9.5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Moderate (limited UK data)</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Meyer minority stress model; King et al. systematic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Unemployment / economic inactivity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Strong (ONS, DWP)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Rate spikes within 12 months of job loss; IPS evidence for reversal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Alcohol / substance misuse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8.5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Strong (NCI data)</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Present in approximately 50% of suicide cases at inquest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Previous suicide attempt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Very Strong (clinical consensus)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Single strongest individual clinical predictor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Chronic physical illness / pain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7.5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Strong</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Particularly musculoskeletal; co-morbid depression under-treated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Relationship breakdown / divorce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Strong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Particularly for fathers with reduced custody; financial impact compound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Housing insecurity / homelessness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7.0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Strong (Crisis UK)</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Rough sleeping associated with suicide rate ~9× general population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Ethnic minority + cultural barriers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Bhui et al.; Windfuhr &amp; Kapur; IAPT completion data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Access to lethal means (occupation)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6.5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Moderate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Farmers, vets, medical professionals; occupational licensing a lever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Recourse to Public Funds (NRPF)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Limited (structural)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Bars emergency housing and many NHS services; creates invisible risk</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B6E" w:sz="6"/>
              <w:left w:val="single" w:color="CA6B6E" w:sz="6"/>
              <w:bottom w:val="single" w:color="CA6B6E" w:sz="6"/>
              <w:right w:val="single" w:color="CA6B6E" w:sz="6"/>
            </w:tcBorders>
            <w:tcMar>
              <w:top w:type="dxa" w:w="0"/>
              <w:left w:type="dxa" w:w="0"/>
              <w:bottom w:type="dxa" w:w="120"/>
              <w:right w:type="dxa" w:w="0"/>
            </w:tcMar>
          </w:tcPr>
          <w:p>
            <w:pPr>
              <w:shd w:fill="CA6B6E" w:val="clear"/>
              <w:spacing w:after="40" w:before="80"/>
              <w:ind w:left="160" w:right="160"/>
            </w:pPr>
            <w:r>
              <w:rPr>
                <w:rFonts w:ascii="Arial" w:cs="Arial" w:eastAsia="Arial" w:hAnsi="Arial"/>
                <w:b/>
                <w:bCs/>
                <w:caps/>
                <w:color w:val="FFFFFF"/>
                <w:sz w:val="18"/>
                <w:szCs w:val="18"/>
              </w:rPr>
              <w:t xml:space="preserve">POLICY-CREATED RISK: No Recourse to Public Funds</w:t>
            </w:r>
          </w:p>
          <w:p>
            <w:pPr>
              <w:shd w:fill="FEE2E2" w:val="clear"/>
              <w:spacing w:after="60" w:before="60"/>
              <w:ind w:left="160" w:right="160"/>
            </w:pPr>
            <w:r>
              <w:rPr>
                <w:rFonts w:ascii="Arial" w:cs="Arial" w:eastAsia="Arial" w:hAnsi="Arial"/>
                <w:i w:val="false"/>
                <w:iCs w:val="false"/>
                <w:color w:val="1E293B"/>
                <w:sz w:val="22"/>
                <w:szCs w:val="22"/>
              </w:rPr>
              <w:t xml:space="preserve">Migrants on certain visas are legally prohibited from accessing most public funds, including emergency housing and some NHS services beyond urgent treatment.</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For ethnic minority men in mental health crisis with NRPF status, there is functionally no safe pathway to seek help. They cannot access emergency housing, may face immigration consequences if they present at A&amp;E, and are entirely outside any suicide prevention framework. This is not a gap in the system — it is a deliberate design choice that produces preventable deaths. The NRPF condition must be suspended for mental health emergency presentations.</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10. Evidence-Based Policy Recommendations</w:t>
      </w:r>
    </w:p>
    <w:p>
      <w:pPr>
        <w:spacing w:after="120" w:before="80"/>
      </w:pPr>
      <w:r>
        <w:rPr>
          <w:rFonts w:ascii="Arial" w:cs="Arial" w:eastAsia="Arial" w:hAnsi="Arial"/>
          <w:color w:val="1E293B"/>
          <w:sz w:val="22"/>
          <w:szCs w:val="22"/>
        </w:rPr>
        <w:t xml:space="preserve">The following six recommendations are derived from the empirical findings in this analysis, existing evidence in the peer-reviewed literature, and best-practice examples from comparable international contexts. They are ordered by a combination of urgency and feasibility:</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Recommendation 1: Mandate Ethnicity Recording in Coroner 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942" w:sz="6"/>
              <w:left w:val="single" w:color="0F2942" w:sz="6"/>
              <w:bottom w:val="single" w:color="0F2942" w:sz="6"/>
              <w:right w:val="single" w:color="0F2942" w:sz="6"/>
            </w:tcBorders>
            <w:tcMar>
              <w:top w:type="dxa" w:w="0"/>
              <w:left w:type="dxa" w:w="0"/>
              <w:bottom w:type="dxa" w:w="120"/>
              <w:right w:type="dxa" w:w="0"/>
            </w:tcMar>
          </w:tcPr>
          <w:p>
            <w:pPr>
              <w:shd w:fill="0F2942" w:val="clear"/>
              <w:spacing w:after="40" w:before="80"/>
              <w:ind w:left="160" w:right="160"/>
            </w:pPr>
            <w:r>
              <w:rPr>
                <w:rFonts w:ascii="Arial" w:cs="Arial" w:eastAsia="Arial" w:hAnsi="Arial"/>
                <w:b/>
                <w:bCs/>
                <w:caps/>
                <w:color w:val="FFFFFF"/>
                <w:sz w:val="18"/>
                <w:szCs w:val="18"/>
              </w:rPr>
              <w:t xml:space="preserve">PRIORITY: IMMEDIATE · COST: NEAR-ZERO</w:t>
            </w:r>
          </w:p>
          <w:p>
            <w:pPr>
              <w:shd w:fill="EFF6FF" w:val="clear"/>
              <w:spacing w:after="60" w:before="60"/>
              <w:ind w:left="160" w:right="160"/>
            </w:pPr>
            <w:r>
              <w:rPr>
                <w:rFonts w:ascii="Arial" w:cs="Arial" w:eastAsia="Arial" w:hAnsi="Arial"/>
                <w:i w:val="false"/>
                <w:iCs w:val="false"/>
                <w:color w:val="1E293B"/>
                <w:sz w:val="22"/>
                <w:szCs w:val="22"/>
              </w:rPr>
              <w:t xml:space="preserve">ONS mortality data currently has approximately 18% of male suicide deaths with no ethnicity recorded. This is the foundational data failure from which all subsequent policy failures flow.</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Recommended actions:</w:t>
            </w:r>
          </w:p>
          <w:p>
            <w:pPr>
              <w:shd w:fill="EFF6FF" w:val="clear"/>
              <w:spacing w:after="60" w:before="60"/>
              <w:ind w:left="160" w:right="160"/>
            </w:pPr>
            <w:r>
              <w:rPr>
                <w:rFonts w:ascii="Arial" w:cs="Arial" w:eastAsia="Arial" w:hAnsi="Arial"/>
                <w:i w:val="false"/>
                <w:iCs w:val="false"/>
                <w:color w:val="1E293B"/>
                <w:sz w:val="22"/>
                <w:szCs w:val="22"/>
              </w:rPr>
              <w:t xml:space="preserve">▪  Legislate mandatory ethnicity coding in all coroner inquests (amend Coroners and Justice Act 2009)</w:t>
            </w:r>
          </w:p>
          <w:p>
            <w:pPr>
              <w:shd w:fill="EFF6FF" w:val="clear"/>
              <w:spacing w:after="60" w:before="60"/>
              <w:ind w:left="160" w:right="160"/>
            </w:pPr>
            <w:r>
              <w:rPr>
                <w:rFonts w:ascii="Arial" w:cs="Arial" w:eastAsia="Arial" w:hAnsi="Arial"/>
                <w:i w:val="false"/>
                <w:iCs w:val="false"/>
                <w:color w:val="1E293B"/>
                <w:sz w:val="22"/>
                <w:szCs w:val="22"/>
              </w:rPr>
              <w:t xml:space="preserve">▪  ONS to publish annual ethnicity-disaggregated suicide rates disaggregated by age band and region</w:t>
            </w:r>
          </w:p>
          <w:p>
            <w:pPr>
              <w:shd w:fill="EFF6FF" w:val="clear"/>
              <w:spacing w:after="60" w:before="60"/>
              <w:ind w:left="160" w:right="160"/>
            </w:pPr>
            <w:r>
              <w:rPr>
                <w:rFonts w:ascii="Arial" w:cs="Arial" w:eastAsia="Arial" w:hAnsi="Arial"/>
                <w:i w:val="false"/>
                <w:iCs w:val="false"/>
                <w:color w:val="1E293B"/>
                <w:sz w:val="22"/>
                <w:szCs w:val="22"/>
              </w:rPr>
              <w:t xml:space="preserve">▪  Establish retrospective data cleaning programme for post-2001 records where possible</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Without accurate data, minority suicide rates remain systematically underestimated and politically invisible. This should be the first reform.</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Recommendation 2: Fund Culturally Adapted Therapy at NHS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single" w:color="0D9488" w:sz="6"/>
              <w:right w:val="single" w:color="0D9488" w:sz="6"/>
            </w:tcBorders>
            <w:tcMar>
              <w:top w:type="dxa" w:w="0"/>
              <w:left w:type="dxa" w:w="0"/>
              <w:bottom w:type="dxa" w:w="120"/>
              <w:right w:type="dxa" w:w="0"/>
            </w:tcMar>
          </w:tcPr>
          <w:p>
            <w:pPr>
              <w:shd w:fill="0D9488" w:val="clear"/>
              <w:spacing w:after="40" w:before="80"/>
              <w:ind w:left="160" w:right="160"/>
            </w:pPr>
            <w:r>
              <w:rPr>
                <w:rFonts w:ascii="Arial" w:cs="Arial" w:eastAsia="Arial" w:hAnsi="Arial"/>
                <w:b/>
                <w:bCs/>
                <w:caps/>
                <w:color w:val="FFFFFF"/>
                <w:sz w:val="18"/>
                <w:szCs w:val="18"/>
              </w:rPr>
              <w:t xml:space="preserve">PRIORITY: HIGH · EVIDENCE: STRONG</w:t>
            </w:r>
          </w:p>
          <w:p>
            <w:pPr>
              <w:shd w:fill="D1FAE5" w:val="clear"/>
              <w:spacing w:after="60" w:before="60"/>
              <w:ind w:left="160" w:right="160"/>
            </w:pPr>
            <w:r>
              <w:rPr>
                <w:rFonts w:ascii="Arial" w:cs="Arial" w:eastAsia="Arial" w:hAnsi="Arial"/>
                <w:i w:val="false"/>
                <w:iCs w:val="false"/>
                <w:color w:val="1E293B"/>
                <w:sz w:val="22"/>
                <w:szCs w:val="22"/>
              </w:rPr>
              <w:t xml:space="preserve">Standard CBT completion rates for Black men are 32% vs 65% for White British — a 33 percentage-point gap. Adapted therapeutic models show completion rates approaching White British levels when properly implemented.</w:t>
            </w:r>
          </w:p>
          <w:p>
            <w:pPr>
              <w:shd w:fill="D1FAE5" w:val="clear"/>
              <w:spacing w:after="60" w:before="60"/>
              <w:ind w:left="160" w:right="160"/>
            </w:pPr>
            <w:r>
              <w:rPr>
                <w:rFonts w:ascii="Arial" w:cs="Arial" w:eastAsia="Arial" w:hAnsi="Arial"/>
                <w:i w:val="false"/>
                <w:iCs w:val="false"/>
                <w:color w:val="1E293B"/>
                <w:sz w:val="22"/>
                <w:szCs w:val="22"/>
              </w:rPr>
              <w:t xml:space="preserve"/>
            </w:r>
          </w:p>
          <w:p>
            <w:pPr>
              <w:shd w:fill="D1FAE5" w:val="clear"/>
              <w:spacing w:after="60" w:before="60"/>
              <w:ind w:left="160" w:right="160"/>
            </w:pPr>
            <w:r>
              <w:rPr>
                <w:rFonts w:ascii="Arial" w:cs="Arial" w:eastAsia="Arial" w:hAnsi="Arial"/>
                <w:i w:val="false"/>
                <w:iCs w:val="false"/>
                <w:color w:val="1E293B"/>
                <w:sz w:val="22"/>
                <w:szCs w:val="22"/>
              </w:rPr>
              <w:t xml:space="preserve">Recommended actions:</w:t>
            </w:r>
          </w:p>
          <w:p>
            <w:pPr>
              <w:shd w:fill="D1FAE5" w:val="clear"/>
              <w:spacing w:after="60" w:before="60"/>
              <w:ind w:left="160" w:right="160"/>
            </w:pPr>
            <w:r>
              <w:rPr>
                <w:rFonts w:ascii="Arial" w:cs="Arial" w:eastAsia="Arial" w:hAnsi="Arial"/>
                <w:i w:val="false"/>
                <w:iCs w:val="false"/>
                <w:color w:val="1E293B"/>
                <w:sz w:val="22"/>
                <w:szCs w:val="22"/>
              </w:rPr>
              <w:t xml:space="preserve">▪  Fund 500 culturally adapted NHS Talking Therapies posts with specialist training</w:t>
            </w:r>
          </w:p>
          <w:p>
            <w:pPr>
              <w:shd w:fill="D1FAE5" w:val="clear"/>
              <w:spacing w:after="60" w:before="60"/>
              <w:ind w:left="160" w:right="160"/>
            </w:pPr>
            <w:r>
              <w:rPr>
                <w:rFonts w:ascii="Arial" w:cs="Arial" w:eastAsia="Arial" w:hAnsi="Arial"/>
                <w:i w:val="false"/>
                <w:iCs w:val="false"/>
                <w:color w:val="1E293B"/>
                <w:sz w:val="22"/>
                <w:szCs w:val="22"/>
              </w:rPr>
              <w:t xml:space="preserve">▪  Commission Randomised Controlled Trials of adapted CBT models in five diverse urban areas</w:t>
            </w:r>
          </w:p>
          <w:p>
            <w:pPr>
              <w:shd w:fill="D1FAE5" w:val="clear"/>
              <w:spacing w:after="60" w:before="60"/>
              <w:ind w:left="160" w:right="160"/>
            </w:pPr>
            <w:r>
              <w:rPr>
                <w:rFonts w:ascii="Arial" w:cs="Arial" w:eastAsia="Arial" w:hAnsi="Arial"/>
                <w:i w:val="false"/>
                <w:iCs w:val="false"/>
                <w:color w:val="1E293B"/>
                <w:sz w:val="22"/>
                <w:szCs w:val="22"/>
              </w:rPr>
              <w:t xml:space="preserve">▪  Require all IAPT / NHS Talking Therapies providers to publish ethnicity-disaggregated completion rates annually</w:t>
            </w:r>
          </w:p>
          <w:p>
            <w:pPr>
              <w:shd w:fill="D1FAE5" w:val="clear"/>
              <w:spacing w:after="60" w:before="60"/>
              <w:ind w:left="160" w:right="160"/>
            </w:pPr>
            <w:r>
              <w:rPr>
                <w:rFonts w:ascii="Arial" w:cs="Arial" w:eastAsia="Arial" w:hAnsi="Arial"/>
                <w:i w:val="false"/>
                <w:iCs w:val="false"/>
                <w:color w:val="1E293B"/>
                <w:sz w:val="22"/>
                <w:szCs w:val="22"/>
              </w:rPr>
              <w:t xml:space="preserve">▪  Remove digital-only therapy pathways as default for Black men (compound exclusion for those with lower digital literacy or privacy concerns)</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Recommendation 3: Community-First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single" w:color="0D9488" w:sz="6"/>
              <w:right w:val="single" w:color="0D9488" w:sz="6"/>
            </w:tcBorders>
            <w:tcMar>
              <w:top w:type="dxa" w:w="0"/>
              <w:left w:type="dxa" w:w="0"/>
              <w:bottom w:type="dxa" w:w="120"/>
              <w:right w:type="dxa" w:w="0"/>
            </w:tcMar>
          </w:tcPr>
          <w:p>
            <w:pPr>
              <w:shd w:fill="0D9488" w:val="clear"/>
              <w:spacing w:after="40" w:before="80"/>
              <w:ind w:left="160" w:right="160"/>
            </w:pPr>
            <w:r>
              <w:rPr>
                <w:rFonts w:ascii="Arial" w:cs="Arial" w:eastAsia="Arial" w:hAnsi="Arial"/>
                <w:b/>
                <w:bCs/>
                <w:caps/>
                <w:color w:val="FFFFFF"/>
                <w:sz w:val="18"/>
                <w:szCs w:val="18"/>
              </w:rPr>
              <w:t xml:space="preserve">PRIORITY: HIGH · MODEL: PROVEN</w:t>
            </w:r>
          </w:p>
          <w:p>
            <w:pPr>
              <w:shd w:fill="D1FAE5" w:val="clear"/>
              <w:spacing w:after="60" w:before="60"/>
              <w:ind w:left="160" w:right="160"/>
            </w:pPr>
            <w:r>
              <w:rPr>
                <w:rFonts w:ascii="Arial" w:cs="Arial" w:eastAsia="Arial" w:hAnsi="Arial"/>
                <w:i w:val="false"/>
                <w:iCs w:val="false"/>
                <w:color w:val="1E293B"/>
                <w:sz w:val="22"/>
                <w:szCs w:val="22"/>
              </w:rPr>
              <w:t xml:space="preserve">Black and South Asian men do not typically access GPs or IAPT centres when experiencing mental distress. They do go to barbershops, mosques, gurdwaras, and community centres. Evidence from barbershop mental health initiatives in the UK and USA shows strong engagement with men unreachable through conventional NHS services.</w:t>
            </w:r>
          </w:p>
          <w:p>
            <w:pPr>
              <w:shd w:fill="D1FAE5" w:val="clear"/>
              <w:spacing w:after="60" w:before="60"/>
              <w:ind w:left="160" w:right="160"/>
            </w:pPr>
            <w:r>
              <w:rPr>
                <w:rFonts w:ascii="Arial" w:cs="Arial" w:eastAsia="Arial" w:hAnsi="Arial"/>
                <w:i w:val="false"/>
                <w:iCs w:val="false"/>
                <w:color w:val="1E293B"/>
                <w:sz w:val="22"/>
                <w:szCs w:val="22"/>
              </w:rPr>
              <w:t xml:space="preserve"/>
            </w:r>
          </w:p>
          <w:p>
            <w:pPr>
              <w:shd w:fill="D1FAE5" w:val="clear"/>
              <w:spacing w:after="60" w:before="60"/>
              <w:ind w:left="160" w:right="160"/>
            </w:pPr>
            <w:r>
              <w:rPr>
                <w:rFonts w:ascii="Arial" w:cs="Arial" w:eastAsia="Arial" w:hAnsi="Arial"/>
                <w:i w:val="false"/>
                <w:iCs w:val="false"/>
                <w:color w:val="1E293B"/>
                <w:sz w:val="22"/>
                <w:szCs w:val="22"/>
              </w:rPr>
              <w:t xml:space="preserve">Recommended actions:</w:t>
            </w:r>
          </w:p>
          <w:p>
            <w:pPr>
              <w:shd w:fill="D1FAE5" w:val="clear"/>
              <w:spacing w:after="60" w:before="60"/>
              <w:ind w:left="160" w:right="160"/>
            </w:pPr>
            <w:r>
              <w:rPr>
                <w:rFonts w:ascii="Arial" w:cs="Arial" w:eastAsia="Arial" w:hAnsi="Arial"/>
                <w:i w:val="false"/>
                <w:iCs w:val="false"/>
                <w:color w:val="1E293B"/>
                <w:sz w:val="22"/>
                <w:szCs w:val="22"/>
              </w:rPr>
              <w:t xml:space="preserve">▪  £50m fund for community mental health workers embedded in minority cultural and faith spaces</w:t>
            </w:r>
          </w:p>
          <w:p>
            <w:pPr>
              <w:shd w:fill="D1FAE5" w:val="clear"/>
              <w:spacing w:after="60" w:before="60"/>
              <w:ind w:left="160" w:right="160"/>
            </w:pPr>
            <w:r>
              <w:rPr>
                <w:rFonts w:ascii="Arial" w:cs="Arial" w:eastAsia="Arial" w:hAnsi="Arial"/>
                <w:i w:val="false"/>
                <w:iCs w:val="false"/>
                <w:color w:val="1E293B"/>
                <w:sz w:val="22"/>
                <w:szCs w:val="22"/>
              </w:rPr>
              <w:t xml:space="preserve">▪  Co-design programme with Black-led mental health organisations (e.g. Black Minds Matter, BAATN)</w:t>
            </w:r>
          </w:p>
          <w:p>
            <w:pPr>
              <w:shd w:fill="D1FAE5" w:val="clear"/>
              <w:spacing w:after="60" w:before="60"/>
              <w:ind w:left="160" w:right="160"/>
            </w:pPr>
            <w:r>
              <w:rPr>
                <w:rFonts w:ascii="Arial" w:cs="Arial" w:eastAsia="Arial" w:hAnsi="Arial"/>
                <w:i w:val="false"/>
                <w:iCs w:val="false"/>
                <w:color w:val="1E293B"/>
                <w:sz w:val="22"/>
                <w:szCs w:val="22"/>
              </w:rPr>
              <w:t xml:space="preserve">▪  Evaluate and commission successful pilots within 3 years via NHS England transformation funding</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Recommendation 4: Reform MHA Detention; Fund Crisis 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942" w:sz="6"/>
              <w:left w:val="single" w:color="0F2942" w:sz="6"/>
              <w:bottom w:val="single" w:color="0F2942" w:sz="6"/>
              <w:right w:val="single" w:color="0F2942" w:sz="6"/>
            </w:tcBorders>
            <w:tcMar>
              <w:top w:type="dxa" w:w="0"/>
              <w:left w:type="dxa" w:w="0"/>
              <w:bottom w:type="dxa" w:w="120"/>
              <w:right w:type="dxa" w:w="0"/>
            </w:tcMar>
          </w:tcPr>
          <w:p>
            <w:pPr>
              <w:shd w:fill="0F2942" w:val="clear"/>
              <w:spacing w:after="40" w:before="80"/>
              <w:ind w:left="160" w:right="160"/>
            </w:pPr>
            <w:r>
              <w:rPr>
                <w:rFonts w:ascii="Arial" w:cs="Arial" w:eastAsia="Arial" w:hAnsi="Arial"/>
                <w:b/>
                <w:bCs/>
                <w:caps/>
                <w:color w:val="FFFFFF"/>
                <w:sz w:val="18"/>
                <w:szCs w:val="18"/>
              </w:rPr>
              <w:t xml:space="preserve">PRIORITY: STRUCTURAL REFORM · EVIDENCE: STRONG (WESSELY REVIEW 2018)</w:t>
            </w:r>
          </w:p>
          <w:p>
            <w:pPr>
              <w:shd w:fill="EFF6FF" w:val="clear"/>
              <w:spacing w:after="60" w:before="60"/>
              <w:ind w:left="160" w:right="160"/>
            </w:pPr>
            <w:r>
              <w:rPr>
                <w:rFonts w:ascii="Arial" w:cs="Arial" w:eastAsia="Arial" w:hAnsi="Arial"/>
                <w:i w:val="false"/>
                <w:iCs w:val="false"/>
                <w:color w:val="1E293B"/>
                <w:sz w:val="22"/>
                <w:szCs w:val="22"/>
              </w:rPr>
              <w:t xml:space="preserve">The 4.32× MHA detention rate for Black Caribbean men is not explained by higher rates of severe mental illness alone. It reflects clinician bias, disproportionate police involvement, and the systemic absence of culturally competent voluntary crisis alternatives.</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Crisis house models (voluntary, community-based, culturally affirmative) cost significantly less per bed than hospital admission and demonstrate equivalent or better outcomes for most presentations. The Independent Review of the MHA (Wessely, 2018) recommended this approach; it has not been implemented at scale.</w:t>
            </w:r>
          </w:p>
          <w:p>
            <w:pPr>
              <w:shd w:fill="EFF6FF" w:val="clear"/>
              <w:spacing w:after="60" w:before="60"/>
              <w:ind w:left="160" w:right="160"/>
            </w:pPr>
            <w:r>
              <w:rPr>
                <w:rFonts w:ascii="Arial" w:cs="Arial" w:eastAsia="Arial" w:hAnsi="Arial"/>
                <w:i w:val="false"/>
                <w:iCs w:val="false"/>
                <w:color w:val="1E293B"/>
                <w:sz w:val="22"/>
                <w:szCs w:val="22"/>
              </w:rPr>
              <w:t xml:space="preserve"/>
            </w:r>
          </w:p>
          <w:p>
            <w:pPr>
              <w:shd w:fill="EFF6FF" w:val="clear"/>
              <w:spacing w:after="60" w:before="60"/>
              <w:ind w:left="160" w:right="160"/>
            </w:pPr>
            <w:r>
              <w:rPr>
                <w:rFonts w:ascii="Arial" w:cs="Arial" w:eastAsia="Arial" w:hAnsi="Arial"/>
                <w:i w:val="false"/>
                <w:iCs w:val="false"/>
                <w:color w:val="1E293B"/>
                <w:sz w:val="22"/>
                <w:szCs w:val="22"/>
              </w:rPr>
              <w:t xml:space="preserve">Recommended actions:</w:t>
            </w:r>
          </w:p>
          <w:p>
            <w:pPr>
              <w:shd w:fill="EFF6FF" w:val="clear"/>
              <w:spacing w:after="60" w:before="60"/>
              <w:ind w:left="160" w:right="160"/>
            </w:pPr>
            <w:r>
              <w:rPr>
                <w:rFonts w:ascii="Arial" w:cs="Arial" w:eastAsia="Arial" w:hAnsi="Arial"/>
                <w:i w:val="false"/>
                <w:iCs w:val="false"/>
                <w:color w:val="1E293B"/>
                <w:sz w:val="22"/>
                <w:szCs w:val="22"/>
              </w:rPr>
              <w:t xml:space="preserve">▪  Fund 100 crisis houses in the 20 highest-detention local authorities</w:t>
            </w:r>
          </w:p>
          <w:p>
            <w:pPr>
              <w:shd w:fill="EFF6FF" w:val="clear"/>
              <w:spacing w:after="60" w:before="60"/>
              <w:ind w:left="160" w:right="160"/>
            </w:pPr>
            <w:r>
              <w:rPr>
                <w:rFonts w:ascii="Arial" w:cs="Arial" w:eastAsia="Arial" w:hAnsi="Arial"/>
                <w:i w:val="false"/>
                <w:iCs w:val="false"/>
                <w:color w:val="1E293B"/>
                <w:sz w:val="22"/>
                <w:szCs w:val="22"/>
              </w:rPr>
              <w:t xml:space="preserve">▪  Require all mental health crisis teams to include a clinician as primary contact (not police)</w:t>
            </w:r>
          </w:p>
          <w:p>
            <w:pPr>
              <w:shd w:fill="EFF6FF" w:val="clear"/>
              <w:spacing w:after="60" w:before="60"/>
              <w:ind w:left="160" w:right="160"/>
            </w:pPr>
            <w:r>
              <w:rPr>
                <w:rFonts w:ascii="Arial" w:cs="Arial" w:eastAsia="Arial" w:hAnsi="Arial"/>
                <w:i w:val="false"/>
                <w:iCs w:val="false"/>
                <w:color w:val="1E293B"/>
                <w:sz w:val="22"/>
                <w:szCs w:val="22"/>
              </w:rPr>
              <w:t xml:space="preserve">▪  Publish annual ethnicity data on all MHA detentions disaggregated by provider, region, and referral pathway</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Recommendation 5: Multilingual Crisis Lines and LGBTQ+ Intersectional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B6E" w:sz="6"/>
              <w:left w:val="single" w:color="CA6B6E" w:sz="6"/>
              <w:bottom w:val="single" w:color="CA6B6E" w:sz="6"/>
              <w:right w:val="single" w:color="CA6B6E" w:sz="6"/>
            </w:tcBorders>
            <w:tcMar>
              <w:top w:type="dxa" w:w="0"/>
              <w:left w:type="dxa" w:w="0"/>
              <w:bottom w:type="dxa" w:w="120"/>
              <w:right w:type="dxa" w:w="0"/>
            </w:tcMar>
          </w:tcPr>
          <w:p>
            <w:pPr>
              <w:shd w:fill="CA6B6E" w:val="clear"/>
              <w:spacing w:after="40" w:before="80"/>
              <w:ind w:left="160" w:right="160"/>
            </w:pPr>
            <w:r>
              <w:rPr>
                <w:rFonts w:ascii="Arial" w:cs="Arial" w:eastAsia="Arial" w:hAnsi="Arial"/>
                <w:b/>
                <w:bCs/>
                <w:caps/>
                <w:color w:val="FFFFFF"/>
                <w:sz w:val="18"/>
                <w:szCs w:val="18"/>
              </w:rPr>
              <w:t xml:space="preserve">PRIORITY: URGENT · GAP: SEVERE</w:t>
            </w:r>
          </w:p>
          <w:p>
            <w:pPr>
              <w:shd w:fill="FEE2E2" w:val="clear"/>
              <w:spacing w:after="60" w:before="60"/>
              <w:ind w:left="160" w:right="160"/>
            </w:pPr>
            <w:r>
              <w:rPr>
                <w:rFonts w:ascii="Arial" w:cs="Arial" w:eastAsia="Arial" w:hAnsi="Arial"/>
                <w:i w:val="false"/>
                <w:iCs w:val="false"/>
                <w:color w:val="1E293B"/>
                <w:sz w:val="22"/>
                <w:szCs w:val="22"/>
              </w:rPr>
              <w:t xml:space="preserve">CALM, Samaritans, and Shout operate primarily in English. Multilingual crisis provision in Bengali, Urdu, Somali, Polish, Arabic, and other community languages is minimal and inconsistent. For LGBTQ+ men of colour — the highest-risk intersectional group — dedicated services are severely under-resourced.</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Recommended actions:</w:t>
            </w:r>
          </w:p>
          <w:p>
            <w:pPr>
              <w:shd w:fill="FEE2E2" w:val="clear"/>
              <w:spacing w:after="60" w:before="60"/>
              <w:ind w:left="160" w:right="160"/>
            </w:pPr>
            <w:r>
              <w:rPr>
                <w:rFonts w:ascii="Arial" w:cs="Arial" w:eastAsia="Arial" w:hAnsi="Arial"/>
                <w:i w:val="false"/>
                <w:iCs w:val="false"/>
                <w:color w:val="1E293B"/>
                <w:sz w:val="22"/>
                <w:szCs w:val="22"/>
              </w:rPr>
              <w:t xml:space="preserve">▪  Fund five specialist multilingual crisis line services via DHSC</w:t>
            </w:r>
          </w:p>
          <w:p>
            <w:pPr>
              <w:shd w:fill="FEE2E2" w:val="clear"/>
              <w:spacing w:after="60" w:before="60"/>
              <w:ind w:left="160" w:right="160"/>
            </w:pPr>
            <w:r>
              <w:rPr>
                <w:rFonts w:ascii="Arial" w:cs="Arial" w:eastAsia="Arial" w:hAnsi="Arial"/>
                <w:i w:val="false"/>
                <w:iCs w:val="false"/>
                <w:color w:val="1E293B"/>
                <w:sz w:val="22"/>
                <w:szCs w:val="22"/>
              </w:rPr>
              <w:t xml:space="preserve">▪  Ring-fence LGBTQ+ mental health funding for minority-led organisations with demonstrated reach</w:t>
            </w:r>
          </w:p>
          <w:p>
            <w:pPr>
              <w:shd w:fill="FEE2E2" w:val="clear"/>
              <w:spacing w:after="60" w:before="60"/>
              <w:ind w:left="160" w:right="160"/>
            </w:pPr>
            <w:r>
              <w:rPr>
                <w:rFonts w:ascii="Arial" w:cs="Arial" w:eastAsia="Arial" w:hAnsi="Arial"/>
                <w:i w:val="false"/>
                <w:iCs w:val="false"/>
                <w:color w:val="1E293B"/>
                <w:sz w:val="22"/>
                <w:szCs w:val="22"/>
              </w:rPr>
              <w:t xml:space="preserve">▪  Mandate collection of LGBTQ+ identity alongside ethnicity in all NHS mental health data systems</w:t>
            </w:r>
          </w:p>
        </w:tc>
      </w:tr>
    </w:tbl>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Recommendation 6: Economic and Housing Stability as Suicide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single" w:color="0D9488" w:sz="6"/>
              <w:right w:val="single" w:color="0D9488" w:sz="6"/>
            </w:tcBorders>
            <w:tcMar>
              <w:top w:type="dxa" w:w="0"/>
              <w:left w:type="dxa" w:w="0"/>
              <w:bottom w:type="dxa" w:w="120"/>
              <w:right w:type="dxa" w:w="0"/>
            </w:tcMar>
          </w:tcPr>
          <w:p>
            <w:pPr>
              <w:shd w:fill="0D9488" w:val="clear"/>
              <w:spacing w:after="40" w:before="80"/>
              <w:ind w:left="160" w:right="160"/>
            </w:pPr>
            <w:r>
              <w:rPr>
                <w:rFonts w:ascii="Arial" w:cs="Arial" w:eastAsia="Arial" w:hAnsi="Arial"/>
                <w:b/>
                <w:bCs/>
                <w:caps/>
                <w:color w:val="FFFFFF"/>
                <w:sz w:val="18"/>
                <w:szCs w:val="18"/>
              </w:rPr>
              <w:t xml:space="preserve">PRIORITY: STRUCTURAL · EVIDENCE: STRONG (RCT)</w:t>
            </w:r>
          </w:p>
          <w:p>
            <w:pPr>
              <w:shd w:fill="D1FAE5" w:val="clear"/>
              <w:spacing w:after="60" w:before="60"/>
              <w:ind w:left="160" w:right="160"/>
            </w:pPr>
            <w:r>
              <w:rPr>
                <w:rFonts w:ascii="Arial" w:cs="Arial" w:eastAsia="Arial" w:hAnsi="Arial"/>
                <w:i w:val="false"/>
                <w:iCs w:val="false"/>
                <w:color w:val="1E293B"/>
                <w:sz w:val="22"/>
                <w:szCs w:val="22"/>
              </w:rPr>
              <w:t xml:space="preserve">Unemployment, housing insecurity, and NRPF status are among the strongest modifiable risk factors for male suicide. Individual Placement and Support (IPS) employment programmes have RCT-level evidence for reducing suicide risk in men with mental health conditions, showing outcomes approximately twice as good as standard vocational support.</w:t>
            </w:r>
          </w:p>
          <w:p>
            <w:pPr>
              <w:shd w:fill="D1FAE5" w:val="clear"/>
              <w:spacing w:after="60" w:before="60"/>
              <w:ind w:left="160" w:right="160"/>
            </w:pPr>
            <w:r>
              <w:rPr>
                <w:rFonts w:ascii="Arial" w:cs="Arial" w:eastAsia="Arial" w:hAnsi="Arial"/>
                <w:i w:val="false"/>
                <w:iCs w:val="false"/>
                <w:color w:val="1E293B"/>
                <w:sz w:val="22"/>
                <w:szCs w:val="22"/>
              </w:rPr>
              <w:t xml:space="preserve"/>
            </w:r>
          </w:p>
          <w:p>
            <w:pPr>
              <w:shd w:fill="D1FAE5" w:val="clear"/>
              <w:spacing w:after="60" w:before="60"/>
              <w:ind w:left="160" w:right="160"/>
            </w:pPr>
            <w:r>
              <w:rPr>
                <w:rFonts w:ascii="Arial" w:cs="Arial" w:eastAsia="Arial" w:hAnsi="Arial"/>
                <w:i w:val="false"/>
                <w:iCs w:val="false"/>
                <w:color w:val="1E293B"/>
                <w:sz w:val="22"/>
                <w:szCs w:val="22"/>
              </w:rPr>
              <w:t xml:space="preserve">Recommended actions:</w:t>
            </w:r>
          </w:p>
          <w:p>
            <w:pPr>
              <w:shd w:fill="D1FAE5" w:val="clear"/>
              <w:spacing w:after="60" w:before="60"/>
              <w:ind w:left="160" w:right="160"/>
            </w:pPr>
            <w:r>
              <w:rPr>
                <w:rFonts w:ascii="Arial" w:cs="Arial" w:eastAsia="Arial" w:hAnsi="Arial"/>
                <w:i w:val="false"/>
                <w:iCs w:val="false"/>
                <w:color w:val="1E293B"/>
                <w:sz w:val="22"/>
                <w:szCs w:val="22"/>
              </w:rPr>
              <w:t xml:space="preserve">▪  Scale IPS employment support to all NHS Mental Health Trusts (current coverage is approximately 30%)</w:t>
            </w:r>
          </w:p>
          <w:p>
            <w:pPr>
              <w:shd w:fill="D1FAE5" w:val="clear"/>
              <w:spacing w:after="60" w:before="60"/>
              <w:ind w:left="160" w:right="160"/>
            </w:pPr>
            <w:r>
              <w:rPr>
                <w:rFonts w:ascii="Arial" w:cs="Arial" w:eastAsia="Arial" w:hAnsi="Arial"/>
                <w:i w:val="false"/>
                <w:iCs w:val="false"/>
                <w:color w:val="1E293B"/>
                <w:sz w:val="22"/>
                <w:szCs w:val="22"/>
              </w:rPr>
              <w:t xml:space="preserve">▪  Ring-fence Housing First funding in ten highest-risk local authorities (proven to eliminate rough sleeping and associated mortality)</w:t>
            </w:r>
          </w:p>
          <w:p>
            <w:pPr>
              <w:shd w:fill="D1FAE5" w:val="clear"/>
              <w:spacing w:after="60" w:before="60"/>
              <w:ind w:left="160" w:right="160"/>
            </w:pPr>
            <w:r>
              <w:rPr>
                <w:rFonts w:ascii="Arial" w:cs="Arial" w:eastAsia="Arial" w:hAnsi="Arial"/>
                <w:i w:val="false"/>
                <w:iCs w:val="false"/>
                <w:color w:val="1E293B"/>
                <w:sz w:val="22"/>
                <w:szCs w:val="22"/>
              </w:rPr>
              <w:t xml:space="preserve">▪  Remove NRPF restrictions for mental health emergency access without triggering immigration consequences</w:t>
            </w:r>
          </w:p>
        </w:tc>
      </w:tr>
    </w:tbl>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11. Discussion</w:t>
      </w:r>
    </w:p>
    <w:p>
      <w:pPr>
        <w:pStyle w:val="Heading2"/>
        <w:spacing w:after="120" w:before="300"/>
      </w:pPr>
      <w:r>
        <w:rPr>
          <w:rFonts w:ascii="Arial" w:cs="Arial" w:eastAsia="Arial" w:hAnsi="Arial"/>
          <w:b/>
          <w:bCs/>
          <w:color w:val="0F2942"/>
          <w:sz w:val="26"/>
          <w:szCs w:val="26"/>
        </w:rPr>
        <w:t xml:space="preserve">11.1 The Central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single" w:color="0D9488" w:sz="6"/>
              <w:right w:val="single" w:color="0D9488" w:sz="6"/>
            </w:tcBorders>
            <w:tcMar>
              <w:top w:type="dxa" w:w="0"/>
              <w:left w:type="dxa" w:w="0"/>
              <w:bottom w:type="dxa" w:w="120"/>
              <w:right w:type="dxa" w:w="0"/>
            </w:tcMar>
          </w:tcPr>
          <w:p>
            <w:pPr>
              <w:shd w:fill="0D9488" w:val="clear"/>
              <w:spacing w:after="40" w:before="80"/>
              <w:ind w:left="160" w:right="160"/>
            </w:pPr>
            <w:r>
              <w:rPr>
                <w:rFonts w:ascii="Arial" w:cs="Arial" w:eastAsia="Arial" w:hAnsi="Arial"/>
                <w:b/>
                <w:bCs/>
                <w:caps/>
                <w:color w:val="FFFFFF"/>
                <w:sz w:val="18"/>
                <w:szCs w:val="18"/>
              </w:rPr>
              <w:t xml:space="preserve">KEY FINDING</w:t>
            </w:r>
          </w:p>
          <w:p>
            <w:pPr>
              <w:shd w:fill="D1FAE5" w:val="clear"/>
              <w:spacing w:after="60" w:before="60"/>
              <w:ind w:left="160" w:right="160"/>
            </w:pPr>
            <w:r>
              <w:rPr>
                <w:rFonts w:ascii="Arial" w:cs="Arial" w:eastAsia="Arial" w:hAnsi="Arial"/>
                <w:i w:val="false"/>
                <w:iCs w:val="false"/>
                <w:color w:val="1E293B"/>
                <w:sz w:val="22"/>
                <w:szCs w:val="22"/>
              </w:rPr>
              <w:t xml:space="preserve">The mental health system reaches Black and minority men in crisis — but not before crisis strikes. Men detained under the Mental Health Act at emergency stage are already at the sharpest end of institutional failure. The gap between crisis intervention and preventive care is not a funding gap alone — it is a trust gap, a cultural gap, and a structural gap built into the architecture of NHS service design.</w:t>
            </w:r>
          </w:p>
        </w:tc>
      </w:tr>
    </w:tbl>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This analysis supports a systemic interpretation of male suicide in the UK. The data does not support a model in which individual psychopathology drives mortality rates. Instead, it reveals a pattern in which identifiable structural conditions — austerity, deindustrialisation, institutional racism, housing insecurity, and service design failures — account for the majority of observable variance in male suicide rates across time, geography, ethnicity, and age.</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The 2013–2015 peak is austerity, not epidemiology. The 4.32× MHA detention disparity is institutional racism, not higher disease burden. The 23.8 per 100,000 rate in men aged 45–49 is a service design failure, not individual weakness. Each of these findings points not to the limitations of individual men, but to the limitations of systems designed without them in mind.</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11.2 Theoretical Framing</w:t>
      </w:r>
    </w:p>
    <w:p>
      <w:pPr>
        <w:spacing w:after="120" w:before="80"/>
      </w:pPr>
      <w:r>
        <w:rPr>
          <w:rFonts w:ascii="Arial" w:cs="Arial" w:eastAsia="Arial" w:hAnsi="Arial"/>
          <w:color w:val="1E293B"/>
          <w:sz w:val="22"/>
          <w:szCs w:val="22"/>
        </w:rPr>
        <w:t xml:space="preserve">Durkheim's anomie framework remains remarkably applicable: men in deindustrialised communities have experienced precisely the kind of rapid social norm disruption — the dissolution of the male breadwinner role, the loss of stable employment, the fracturing of community belonging — that Durkheim identified as the proximate social cause of increased suicide risk.</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The Minority Stress Model (Meyer, 2003) provides an account of the specific mechanisms through which structural racism produces psychological distress in minority men, and why standard therapeutic interventions designed for White British populations fail to address it. The excess detention rates are not evidence of greater psychopathology; they are evidence of chronic stress, help-seeking barriers, and crisis-only contact with services calibrated for a different population.</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11.3 Limitations of this Analysis</w:t>
      </w:r>
    </w:p>
    <w:p>
      <w:pPr>
        <w:pStyle w:val="ListParagraph"/>
        <w:numPr>
          <w:ilvl w:val="0"/>
          <w:numId w:val="2"/>
        </w:numPr>
        <w:spacing w:after="60" w:before="60"/>
      </w:pPr>
      <w:r>
        <w:rPr>
          <w:rFonts w:ascii="Arial" w:cs="Arial" w:eastAsia="Arial" w:hAnsi="Arial"/>
          <w:color w:val="1E293B"/>
          <w:sz w:val="22"/>
          <w:szCs w:val="22"/>
        </w:rPr>
        <w:t xml:space="preserve">The 18% missing ethnicity data means all minority-specific findings are likely underestimates. True disparity ratios may be larger than those reported.</w:t>
      </w:r>
    </w:p>
    <w:p>
      <w:pPr>
        <w:pStyle w:val="ListParagraph"/>
        <w:numPr>
          <w:ilvl w:val="0"/>
          <w:numId w:val="2"/>
        </w:numPr>
        <w:spacing w:after="60" w:before="60"/>
      </w:pPr>
      <w:r>
        <w:rPr>
          <w:rFonts w:ascii="Arial" w:cs="Arial" w:eastAsia="Arial" w:hAnsi="Arial"/>
          <w:color w:val="1E293B"/>
          <w:sz w:val="22"/>
          <w:szCs w:val="22"/>
        </w:rPr>
        <w:t xml:space="preserve">Ecological analysis at regional level cannot establish individual-level causation. Deprivation-suicide correlations are indicators, not deterministic predictions.</w:t>
      </w:r>
    </w:p>
    <w:p>
      <w:pPr>
        <w:pStyle w:val="ListParagraph"/>
        <w:numPr>
          <w:ilvl w:val="0"/>
          <w:numId w:val="2"/>
        </w:numPr>
        <w:spacing w:after="60" w:before="60"/>
      </w:pPr>
      <w:r>
        <w:rPr>
          <w:rFonts w:ascii="Arial" w:cs="Arial" w:eastAsia="Arial" w:hAnsi="Arial"/>
          <w:color w:val="1E293B"/>
          <w:sz w:val="22"/>
          <w:szCs w:val="22"/>
        </w:rPr>
        <w:t xml:space="preserve">The COVID pandemic introduced a genuine anomaly in the 2020 data. The mechanisms underlying the 2020 dip remain contested — multiple hypotheses (reduced method access, community solidarity, work-from-home protective effects) are plausible and may operate simultaneously.</w:t>
      </w:r>
    </w:p>
    <w:p>
      <w:pPr>
        <w:pStyle w:val="ListParagraph"/>
        <w:numPr>
          <w:ilvl w:val="0"/>
          <w:numId w:val="2"/>
        </w:numPr>
        <w:spacing w:after="60" w:before="60"/>
      </w:pPr>
      <w:r>
        <w:rPr>
          <w:rFonts w:ascii="Arial" w:cs="Arial" w:eastAsia="Arial" w:hAnsi="Arial"/>
          <w:color w:val="1E293B"/>
          <w:sz w:val="22"/>
          <w:szCs w:val="22"/>
        </w:rPr>
        <w:t xml:space="preserve">IAPT completion data reflects only patients who entered the therapy pathway. It does not capture the likely much larger pool of Black and minority men who never reached initial assessment.</w:t>
      </w:r>
    </w:p>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12. Conclusion</w:t>
      </w:r>
    </w:p>
    <w:p>
      <w:pPr>
        <w:spacing w:after="120" w:before="80"/>
      </w:pPr>
      <w:r>
        <w:rPr>
          <w:rFonts w:ascii="Arial" w:cs="Arial" w:eastAsia="Arial" w:hAnsi="Arial"/>
          <w:color w:val="1E293B"/>
          <w:sz w:val="22"/>
          <w:szCs w:val="22"/>
        </w:rPr>
        <w:t xml:space="preserve">The UK's male suicide crisis is simultaneously a crisis of public health, institutional design, and social justice. It is not primarily a crisis of individual psychological fragility. The men who die are not, in the aggregate, failing themselves — they are being failed by systems, policies, and cultural frameworks that were not designed with their wellbeing in mind.</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The headline statistics — 5,642 deaths in 2022, 75% of all UK suicides, 12.1 per 100,000 — are disturbing enough. But they flatten the inequalities beneath: the Black man detained under compulsion because voluntary services failed him; the 47-year-old former steelworker in Rotherham who fell between every service threshold; the LGBTQ+ man of colour absent from every dataset, dying in a statistical blind spot.</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The data in this report points consistently to six areas for action: mandatory ethnicity data collection; culturally adapted therapy at NHS scale; community-first outreach; Mental Health Act reform with crisis house alternatives; multilingual and LGBTQ+-inclusive crisis services; and economic and housing stability as suicide prevention infrastructure.</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None of these require new knowledge. All of the evidence exists. What they require is political will and the decision that the lives of Black men, minority men, older working-class men, and LGBTQ+ men of colour are worth the institutional commitment to save.</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Every two hours, a man dies by suicide in the United Kingdom. The question this project asks is simple: does that have to continue?</w:t>
      </w:r>
    </w:p>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13. References and Data Sources</w:t>
      </w:r>
    </w:p>
    <w:p>
      <w:pPr>
        <w:pStyle w:val="Heading2"/>
        <w:spacing w:after="120" w:before="300"/>
      </w:pPr>
      <w:r>
        <w:rPr>
          <w:rFonts w:ascii="Arial" w:cs="Arial" w:eastAsia="Arial" w:hAnsi="Arial"/>
          <w:b/>
          <w:bCs/>
          <w:color w:val="0F2942"/>
          <w:sz w:val="26"/>
          <w:szCs w:val="26"/>
        </w:rPr>
        <w:t xml:space="preserve">Primary Data Sources</w:t>
      </w:r>
    </w:p>
    <w:p>
      <w:pPr>
        <w:pStyle w:val="ListParagraph"/>
        <w:numPr>
          <w:ilvl w:val="0"/>
          <w:numId w:val="2"/>
        </w:numPr>
        <w:spacing w:after="60" w:before="60"/>
      </w:pPr>
      <w:r>
        <w:rPr>
          <w:rFonts w:ascii="Arial" w:cs="Arial" w:eastAsia="Arial" w:hAnsi="Arial"/>
          <w:color w:val="1E293B"/>
          <w:sz w:val="22"/>
          <w:szCs w:val="22"/>
        </w:rPr>
        <w:t xml:space="preserve">ONS (2023). Suicides in England and Wales: 2022 registrations. Office for National Statistics. https://www.ons.gov.uk/peoplepopulationandcommunity/birthsdeathsandmarriages/deaths/bulletins/suicidesintheunitedkingdom/2022registrations</w:t>
      </w:r>
    </w:p>
    <w:p>
      <w:pPr>
        <w:pStyle w:val="ListParagraph"/>
        <w:numPr>
          <w:ilvl w:val="0"/>
          <w:numId w:val="2"/>
        </w:numPr>
        <w:spacing w:after="60" w:before="60"/>
      </w:pPr>
      <w:r>
        <w:rPr>
          <w:rFonts w:ascii="Arial" w:cs="Arial" w:eastAsia="Arial" w:hAnsi="Arial"/>
          <w:color w:val="1E293B"/>
          <w:sz w:val="22"/>
          <w:szCs w:val="22"/>
        </w:rPr>
        <w:t xml:space="preserve">NHS Digital (2023). NHS Talking Therapies (IAPT) Statistics, Annual Report 2022/23. https://digital.nhs.uk/data-and-information/publications/statistical/psychological-therapies-report-on-the-use-of-iapt-services</w:t>
      </w:r>
    </w:p>
    <w:p>
      <w:pPr>
        <w:pStyle w:val="ListParagraph"/>
        <w:numPr>
          <w:ilvl w:val="0"/>
          <w:numId w:val="2"/>
        </w:numPr>
        <w:spacing w:after="60" w:before="60"/>
      </w:pPr>
      <w:r>
        <w:rPr>
          <w:rFonts w:ascii="Arial" w:cs="Arial" w:eastAsia="Arial" w:hAnsi="Arial"/>
          <w:color w:val="1E293B"/>
          <w:sz w:val="22"/>
          <w:szCs w:val="22"/>
        </w:rPr>
        <w:t xml:space="preserve">NHS Digital (2023). Mental Health Bulletin: Annual Report 2022/23. https://digital.nhs.uk/data-and-information/publications/statistical/mental-health-bulletin</w:t>
      </w:r>
    </w:p>
    <w:p>
      <w:pPr>
        <w:pStyle w:val="ListParagraph"/>
        <w:numPr>
          <w:ilvl w:val="0"/>
          <w:numId w:val="2"/>
        </w:numPr>
        <w:spacing w:after="60" w:before="60"/>
      </w:pPr>
      <w:r>
        <w:rPr>
          <w:rFonts w:ascii="Arial" w:cs="Arial" w:eastAsia="Arial" w:hAnsi="Arial"/>
          <w:color w:val="1E293B"/>
          <w:sz w:val="22"/>
          <w:szCs w:val="22"/>
        </w:rPr>
        <w:t xml:space="preserve">Samaritans (2023). Suicide Statistics Report. https://www.samaritans.org/about-samaritans/research-policy/suicide-facts-and-figures/</w:t>
      </w:r>
    </w:p>
    <w:p>
      <w:pPr>
        <w:pStyle w:val="ListParagraph"/>
        <w:numPr>
          <w:ilvl w:val="0"/>
          <w:numId w:val="2"/>
        </w:numPr>
        <w:spacing w:after="60" w:before="60"/>
      </w:pPr>
      <w:r>
        <w:rPr>
          <w:rFonts w:ascii="Arial" w:cs="Arial" w:eastAsia="Arial" w:hAnsi="Arial"/>
          <w:color w:val="1E293B"/>
          <w:sz w:val="22"/>
          <w:szCs w:val="22"/>
        </w:rPr>
        <w:t xml:space="preserve">Public Health Scotland (2023). Deaths by Suicide in Scotland. https://www.publichealthscotland.scot/publications/deaths-by-suicide-in-scotland/</w:t>
      </w:r>
    </w:p>
    <w:p>
      <w:pPr>
        <w:pStyle w:val="ListParagraph"/>
        <w:numPr>
          <w:ilvl w:val="0"/>
          <w:numId w:val="2"/>
        </w:numPr>
        <w:spacing w:after="60" w:before="60"/>
      </w:pPr>
      <w:r>
        <w:rPr>
          <w:rFonts w:ascii="Arial" w:cs="Arial" w:eastAsia="Arial" w:hAnsi="Arial"/>
          <w:color w:val="1E293B"/>
          <w:sz w:val="22"/>
          <w:szCs w:val="22"/>
        </w:rPr>
        <w:t>NISRA (2023). Suicide Statistics: Figures for London, UK. https://www.nisra.gov.uk/statistics/cause-death/suicide</w:t>
      </w:r>
    </w:p>
    <w:p>
      <w:pPr>
        <w:pStyle w:val="ListParagraph"/>
        <w:numPr>
          <w:ilvl w:val="0"/>
          <w:numId w:val="2"/>
        </w:numPr>
        <w:spacing w:after="60" w:before="60"/>
      </w:pPr>
      <w:r>
        <w:rPr>
          <w:rFonts w:ascii="Arial" w:cs="Arial" w:eastAsia="Arial" w:hAnsi="Arial"/>
          <w:color w:val="1E293B"/>
          <w:sz w:val="22"/>
          <w:szCs w:val="22"/>
        </w:rPr>
        <w:t xml:space="preserve">ONS (2023). Census 2021: Ethnic Group, England and Wales. https://www.ons.gov.uk/peoplepopulationandcommunity/culturalidentity/ethnicity</w:t>
      </w:r>
    </w:p>
    <w:p>
      <w:pPr>
        <w:pStyle w:val="ListParagraph"/>
        <w:numPr>
          <w:ilvl w:val="0"/>
          <w:numId w:val="2"/>
        </w:numPr>
        <w:spacing w:after="60" w:before="60"/>
      </w:pPr>
      <w:r>
        <w:rPr>
          <w:rFonts w:ascii="Arial" w:cs="Arial" w:eastAsia="Arial" w:hAnsi="Arial"/>
          <w:color w:val="1E293B"/>
          <w:sz w:val="22"/>
          <w:szCs w:val="22"/>
        </w:rPr>
        <w:t xml:space="preserve">MHCLG (2019). English Indices of Deprivation 2019. https://www.gov.uk/government/statistics/english-indices-of-deprivation-2019</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Academic and Policy Literature</w:t>
      </w:r>
    </w:p>
    <w:p>
      <w:pPr>
        <w:pStyle w:val="ListParagraph"/>
        <w:numPr>
          <w:ilvl w:val="0"/>
          <w:numId w:val="2"/>
        </w:numPr>
        <w:spacing w:after="60" w:before="60"/>
      </w:pPr>
      <w:r>
        <w:rPr>
          <w:rFonts w:ascii="Arial" w:cs="Arial" w:eastAsia="Arial" w:hAnsi="Arial"/>
          <w:color w:val="1E293B"/>
          <w:sz w:val="22"/>
          <w:szCs w:val="22"/>
        </w:rPr>
        <w:t xml:space="preserve">Barr, B., Taylor-Robinson, D., Scott-Samuel, A., McKee, M., &amp; Stuckler, D. (2012). Suicides associated with the 2008-10 economic recession in England. BMJ, 345, e5142.</w:t>
      </w:r>
    </w:p>
    <w:p>
      <w:pPr>
        <w:pStyle w:val="ListParagraph"/>
        <w:numPr>
          <w:ilvl w:val="0"/>
          <w:numId w:val="2"/>
        </w:numPr>
        <w:spacing w:after="60" w:before="60"/>
      </w:pPr>
      <w:r>
        <w:rPr>
          <w:rFonts w:ascii="Arial" w:cs="Arial" w:eastAsia="Arial" w:hAnsi="Arial"/>
          <w:color w:val="1E293B"/>
          <w:sz w:val="22"/>
          <w:szCs w:val="22"/>
        </w:rPr>
        <w:t xml:space="preserve">Bhui, K., McKenzie, K., &amp; Rasul, F. (2007). Rates, risk factors and methods of self harm among minority ethnic groups in the UK. BMC Public Health, 7, 336.</w:t>
      </w:r>
    </w:p>
    <w:p>
      <w:pPr>
        <w:pStyle w:val="ListParagraph"/>
        <w:numPr>
          <w:ilvl w:val="0"/>
          <w:numId w:val="2"/>
        </w:numPr>
        <w:spacing w:after="60" w:before="60"/>
      </w:pPr>
      <w:r>
        <w:rPr>
          <w:rFonts w:ascii="Arial" w:cs="Arial" w:eastAsia="Arial" w:hAnsi="Arial"/>
          <w:color w:val="1E293B"/>
          <w:sz w:val="22"/>
          <w:szCs w:val="22"/>
        </w:rPr>
        <w:t xml:space="preserve">Case, A., &amp; Deaton, A. (2015). Rising morbidity and mortality in midlife among white non-Hispanic Americans in the 21st century. PNAS, 112(49), 15078-15083.</w:t>
      </w:r>
    </w:p>
    <w:p>
      <w:pPr>
        <w:pStyle w:val="ListParagraph"/>
        <w:numPr>
          <w:ilvl w:val="0"/>
          <w:numId w:val="2"/>
        </w:numPr>
        <w:spacing w:after="60" w:before="60"/>
      </w:pPr>
      <w:r>
        <w:rPr>
          <w:rFonts w:ascii="Arial" w:cs="Arial" w:eastAsia="Arial" w:hAnsi="Arial"/>
          <w:color w:val="1E293B"/>
          <w:sz w:val="22"/>
          <w:szCs w:val="22"/>
        </w:rPr>
        <w:t xml:space="preserve">Durkheim, E. (1897/1951). Suicide: A Study in Sociology. (J.A. Spaulding &amp; G. Simpson, Trans.). Free Press.</w:t>
      </w:r>
    </w:p>
    <w:p>
      <w:pPr>
        <w:pStyle w:val="ListParagraph"/>
        <w:numPr>
          <w:ilvl w:val="0"/>
          <w:numId w:val="2"/>
        </w:numPr>
        <w:spacing w:after="60" w:before="60"/>
      </w:pPr>
      <w:r>
        <w:rPr>
          <w:rFonts w:ascii="Arial" w:cs="Arial" w:eastAsia="Arial" w:hAnsi="Arial"/>
          <w:color w:val="1E293B"/>
          <w:sz w:val="22"/>
          <w:szCs w:val="22"/>
        </w:rPr>
        <w:t xml:space="preserve">King, M., Semlyen, J., Tai, S.S., et al. (2008). A systematic review of mental disorder, suicide, and deliberate self harm in lesbian, gay and bisexual people. BMC Psychiatry, 8, 70.</w:t>
      </w:r>
    </w:p>
    <w:p>
      <w:pPr>
        <w:pStyle w:val="ListParagraph"/>
        <w:numPr>
          <w:ilvl w:val="0"/>
          <w:numId w:val="2"/>
        </w:numPr>
        <w:spacing w:after="60" w:before="60"/>
      </w:pPr>
      <w:r>
        <w:rPr>
          <w:rFonts w:ascii="Arial" w:cs="Arial" w:eastAsia="Arial" w:hAnsi="Arial"/>
          <w:color w:val="1E293B"/>
          <w:sz w:val="22"/>
          <w:szCs w:val="22"/>
        </w:rPr>
        <w:t xml:space="preserve">Marmot, M. (2010). Fair Society, Healthy Lives: The Marmot Review. UCL Institute of Health Equity.</w:t>
      </w:r>
    </w:p>
    <w:p>
      <w:pPr>
        <w:pStyle w:val="ListParagraph"/>
        <w:numPr>
          <w:ilvl w:val="0"/>
          <w:numId w:val="2"/>
        </w:numPr>
        <w:spacing w:after="60" w:before="60"/>
      </w:pPr>
      <w:r>
        <w:rPr>
          <w:rFonts w:ascii="Arial" w:cs="Arial" w:eastAsia="Arial" w:hAnsi="Arial"/>
          <w:color w:val="1E293B"/>
          <w:sz w:val="22"/>
          <w:szCs w:val="22"/>
        </w:rPr>
        <w:t xml:space="preserve">Meyer, I.H. (2003). Prejudice, social stress, and mental health in lesbian, gay, and bisexual populations. Psychological Bulletin, 129(5), 674-697.</w:t>
      </w:r>
    </w:p>
    <w:p>
      <w:pPr>
        <w:pStyle w:val="ListParagraph"/>
        <w:numPr>
          <w:ilvl w:val="0"/>
          <w:numId w:val="2"/>
        </w:numPr>
        <w:spacing w:after="60" w:before="60"/>
      </w:pPr>
      <w:r>
        <w:rPr>
          <w:rFonts w:ascii="Arial" w:cs="Arial" w:eastAsia="Arial" w:hAnsi="Arial"/>
          <w:color w:val="1E293B"/>
          <w:sz w:val="22"/>
          <w:szCs w:val="22"/>
        </w:rPr>
        <w:t xml:space="preserve">Stack, S. (2000). Suicide: A 15-year review of the sociological literature. Part I: Cultural and economic factors. Suicide and Life-Threatening Behavior, 30(2), 145-162.</w:t>
      </w:r>
    </w:p>
    <w:p>
      <w:pPr>
        <w:pStyle w:val="ListParagraph"/>
        <w:numPr>
          <w:ilvl w:val="0"/>
          <w:numId w:val="2"/>
        </w:numPr>
        <w:spacing w:after="60" w:before="60"/>
      </w:pPr>
      <w:r>
        <w:rPr>
          <w:rFonts w:ascii="Arial" w:cs="Arial" w:eastAsia="Arial" w:hAnsi="Arial"/>
          <w:color w:val="1E293B"/>
          <w:sz w:val="22"/>
          <w:szCs w:val="22"/>
        </w:rPr>
        <w:t xml:space="preserve">Wessely, S. (2018). Modernising the Mental Health Act: Increasing choice, reducing compulsion. Independent Review of the MHA 1983. HMSO.</w:t>
      </w:r>
    </w:p>
    <w:p>
      <w:pPr>
        <w:pStyle w:val="ListParagraph"/>
        <w:numPr>
          <w:ilvl w:val="0"/>
          <w:numId w:val="2"/>
        </w:numPr>
        <w:spacing w:after="60" w:before="60"/>
      </w:pPr>
      <w:r>
        <w:rPr>
          <w:rFonts w:ascii="Arial" w:cs="Arial" w:eastAsia="Arial" w:hAnsi="Arial"/>
          <w:color w:val="1E293B"/>
          <w:sz w:val="22"/>
          <w:szCs w:val="22"/>
        </w:rPr>
        <w:t xml:space="preserve">Windfuhr, K., &amp; Kapur, N. (2011). Suicide and mental illness: A clinical review of 15 years findings from the UK National Confidential Inquiry. British Medical Bulletin, 100(1), 101-121.</w:t>
      </w:r>
    </w:p>
    <w:p>
      <w:pPr>
        <w:pStyle w:val="ListParagraph"/>
        <w:numPr>
          <w:ilvl w:val="0"/>
          <w:numId w:val="2"/>
        </w:numPr>
        <w:spacing w:after="60" w:before="60"/>
      </w:pPr>
      <w:r>
        <w:rPr>
          <w:rFonts w:ascii="Arial" w:cs="Arial" w:eastAsia="Arial" w:hAnsi="Arial"/>
          <w:color w:val="1E293B"/>
          <w:sz w:val="22"/>
          <w:szCs w:val="22"/>
        </w:rPr>
        <w:t xml:space="preserve">DHSC (2023). Suicide prevention strategy for England: 2023 to 2028. Department of Health and Social Care.</w:t>
      </w:r>
    </w:p>
    <w:p>
      <w:pPr>
        <w:spacing w:after="120" w:before="120"/>
      </w:pPr>
      <w:r>
        <w:rPr>
          <w:rFonts w:ascii="Arial" w:cs="Arial" w:eastAsia="Arial" w:hAnsi="Arial"/>
        </w:rPr>
        <w:t xml:space="preserve"/>
      </w:r>
    </w:p>
    <w:p>
      <w:r>
        <w:br w:type="page"/>
      </w:r>
    </w:p>
    <w:p>
      <w:pPr>
        <w:pStyle w:val="Heading1"/>
        <w:pBdr>
          <w:bottom w:val="single" w:color="0D9488" w:sz="4" w:space="6"/>
        </w:pBdr>
        <w:spacing w:after="200" w:before="360"/>
      </w:pPr>
      <w:r>
        <w:rPr>
          <w:rFonts w:ascii="Arial" w:cs="Arial" w:eastAsia="Arial" w:hAnsi="Arial"/>
          <w:b/>
          <w:bCs/>
          <w:color w:val="0F2942"/>
          <w:sz w:val="32"/>
          <w:szCs w:val="32"/>
        </w:rPr>
        <w:t xml:space="preserve">14. About this Project</w:t>
      </w:r>
    </w:p>
    <w:p>
      <w:pPr>
        <w:pStyle w:val="Heading2"/>
        <w:spacing w:after="120" w:before="300"/>
      </w:pPr>
      <w:r>
        <w:rPr>
          <w:rFonts w:ascii="Arial" w:cs="Arial" w:eastAsia="Arial" w:hAnsi="Arial"/>
          <w:b/>
          <w:bCs/>
          <w:color w:val="0F2942"/>
          <w:sz w:val="26"/>
          <w:szCs w:val="26"/>
        </w:rPr>
        <w:t xml:space="preserve">Researcher</w:t>
      </w:r>
    </w:p>
    <w:p>
      <w:pPr>
        <w:spacing w:after="120" w:before="80"/>
      </w:pPr>
      <w:r>
        <w:rPr>
          <w:rFonts w:ascii="Arial" w:cs="Arial" w:eastAsia="Arial" w:hAnsi="Arial"/>
          <w:color w:val="1E293B"/>
          <w:sz w:val="22"/>
          <w:szCs w:val="22"/>
        </w:rPr>
        <w:t>Kudzanayi Shepherd Mhlanga is a Senior PSV (Public Service Vehicle) mechanic based in London, England, transitioning into data analytics. Originally from Harare, Zimbabwe. This project was developed as part of a self-directed data analytics portfolio.</w:t>
      </w:r>
    </w:p>
    <w:p>
      <w:pPr>
        <w:spacing w:after="60" w:before="60"/>
      </w:pPr>
      <w:r>
        <w:rPr>
          <w:rFonts w:ascii="Arial" w:cs="Arial" w:eastAsia="Arial" w:hAnsi="Arial"/>
        </w:rPr>
        <w:t xml:space="preserve"/>
      </w:r>
    </w:p>
    <w:p>
      <w:pPr>
        <w:spacing w:after="120" w:before="80"/>
      </w:pPr>
      <w:r>
        <w:rPr>
          <w:rFonts w:ascii="Arial" w:cs="Arial" w:eastAsia="Arial" w:hAnsi="Arial"/>
          <w:color w:val="1E293B"/>
          <w:sz w:val="22"/>
          <w:szCs w:val="22"/>
        </w:rPr>
        <w:t xml:space="preserve">The focus on ethnic minority men and the structural dimensions of mental health failure is deliberate and personal. As a Black man working in a predominantly White British profession, navigating UK immigration systems, and building a life far from family and the community structures of home, the experience of institutional invisibility is not abstract. This project is an attempt to make that invisibility quantifiable — and therefore harder to ignore.</w:t>
      </w:r>
    </w:p>
    <w:p>
      <w:pPr>
        <w:spacing w:after="60" w:before="60"/>
      </w:pPr>
      <w:r>
        <w:rPr>
          <w:rFonts w:ascii="Arial" w:cs="Arial" w:eastAsia="Arial" w:hAnsi="Arial"/>
        </w:rPr>
        <w:t xml:space="preserve"/>
      </w:r>
    </w:p>
    <w:p>
      <w:pPr>
        <w:pStyle w:val="Heading2"/>
        <w:spacing w:after="120" w:before="300"/>
      </w:pPr>
      <w:r>
        <w:rPr>
          <w:rFonts w:ascii="Arial" w:cs="Arial" w:eastAsia="Arial" w:hAnsi="Arial"/>
          <w:b/>
          <w:bCs/>
          <w:color w:val="0F2942"/>
          <w:sz w:val="26"/>
          <w:szCs w:val="26"/>
        </w:rPr>
        <w:t xml:space="preserve">Project Links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0F2942"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Live Data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https://silent-burden-uk.vercel.app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https://github.com/ksmhlanga/UK_Silent_Crisis_Project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Portfolio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https://datascienceportfol.io/ksmhlanga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Contact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1E293B"/>
                <w:sz w:val="20"/>
                <w:szCs w:val="20"/>
              </w:rPr>
              <w:t xml:space="preserve">ksmhlanga@gmail.com</w:t>
            </w:r>
          </w:p>
        </w:tc>
      </w:tr>
    </w:tbl>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B6E" w:sz="6"/>
              <w:left w:val="single" w:color="CA6B6E" w:sz="6"/>
              <w:bottom w:val="single" w:color="CA6B6E" w:sz="6"/>
              <w:right w:val="single" w:color="CA6B6E" w:sz="6"/>
            </w:tcBorders>
            <w:tcMar>
              <w:top w:type="dxa" w:w="0"/>
              <w:left w:type="dxa" w:w="0"/>
              <w:bottom w:type="dxa" w:w="120"/>
              <w:right w:type="dxa" w:w="0"/>
            </w:tcMar>
          </w:tcPr>
          <w:p>
            <w:pPr>
              <w:shd w:fill="CA6B6E" w:val="clear"/>
              <w:spacing w:after="40" w:before="80"/>
              <w:ind w:left="160" w:right="160"/>
            </w:pPr>
            <w:r>
              <w:rPr>
                <w:rFonts w:ascii="Arial" w:cs="Arial" w:eastAsia="Arial" w:hAnsi="Arial"/>
                <w:b/>
                <w:bCs/>
                <w:caps/>
                <w:color w:val="FFFFFF"/>
                <w:sz w:val="18"/>
                <w:szCs w:val="18"/>
              </w:rPr>
              <w:t xml:space="preserve">CRISIS SUPPORT — PLEASE READ</w:t>
            </w:r>
          </w:p>
          <w:p>
            <w:pPr>
              <w:shd w:fill="FEE2E2" w:val="clear"/>
              <w:spacing w:after="60" w:before="60"/>
              <w:ind w:left="160" w:right="160"/>
            </w:pPr>
            <w:r>
              <w:rPr>
                <w:rFonts w:ascii="Arial" w:cs="Arial" w:eastAsia="Arial" w:hAnsi="Arial"/>
                <w:i w:val="false"/>
                <w:iCs w:val="false"/>
                <w:color w:val="1E293B"/>
                <w:sz w:val="22"/>
                <w:szCs w:val="22"/>
              </w:rPr>
              <w:t xml:space="preserve">If you or someone you know is experiencing a mental health crisis:</w:t>
            </w:r>
          </w:p>
          <w:p>
            <w:pPr>
              <w:shd w:fill="FEE2E2" w:val="clear"/>
              <w:spacing w:after="60" w:before="60"/>
              <w:ind w:left="160" w:right="160"/>
            </w:pPr>
            <w:r>
              <w:rPr>
                <w:rFonts w:ascii="Arial" w:cs="Arial" w:eastAsia="Arial" w:hAnsi="Arial"/>
                <w:i w:val="false"/>
                <w:iCs w:val="false"/>
                <w:color w:val="1E293B"/>
                <w:sz w:val="22"/>
                <w:szCs w:val="22"/>
              </w:rPr>
              <w:t xml:space="preserve"/>
            </w:r>
          </w:p>
          <w:p>
            <w:pPr>
              <w:shd w:fill="FEE2E2" w:val="clear"/>
              <w:spacing w:after="60" w:before="60"/>
              <w:ind w:left="160" w:right="160"/>
            </w:pPr>
            <w:r>
              <w:rPr>
                <w:rFonts w:ascii="Arial" w:cs="Arial" w:eastAsia="Arial" w:hAnsi="Arial"/>
                <w:i w:val="false"/>
                <w:iCs w:val="false"/>
                <w:color w:val="1E293B"/>
                <w:sz w:val="22"/>
                <w:szCs w:val="22"/>
              </w:rPr>
              <w:t xml:space="preserve">▪  Samaritans: 116 123 (free, 24/7, any reason)</w:t>
            </w:r>
          </w:p>
          <w:p>
            <w:pPr>
              <w:shd w:fill="FEE2E2" w:val="clear"/>
              <w:spacing w:after="60" w:before="60"/>
              <w:ind w:left="160" w:right="160"/>
            </w:pPr>
            <w:r>
              <w:rPr>
                <w:rFonts w:ascii="Arial" w:cs="Arial" w:eastAsia="Arial" w:hAnsi="Arial"/>
                <w:i w:val="false"/>
                <w:iCs w:val="false"/>
                <w:color w:val="1E293B"/>
                <w:sz w:val="22"/>
                <w:szCs w:val="22"/>
              </w:rPr>
              <w:t xml:space="preserve">▪  CALM (Campaign Against Living Miserably): 0800 58 58 58</w:t>
            </w:r>
          </w:p>
          <w:p>
            <w:pPr>
              <w:shd w:fill="FEE2E2" w:val="clear"/>
              <w:spacing w:after="60" w:before="60"/>
              <w:ind w:left="160" w:right="160"/>
            </w:pPr>
            <w:r>
              <w:rPr>
                <w:rFonts w:ascii="Arial" w:cs="Arial" w:eastAsia="Arial" w:hAnsi="Arial"/>
                <w:i w:val="false"/>
                <w:iCs w:val="false"/>
                <w:color w:val="1E293B"/>
                <w:sz w:val="22"/>
                <w:szCs w:val="22"/>
              </w:rPr>
              <w:t xml:space="preserve">▪  Shout: Text SHOUT to 85258 (24/7 text support)</w:t>
            </w:r>
          </w:p>
          <w:p>
            <w:pPr>
              <w:shd w:fill="FEE2E2" w:val="clear"/>
              <w:spacing w:after="60" w:before="60"/>
              <w:ind w:left="160" w:right="160"/>
            </w:pPr>
            <w:r>
              <w:rPr>
                <w:rFonts w:ascii="Arial" w:cs="Arial" w:eastAsia="Arial" w:hAnsi="Arial"/>
                <w:i w:val="false"/>
                <w:iCs w:val="false"/>
                <w:color w:val="1E293B"/>
                <w:sz w:val="22"/>
                <w:szCs w:val="22"/>
              </w:rPr>
              <w:t xml:space="preserve">▪  Black Minds Matter: blackmindsmatteruk.com</w:t>
            </w:r>
          </w:p>
          <w:p>
            <w:pPr>
              <w:shd w:fill="FEE2E2" w:val="clear"/>
              <w:spacing w:after="60" w:before="60"/>
              <w:ind w:left="160" w:right="160"/>
            </w:pPr>
            <w:r>
              <w:rPr>
                <w:rFonts w:ascii="Arial" w:cs="Arial" w:eastAsia="Arial" w:hAnsi="Arial"/>
                <w:i w:val="false"/>
                <w:iCs w:val="false"/>
                <w:color w:val="1E293B"/>
                <w:sz w:val="22"/>
                <w:szCs w:val="22"/>
              </w:rPr>
              <w:t xml:space="preserve">▪  BAATN (Black, African and Asian Therapy Network): baatn.org.uk</w:t>
            </w:r>
          </w:p>
          <w:p>
            <w:pPr>
              <w:shd w:fill="FEE2E2" w:val="clear"/>
              <w:spacing w:after="60" w:before="60"/>
              <w:ind w:left="160" w:right="160"/>
            </w:pPr>
            <w:r>
              <w:rPr>
                <w:rFonts w:ascii="Arial" w:cs="Arial" w:eastAsia="Arial" w:hAnsi="Arial"/>
                <w:i w:val="false"/>
                <w:iCs w:val="false"/>
                <w:color w:val="1E293B"/>
                <w:sz w:val="22"/>
                <w:szCs w:val="22"/>
              </w:rPr>
              <w:t xml:space="preserve">▪  Switchboard LGBT+: 0300 330 0630</w:t>
            </w:r>
          </w:p>
          <w:p>
            <w:pPr>
              <w:shd w:fill="FEE2E2" w:val="clear"/>
              <w:spacing w:after="60" w:before="60"/>
              <w:ind w:left="160" w:right="160"/>
            </w:pPr>
            <w:r>
              <w:rPr>
                <w:rFonts w:ascii="Arial" w:cs="Arial" w:eastAsia="Arial" w:hAnsi="Arial"/>
                <w:i w:val="false"/>
                <w:iCs w:val="false"/>
                <w:color w:val="1E293B"/>
                <w:sz w:val="22"/>
                <w:szCs w:val="22"/>
              </w:rPr>
              <w:t xml:space="preserve">▪  NHS Emergency: 999 or A&amp;E if in immediate danger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pPr>
    <w:r>
      <w:rPr>
        <w:rFonts w:ascii="Arial" w:cs="Arial" w:eastAsia="Arial" w:hAnsi="Arial"/>
        <w:color w:val="64748B"/>
        <w:sz w:val="16"/>
        <w:szCs w:val="16"/>
      </w:rPr>
      <w:t xml:space="preserve">Data: ONS · NHS Digital · IAPT · MHA Reports · Samaritans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ONS (2023). Suicides in England and Wales: 2022 registrations. Office for National Statistics.</w:t>
      </w:r>
    </w:p>
  </w:footnote>
  <w:footnote w:id="2">
    <w:p>
      <w:r>
        <w:rPr>
          <w:rStyle w:val="FootnoteReference"/>
        </w:rPr>
        <w:footnoteRef/>
      </w:r>
      <w:r>
        <w:rPr>
          <w:rFonts w:ascii="Arial" w:cs="Arial" w:eastAsia="Arial" w:hAnsi="Arial"/>
          <w:sz w:val="18"/>
          <w:szCs w:val="18"/>
        </w:rPr>
        <w:t xml:space="preserve">Samaritans (2023). Suicide Statistics Report. Samaritans.</w:t>
      </w:r>
    </w:p>
  </w:footnote>
  <w:footnote w:id="3">
    <w:p>
      <w:r>
        <w:rPr>
          <w:rStyle w:val="FootnoteReference"/>
        </w:rPr>
        <w:footnoteRef/>
      </w:r>
      <w:r>
        <w:rPr>
          <w:rFonts w:ascii="Arial" w:cs="Arial" w:eastAsia="Arial" w:hAnsi="Arial"/>
          <w:sz w:val="18"/>
          <w:szCs w:val="18"/>
        </w:rPr>
        <w:t xml:space="preserve">NHS Digital (2023). Mental Health Bulletin: Annual report 2022/23.</w:t>
      </w:r>
    </w:p>
  </w:footnote>
  <w:footnote w:id="4">
    <w:p>
      <w:r>
        <w:rPr>
          <w:rStyle w:val="FootnoteReference"/>
        </w:rPr>
        <w:footnoteRef/>
      </w:r>
      <w:r>
        <w:rPr>
          <w:rFonts w:ascii="Arial" w:cs="Arial" w:eastAsia="Arial" w:hAnsi="Arial"/>
          <w:sz w:val="18"/>
          <w:szCs w:val="18"/>
        </w:rPr>
        <w:t xml:space="preserve">NHS Digital (2023). NHS Talking Therapies (IAPT) Statistics, Annual Report 2022/23.</w:t>
      </w:r>
    </w:p>
  </w:footnote>
  <w:footnote w:id="5">
    <w:p>
      <w:r>
        <w:rPr>
          <w:rStyle w:val="FootnoteReference"/>
        </w:rPr>
        <w:footnoteRef/>
      </w:r>
      <w:r>
        <w:rPr>
          <w:rFonts w:ascii="Arial" w:cs="Arial" w:eastAsia="Arial" w:hAnsi="Arial"/>
          <w:sz w:val="18"/>
          <w:szCs w:val="18"/>
        </w:rPr>
        <w:t xml:space="preserve">Barr, B., Taylor-Robinson, D., Scott-Samuel, A., McKee, M., &amp; Stuckler, D. (2012). Suicides associated with the 2008-10 economic recession in England. BMJ, 345, e5142.</w:t>
      </w:r>
    </w:p>
  </w:footnote>
  <w:footnote w:id="6">
    <w:p>
      <w:r>
        <w:rPr>
          <w:rStyle w:val="FootnoteReference"/>
        </w:rPr>
        <w:footnoteRef/>
      </w:r>
      <w:r>
        <w:rPr>
          <w:rFonts w:ascii="Arial" w:cs="Arial" w:eastAsia="Arial" w:hAnsi="Arial"/>
          <w:sz w:val="18"/>
          <w:szCs w:val="18"/>
        </w:rPr>
        <w:t xml:space="preserve">Blakely, T.A., Collings, S.C., &amp; Atkinson, J. (2003). Unemployment and suicide. Evidence for a causal association? J Epidemiol Community Health, 57(8), 594-600.</w:t>
      </w:r>
    </w:p>
  </w:footnote>
  <w:footnote w:id="7">
    <w:p>
      <w:r>
        <w:rPr>
          <w:rStyle w:val="FootnoteReference"/>
        </w:rPr>
        <w:footnoteRef/>
      </w:r>
      <w:r>
        <w:rPr>
          <w:rFonts w:ascii="Arial" w:cs="Arial" w:eastAsia="Arial" w:hAnsi="Arial"/>
          <w:sz w:val="18"/>
          <w:szCs w:val="18"/>
        </w:rPr>
        <w:t xml:space="preserve">Meyer, I.H. (2003). Prejudice, social stress, and mental health in lesbian, gay, and bisexual populations. Psychological Bulletin, 129(5), 674-697.</w:t>
      </w:r>
    </w:p>
  </w:footnote>
  <w:footnote w:id="8">
    <w:p>
      <w:r>
        <w:rPr>
          <w:rStyle w:val="FootnoteReference"/>
        </w:rPr>
        <w:footnoteRef/>
      </w:r>
      <w:r>
        <w:rPr>
          <w:rFonts w:ascii="Arial" w:cs="Arial" w:eastAsia="Arial" w:hAnsi="Arial"/>
          <w:sz w:val="18"/>
          <w:szCs w:val="18"/>
        </w:rPr>
        <w:t xml:space="preserve">King, M., Semlyen, J., Tai, S.S., Killaspy, H., Osborn, D., Popelyuk, D., &amp; Nazareth, I. (2008). A systematic review of mental disorder, suicide, and deliberate self harm in lesbian, gay and bisexual people. BMC Psychiatry, 8, 70.</w:t>
      </w:r>
    </w:p>
  </w:footnote>
  <w:footnote w:id="9">
    <w:p>
      <w:r>
        <w:rPr>
          <w:rStyle w:val="FootnoteReference"/>
        </w:rPr>
        <w:footnoteRef/>
      </w:r>
      <w:r>
        <w:rPr>
          <w:rFonts w:ascii="Arial" w:cs="Arial" w:eastAsia="Arial" w:hAnsi="Arial"/>
          <w:sz w:val="18"/>
          <w:szCs w:val="18"/>
        </w:rPr>
        <w:t xml:space="preserve">Wessely, S. (2018). Modernising the Mental Health Act: Increasing choice, reducing compulsion. Independent Review of the Mental Health Act 1983. HMSO.</w:t>
      </w:r>
    </w:p>
  </w:footnote>
  <w:footnote w:id="10">
    <w:p>
      <w:r>
        <w:rPr>
          <w:rStyle w:val="FootnoteReference"/>
        </w:rPr>
        <w:footnoteRef/>
      </w:r>
      <w:r>
        <w:rPr>
          <w:rFonts w:ascii="Arial" w:cs="Arial" w:eastAsia="Arial" w:hAnsi="Arial"/>
          <w:sz w:val="18"/>
          <w:szCs w:val="18"/>
        </w:rPr>
        <w:t xml:space="preserve">Public Health Scotland (2023). Deaths by Suicide in Scotland. PHS.</w:t>
      </w:r>
    </w:p>
  </w:footnote>
  <w:footnote w:id="11">
    <w:p>
      <w:r>
        <w:rPr>
          <w:rStyle w:val="FootnoteReference"/>
        </w:rPr>
        <w:footnoteRef/>
      </w:r>
      <w:r>
        <w:rPr>
          <w:rFonts w:ascii="Arial" w:cs="Arial" w:eastAsia="Arial" w:hAnsi="Arial"/>
          <w:sz w:val="18"/>
          <w:szCs w:val="18"/>
        </w:rPr>
        <w:t xml:space="preserve">NISRA (2023). Suicide Statistics: Figures for Northern Ireland. Northern Ireland Statistics and Research Agency.</w:t>
      </w:r>
    </w:p>
  </w:footnote>
  <w:footnote w:id="12">
    <w:p>
      <w:r>
        <w:rPr>
          <w:rStyle w:val="FootnoteReference"/>
        </w:rPr>
        <w:footnoteRef/>
      </w:r>
      <w:r>
        <w:rPr>
          <w:rFonts w:ascii="Arial" w:cs="Arial" w:eastAsia="Arial" w:hAnsi="Arial"/>
          <w:sz w:val="18"/>
          <w:szCs w:val="18"/>
        </w:rPr>
        <w:t xml:space="preserve">Marmot, M. (2010). Fair Society, Healthy Lives: The Marmot Review. UCL Institute of Health Equity.</w:t>
      </w:r>
    </w:p>
  </w:footnote>
  <w:footnote w:id="13">
    <w:p>
      <w:r>
        <w:rPr>
          <w:rStyle w:val="FootnoteReference"/>
        </w:rPr>
        <w:footnoteRef/>
      </w:r>
      <w:r>
        <w:rPr>
          <w:rFonts w:ascii="Arial" w:cs="Arial" w:eastAsia="Arial" w:hAnsi="Arial"/>
          <w:sz w:val="18"/>
          <w:szCs w:val="18"/>
        </w:rPr>
        <w:t xml:space="preserve">Stack, S. (2000). Suicide: A 15-year review of the sociological literature. Part I: Cultural and economic factors. Suicide and Life-Threatening Behavior, 30(2), 145-162.</w:t>
      </w:r>
    </w:p>
  </w:footnote>
  <w:footnote w:id="14">
    <w:p>
      <w:r>
        <w:rPr>
          <w:rStyle w:val="FootnoteReference"/>
        </w:rPr>
        <w:footnoteRef/>
      </w:r>
      <w:r>
        <w:rPr>
          <w:rFonts w:ascii="Arial" w:cs="Arial" w:eastAsia="Arial" w:hAnsi="Arial"/>
          <w:sz w:val="18"/>
          <w:szCs w:val="18"/>
        </w:rPr>
        <w:t xml:space="preserve">Durkheim, E. (1897). Le Suicide: Etude de sociologie. Felix Alcan. [English: Spaulding, J.A. &amp; Simpson, G., trans. (1951). Suicide: A Study in Sociology. Free Press.]</w:t>
      </w:r>
    </w:p>
  </w:footnote>
  <w:footnote w:id="15">
    <w:p>
      <w:r>
        <w:rPr>
          <w:rStyle w:val="FootnoteReference"/>
        </w:rPr>
        <w:footnoteRef/>
      </w:r>
      <w:r>
        <w:rPr>
          <w:rFonts w:ascii="Arial" w:cs="Arial" w:eastAsia="Arial" w:hAnsi="Arial"/>
          <w:sz w:val="18"/>
          <w:szCs w:val="18"/>
        </w:rPr>
        <w:t xml:space="preserve">Case, A., &amp; Deaton, A. (2015). Rising morbidity and mortality in midlife among white non-Hispanic Americans in the 21st century. PNAS, 112(49), 15078-15083.</w:t>
      </w:r>
    </w:p>
  </w:footnote>
  <w:footnote w:id="16">
    <w:p>
      <w:r>
        <w:rPr>
          <w:rStyle w:val="FootnoteReference"/>
        </w:rPr>
        <w:footnoteRef/>
      </w:r>
      <w:r>
        <w:rPr>
          <w:rFonts w:ascii="Arial" w:cs="Arial" w:eastAsia="Arial" w:hAnsi="Arial"/>
          <w:sz w:val="18"/>
          <w:szCs w:val="18"/>
        </w:rPr>
        <w:t xml:space="preserve">NHS England (2023). NHS Mental Health Dashboard. NHS England.</w:t>
      </w:r>
    </w:p>
  </w:footnote>
  <w:footnote w:id="17">
    <w:p>
      <w:r>
        <w:rPr>
          <w:rStyle w:val="FootnoteReference"/>
        </w:rPr>
        <w:footnoteRef/>
      </w:r>
      <w:r>
        <w:rPr>
          <w:rFonts w:ascii="Arial" w:cs="Arial" w:eastAsia="Arial" w:hAnsi="Arial"/>
          <w:sz w:val="18"/>
          <w:szCs w:val="18"/>
        </w:rPr>
        <w:t xml:space="preserve">DHSC (2023). Suicide prevention strategy for England: 2023 to 2028. Department of Health and Social Care.</w:t>
      </w:r>
    </w:p>
  </w:footnote>
  <w:footnote w:id="18">
    <w:p>
      <w:r>
        <w:rPr>
          <w:rStyle w:val="FootnoteReference"/>
        </w:rPr>
        <w:footnoteRef/>
      </w:r>
      <w:r>
        <w:rPr>
          <w:rFonts w:ascii="Arial" w:cs="Arial" w:eastAsia="Arial" w:hAnsi="Arial"/>
          <w:sz w:val="18"/>
          <w:szCs w:val="18"/>
        </w:rPr>
        <w:t xml:space="preserve">Crawford, M.J., Thana, L., Methuen, C., Ghosh, P., Stanley, S., Ross, J., ... &amp; Talwar, N. (2016). Impact of screening for risk of suicide. Br J Psychiatry, 198(5), 379-384.</w:t>
      </w:r>
    </w:p>
  </w:footnote>
  <w:footnote w:id="19">
    <w:p>
      <w:r>
        <w:rPr>
          <w:rStyle w:val="FootnoteReference"/>
        </w:rPr>
        <w:footnoteRef/>
      </w:r>
      <w:r>
        <w:rPr>
          <w:rFonts w:ascii="Arial" w:cs="Arial" w:eastAsia="Arial" w:hAnsi="Arial"/>
          <w:sz w:val="18"/>
          <w:szCs w:val="18"/>
        </w:rPr>
        <w:t xml:space="preserve">Bhui, K., McKenzie, K., &amp; Rasul, F. (2007). Rates, risk factors and methods of self harm among minority ethnic groups in the UK. BMC Public Health, 7, 336.</w:t>
      </w:r>
    </w:p>
  </w:footnote>
  <w:footnote w:id="20">
    <w:p>
      <w:r>
        <w:rPr>
          <w:rStyle w:val="FootnoteReference"/>
        </w:rPr>
        <w:footnoteRef/>
      </w:r>
      <w:r>
        <w:rPr>
          <w:rFonts w:ascii="Arial" w:cs="Arial" w:eastAsia="Arial" w:hAnsi="Arial"/>
          <w:sz w:val="18"/>
          <w:szCs w:val="18"/>
        </w:rPr>
        <w:t xml:space="preserve">Windfuhr, K., &amp; Kapur, N. (2011). Suicide and mental illness: A clinical review of 15 years findings from the UK National Confidential Inquiry into Suicide and Homicide. British Medical Bulletin, 100(1), 101-121.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360"/>
      </w:tabs>
    </w:pPr>
    <w:r>
      <w:rPr>
        <w:rFonts w:ascii="Arial" w:cs="Arial" w:eastAsia="Arial" w:hAnsi="Arial"/>
        <w:color w:val="64748B"/>
        <w:sz w:val="16"/>
        <w:szCs w:val="16"/>
      </w:rPr>
      <w:t xml:space="preserve">THE SILENT BURDEN  ·  UK Male Suicide, Race &amp; Mental Health</w:t>
    </w:r>
    <w:r>
      <w:rPr>
        <w:rFonts w:ascii="Arial" w:cs="Arial" w:eastAsia="Arial" w:hAnsi="Arial"/>
        <w:sz w:val="16"/>
        <w:szCs w:val="16"/>
      </w:rPr>
      <w:t xml:space="preserve">		</w:t>
    </w:r>
    <w:r>
      <w:rPr>
        <w:rFonts w:ascii="Arial" w:cs="Arial" w:eastAsia="Arial" w:hAnsi="Arial"/>
        <w:color w:val="64748B"/>
        <w:sz w:val="16"/>
        <w:szCs w:val="16"/>
      </w:rPr>
      <w:t xml:space="preserve">Kudzanayi Shepherd Mhlanga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942"/>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F2942"/>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D948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2026-06-16T21:05:17.176Z</dcterms:created>
  <dcterms:modified xsi:type="dcterms:W3CDTF">2026-06-16T21:05:17.176Z</dcterms:modified>
</cp:coreProperties>
</file>

<file path=docProps/custom.xml><?xml version="1.0" encoding="utf-8"?>
<Properties xmlns="http://schemas.openxmlformats.org/officeDocument/2006/custom-properties" xmlns:vt="http://schemas.openxmlformats.org/officeDocument/2006/docPropsVTypes"/>
</file>