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Cloud - Refund and Cancellation Policy</w:t>
      </w:r>
    </w:p>
    <w:p>
      <w:pPr>
        <w:pStyle w:val="Heading1"/>
      </w:pPr>
      <w:r>
        <w:t>Monthly plans</w:t>
      </w:r>
    </w:p>
    <w:p>
      <w:r>
        <w:t>Monthly plans can be cancelled at any time. Cancellation takes effect at the end of the current billing month and no partial refunds are given.</w:t>
      </w:r>
    </w:p>
    <w:p>
      <w:pPr>
        <w:pStyle w:val="Heading1"/>
      </w:pPr>
      <w:r>
        <w:t>Annual plans</w:t>
      </w:r>
    </w:p>
    <w:p>
      <w:r>
        <w:t>Annual plans can be refunded in full within 30 days of purchase or renewal. After 30 days, refunds are not available, but you may cancel auto-renewal at any time.</w:t>
      </w:r>
    </w:p>
    <w:p>
      <w:r>
        <w:t>To request a refund, email billing@nimbus.example with your account email and invoice number. Refunds are returned to the original payment method within 7 to 10 business days.</w:t>
      </w:r>
    </w:p>
    <w:p>
      <w:pPr>
        <w:pStyle w:val="Heading1"/>
      </w:pPr>
      <w:r>
        <w:t>Service credits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Monthly uptime</w:t>
            </w:r>
          </w:p>
        </w:tc>
        <w:tc>
          <w:tcPr>
            <w:tcW w:type="dxa" w:w="4320"/>
          </w:tcPr>
          <w:p>
            <w:r>
              <w:t>Service credit</w:t>
            </w:r>
          </w:p>
        </w:tc>
      </w:tr>
      <w:tr>
        <w:tc>
          <w:tcPr>
            <w:tcW w:type="dxa" w:w="4320"/>
          </w:tcPr>
          <w:p>
            <w:r>
              <w:t>below 99.9%</w:t>
            </w:r>
          </w:p>
        </w:tc>
        <w:tc>
          <w:tcPr>
            <w:tcW w:type="dxa" w:w="4320"/>
          </w:tcPr>
          <w:p>
            <w:r>
              <w:t>10% of monthly fee</w:t>
            </w:r>
          </w:p>
        </w:tc>
      </w:tr>
      <w:tr>
        <w:tc>
          <w:tcPr>
            <w:tcW w:type="dxa" w:w="4320"/>
          </w:tcPr>
          <w:p>
            <w:r>
              <w:t>below 99.0%</w:t>
            </w:r>
          </w:p>
        </w:tc>
        <w:tc>
          <w:tcPr>
            <w:tcW w:type="dxa" w:w="4320"/>
          </w:tcPr>
          <w:p>
            <w:r>
              <w:t>25% of monthly fee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