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A4663"/>
  <w:body>
    <w:p w14:paraId="75D88FAF" w14:textId="2642C32B" w:rsidR="00DF3182" w:rsidRPr="00AE1515" w:rsidRDefault="00AE1515">
      <w:pPr>
        <w:rPr>
          <w:rFonts w:eastAsiaTheme="minorEastAsia"/>
          <w:color w:val="FFFFFF" w:themeColor="background1"/>
          <w:sz w:val="96"/>
          <w:szCs w:val="72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72"/>
            </w:rPr>
            <m:t>HBI=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96"/>
                  <w:szCs w:val="72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96"/>
                  <w:szCs w:val="72"/>
                </w:rPr>
                <m:t>Bill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96"/>
                  <w:szCs w:val="72"/>
                </w:rPr>
                <m:t>Incom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96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sz w:val="96"/>
                      <w:szCs w:val="7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96"/>
                      <w:szCs w:val="72"/>
                    </w:rPr>
                    <m:t>20</m:t>
                  </m:r>
                </m:sub>
              </m:sSub>
            </m:den>
          </m:f>
        </m:oMath>
      </m:oMathPara>
    </w:p>
    <w:p w14:paraId="6A45FD25" w14:textId="1A0D5AF2" w:rsidR="00AE1515" w:rsidRDefault="00AE1515">
      <w:pPr>
        <w:rPr>
          <w:rFonts w:eastAsiaTheme="minorEastAsia"/>
          <w:color w:val="FFFFFF" w:themeColor="background1"/>
          <w:sz w:val="96"/>
          <w:szCs w:val="72"/>
        </w:rPr>
      </w:pPr>
    </w:p>
    <w:p w14:paraId="14994F3E" w14:textId="70A48E83" w:rsidR="00D1144A" w:rsidRPr="00D1144A" w:rsidRDefault="00D1144A" w:rsidP="00D1144A">
      <w:pPr>
        <w:rPr>
          <w:rFonts w:eastAsiaTheme="minorEastAsia"/>
          <w:color w:val="FFFFFF" w:themeColor="background1"/>
          <w:sz w:val="40"/>
          <w:szCs w:val="3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40"/>
              <w:szCs w:val="36"/>
            </w:rPr>
            <m:t>CAP</m:t>
          </m:r>
          <m:r>
            <w:rPr>
              <w:rFonts w:ascii="Cambria Math" w:eastAsiaTheme="minorEastAsia" w:hAnsi="Cambria Math"/>
              <w:color w:val="FFFFFF" w:themeColor="background1"/>
              <w:sz w:val="40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40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 xml:space="preserve">Total 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>households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 xml:space="preserve"> enrolled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 xml:space="preserve">Total 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>eligible households</m:t>
              </m:r>
            </m:den>
          </m:f>
        </m:oMath>
      </m:oMathPara>
    </w:p>
    <w:p w14:paraId="4F12D1BC" w14:textId="77777777" w:rsidR="002A429D" w:rsidRDefault="002A429D" w:rsidP="002A429D">
      <w:pPr>
        <w:rPr>
          <w:rFonts w:eastAsiaTheme="minorEastAsia"/>
          <w:color w:val="FFFFFF" w:themeColor="background1"/>
          <w:sz w:val="96"/>
          <w:szCs w:val="72"/>
        </w:rPr>
      </w:pPr>
    </w:p>
    <w:p w14:paraId="2004E859" w14:textId="1391BC5F" w:rsidR="002A429D" w:rsidRPr="002A429D" w:rsidRDefault="002A429D" w:rsidP="002A429D">
      <w:pPr>
        <w:rPr>
          <w:rFonts w:eastAsiaTheme="minorEastAsia"/>
          <w:color w:val="FFFFFF" w:themeColor="background1"/>
          <w:sz w:val="32"/>
          <w:szCs w:val="28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32"/>
              <w:szCs w:val="28"/>
            </w:rPr>
            <m:t>PPI</m:t>
          </m:r>
          <m:r>
            <w:rPr>
              <w:rFonts w:ascii="Cambria Math" w:eastAsiaTheme="minorEastAsia" w:hAnsi="Cambria Math"/>
              <w:color w:val="FFFFFF" w:themeColor="background1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32"/>
                  <w:szCs w:val="28"/>
                </w:rPr>
                <m:t>Families</m:t>
              </m:r>
              <m:r>
                <w:rPr>
                  <w:rFonts w:ascii="Cambria Math" w:hAnsi="Cambria Math"/>
                  <w:color w:val="FFFFFF" w:themeColor="background1"/>
                  <w:sz w:val="32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FFFFFF" w:themeColor="background1"/>
                  <w:sz w:val="32"/>
                  <w:szCs w:val="28"/>
                </w:rPr>
                <m:t>with income&lt;200% Federal Poverty Level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32"/>
                  <w:szCs w:val="28"/>
                </w:rPr>
                <m:t>T</m:t>
              </m:r>
              <m:r>
                <w:rPr>
                  <w:rFonts w:ascii="Cambria Math" w:hAnsi="Cambria Math"/>
                  <w:color w:val="FFFFFF" w:themeColor="background1"/>
                  <w:sz w:val="32"/>
                  <w:szCs w:val="28"/>
                </w:rPr>
                <m:t>otal Families for whom Poverty Status is determined</m:t>
              </m:r>
            </m:den>
          </m:f>
        </m:oMath>
      </m:oMathPara>
    </w:p>
    <w:p w14:paraId="5050F546" w14:textId="074C0D01" w:rsidR="00AE1515" w:rsidRDefault="003F0E30">
      <w:pPr>
        <w:rPr>
          <w:rFonts w:eastAsiaTheme="minorEastAsia"/>
          <w:color w:val="FFFFFF" w:themeColor="background1"/>
          <w:sz w:val="96"/>
          <w:szCs w:val="7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28"/>
                    </w:rPr>
                    <m:t>Utility Staff Residing in Tract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28"/>
                    </w:rPr>
                    <m:t>Total Utility Staff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28"/>
                    </w:rPr>
                    <m:t>Utility Service Population Residing in Tract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28"/>
                    </w:rPr>
                    <m:t>Total Service Population</m:t>
                  </m:r>
                </m:den>
              </m:f>
            </m:den>
          </m:f>
        </m:oMath>
      </m:oMathPara>
    </w:p>
    <w:p w14:paraId="099C78DA" w14:textId="03CD8129" w:rsidR="00AE1515" w:rsidRDefault="00AE1515">
      <w:pPr>
        <w:rPr>
          <w:color w:val="FFFFFF" w:themeColor="background1"/>
        </w:rPr>
      </w:pPr>
    </w:p>
    <w:p w14:paraId="7DE0BD76" w14:textId="31D14138" w:rsidR="00390283" w:rsidRDefault="00390283">
      <w:pPr>
        <w:rPr>
          <w:color w:val="FFFFFF" w:themeColor="background1"/>
        </w:rPr>
      </w:pPr>
    </w:p>
    <w:p w14:paraId="43BFC3CE" w14:textId="48468060" w:rsidR="00390283" w:rsidRDefault="00390283">
      <w:pPr>
        <w:rPr>
          <w:color w:val="FFFFFF" w:themeColor="background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40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>100 x (Lead Service Lines)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>Total Customer Service Lines</m:t>
              </m:r>
            </m:den>
          </m:f>
        </m:oMath>
      </m:oMathPara>
    </w:p>
    <w:p w14:paraId="67F8E3B9" w14:textId="1ADE2F3E" w:rsidR="00E86A2A" w:rsidRDefault="00E86A2A" w:rsidP="00E86A2A">
      <w:pPr>
        <w:rPr>
          <w:color w:val="FFFFFF" w:themeColor="background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 w:val="40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>100 x (Lead Service Lines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 xml:space="preserve"> Replaced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 xml:space="preserve">Total 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>Lead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 xml:space="preserve">Extant </m:t>
              </m:r>
              <m:r>
                <w:rPr>
                  <w:rFonts w:ascii="Cambria Math" w:hAnsi="Cambria Math"/>
                  <w:color w:val="FFFFFF" w:themeColor="background1"/>
                  <w:sz w:val="40"/>
                  <w:szCs w:val="36"/>
                </w:rPr>
                <m:t>Service Lines</m:t>
              </m:r>
            </m:den>
          </m:f>
        </m:oMath>
      </m:oMathPara>
    </w:p>
    <w:p w14:paraId="58E00EEB" w14:textId="77777777" w:rsidR="00390283" w:rsidRPr="00AE1515" w:rsidRDefault="00390283">
      <w:pPr>
        <w:rPr>
          <w:color w:val="FFFFFF" w:themeColor="background1"/>
        </w:rPr>
      </w:pPr>
    </w:p>
    <w:sectPr w:rsidR="00390283" w:rsidRPr="00AE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15"/>
    <w:rsid w:val="002A429D"/>
    <w:rsid w:val="00390283"/>
    <w:rsid w:val="003F0E30"/>
    <w:rsid w:val="00AE1515"/>
    <w:rsid w:val="00D1144A"/>
    <w:rsid w:val="00DF3182"/>
    <w:rsid w:val="00E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0c0e0,#1a4663"/>
    </o:shapedefaults>
    <o:shapelayout v:ext="edit">
      <o:idmap v:ext="edit" data="1"/>
    </o:shapelayout>
  </w:shapeDefaults>
  <w:decimalSymbol w:val="."/>
  <w:listSeparator w:val=","/>
  <w14:docId w14:val="60D56A25"/>
  <w15:chartTrackingRefBased/>
  <w15:docId w15:val="{EAEB9BC2-810A-448A-BB38-4029A608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Onda</dc:creator>
  <cp:keywords/>
  <dc:description/>
  <cp:lastModifiedBy>Kyle Onda</cp:lastModifiedBy>
  <cp:revision>1</cp:revision>
  <dcterms:created xsi:type="dcterms:W3CDTF">2021-03-28T16:30:00Z</dcterms:created>
  <dcterms:modified xsi:type="dcterms:W3CDTF">2021-03-29T01:39:00Z</dcterms:modified>
</cp:coreProperties>
</file>