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AVIS D'APPEL D'OFFRES</w:t>
      </w:r>
    </w:p>
    <w:p>
      <w:r>
        <w:t xml:space="preserve">N° AAO-2026-0087/MSHP</w:t>
      </w:r>
    </w:p>
    <w:p>
      <w:r>
        <w:t xml:space="preserve">Construction d'un centre de santé communautaire dans la commune de Yopougon, Abidjan.</w:t>
      </w:r>
    </w:p>
    <w:p>
      <w:r>
        <w:t xml:space="preserve">Acheteur : Ministère de la Santé et de l'Hygiène Publique</w:t>
      </w:r>
    </w:p>
    <w:p>
      <w:r>
        <w:t xml:space="preserve">Secteur : Bâtiments et Travaux Publics</w:t>
      </w:r>
    </w:p>
    <w:p>
      <w:r>
        <w:t xml:space="preserve">Date limite de dépôt des offres : 20 décembre 2026 à 12h00</w:t>
      </w:r>
    </w:p>
    <w:p>
      <w:r>
        <w:t xml:space="preserve">Montant de la caution de soumission : 3 000 000 FCFA</w:t>
      </w:r>
    </w:p>
    <w:p>
      <w:r>
        <w:t xml:space="preserve">INSTRUCTIONS AUX SOUMISSIONNAIRES</w:t>
      </w:r>
    </w:p>
    <w:p>
      <w:r>
        <w:t xml:space="preserve">Les présentes instructions définissent les modalités de préparation, de dépôt et d'évaluation des offres.</w:t>
      </w:r>
    </w:p>
    <w:p>
      <w:r>
        <w:t xml:space="preserve">DONNÉES PARTICULIÈRES DE L'APPEL D'OFFRES</w:t>
      </w:r>
    </w:p>
    <w:p>
      <w:r>
        <w:t xml:space="preserve">Pièces administratives requises :</w:t>
      </w:r>
    </w:p>
    <w:p>
      <w:r>
        <w:t xml:space="preserve">– Registre du Commerce et du Crédit Mobilier (RCCM)</w:t>
      </w:r>
    </w:p>
    <w:p>
      <w:r>
        <w:t xml:space="preserve">– Attestation de régularité fiscale</w:t>
      </w:r>
    </w:p>
    <w:p>
      <w:r>
        <w:t xml:space="preserve">– Attestation de la Caisse Nationale de Prévoyance Sociale (CNPS)</w:t>
      </w:r>
    </w:p>
    <w:p>
      <w:r>
        <w:t xml:space="preserve">– Identifiant Unique (IDU)</w:t>
      </w:r>
    </w:p>
    <w:p>
      <w:r>
        <w:t xml:space="preserve">Critères d'évaluation des offres :</w:t>
      </w:r>
    </w:p>
    <w:p>
      <w:r>
        <w:t xml:space="preserve">– Conformité administrative : 20%</w:t>
      </w:r>
    </w:p>
    <w:p>
      <w:r>
        <w:t xml:space="preserve">– Expérience du soumissionnaire : 25%</w:t>
      </w:r>
    </w:p>
    <w:p>
      <w:r>
        <w:t xml:space="preserve">– Méthodologie proposée : 35%</w:t>
      </w:r>
    </w:p>
    <w:p>
      <w:r>
        <w:t xml:space="preserve">– Délai d'exécution : 20%</w:t>
      </w:r>
    </w:p>
    <w:p>
      <w:r>
        <w:t xml:space="preserve">SOMMAIRE ATTENDU DE L'OFFRE</w:t>
      </w:r>
    </w:p>
    <w:p>
      <w:r>
        <w:t xml:space="preserve">– Présentation de l'entreprise</w:t>
      </w:r>
    </w:p>
    <w:p>
      <w:r>
        <w:t xml:space="preserve">– Méthodologie d'exécution</w:t>
      </w:r>
    </w:p>
    <w:p>
      <w:r>
        <w:t xml:space="preserve">– Planning des travaux</w:t>
      </w:r>
    </w:p>
    <w:p>
      <w:r>
        <w:t xml:space="preserve">– Bordereau des prix unitaires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2026-08-31T20:22:18.989Z</dcterms:created>
  <dcterms:modified xsi:type="dcterms:W3CDTF">2026-08-31T20:22:18.994Z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