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Alloy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Command</w:t>
      </w:r>
      <w:r>
        <w:t xml:space="preserve"> </w:t>
      </w:r>
      <w:r>
        <w:t xml:space="preserve">Center</w:t>
      </w:r>
      <w:r>
        <w:t xml:space="preserve"> </w:t>
      </w:r>
      <w:r>
        <w:t xml:space="preserve">Sprint</w:t>
      </w:r>
    </w:p>
    <w:p>
      <w:pPr>
        <w:pStyle w:val="Author"/>
      </w:pPr>
      <w:r>
        <w:t xml:space="preserve">Plan</w:t>
      </w:r>
      <w:r>
        <w:t xml:space="preserve"> </w:t>
      </w:r>
      <w:r>
        <w:t xml:space="preserve">&amp;</w:t>
      </w:r>
      <w:r>
        <w:t xml:space="preserve"> </w:t>
      </w:r>
      <w:r>
        <w:t xml:space="preserve">Doctrine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0691aa66373bdf077f9be677d1139668d6fc33"/>
      <w:r>
        <w:t xml:space="preserve">Alloy Communications V2 — Command Center Sprint</w:t>
      </w:r>
      <w:bookmarkEnd w:id="20"/>
    </w:p>
    <w:p>
      <w:pPr>
        <w:pStyle w:val="FirstParagraph"/>
      </w:pPr>
      <w:r>
        <w:rPr>
          <w:b/>
        </w:rPr>
        <w:t xml:space="preserve">Plan &amp; Doctrine — management reference.</w:t>
      </w:r>
      <w:r>
        <w:t xml:space="preserve"> </w:t>
      </w:r>
      <w:r>
        <w:t xml:space="preserve">Transform Messaging into a full Communications Command Center.</w:t>
      </w:r>
    </w:p>
    <w:p>
      <w:pPr>
        <w:pStyle w:val="BodyText"/>
      </w:pPr>
      <w:r>
        <w:rPr>
          <w:b/>
        </w:rPr>
        <w:t xml:space="preserve">Companion workbooks:</w:t>
      </w:r>
      <w:r>
        <w:t xml:space="preserve"> </w:t>
      </w:r>
      <w:r>
        <w:rPr>
          <w:rStyle w:val="VerbatimChar"/>
        </w:rPr>
        <w:t xml:space="preserve">Alloy_Comms_V2_Sprint_Backlog.xlsx</w:t>
      </w:r>
      <w:r>
        <w:t xml:space="preserve"> </w:t>
      </w:r>
      <w:r>
        <w:t xml:space="preserve">(roadmap, full backlog, prerequisites, doctrine guardrails, definition of done) and</w:t>
      </w:r>
      <w:r>
        <w:t xml:space="preserve"> </w:t>
      </w:r>
      <w:r>
        <w:rPr>
          <w:rStyle w:val="VerbatimChar"/>
        </w:rPr>
        <w:t xml:space="preserve">Alloy_Comms_V2_QA_Workbook.xlsx</w:t>
      </w:r>
      <w:r>
        <w:t xml:space="preserve"> </w:t>
      </w:r>
      <w:r>
        <w:t xml:space="preserve">(exit-criteria test matrix + sign-off).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mission"/>
      <w:r>
        <w:t xml:space="preserve">1. Mission</w:t>
      </w:r>
      <w:bookmarkEnd w:id="21"/>
    </w:p>
    <w:p>
      <w:pPr>
        <w:pStyle w:val="FirstParagraph"/>
      </w:pPr>
      <w:r>
        <w:t xml:space="preserve">Transform Messaging into a full Communications Command Center while preserving every existing Alloy platform doctrine. The result must feel like a natural extension of Workspace, Work Units, Drawers, BOS, and Actions — never a bolt-on inbox.</w:t>
      </w:r>
    </w:p>
    <w:p>
      <w:pPr>
        <w:pStyle w:val="BodyText"/>
      </w:pPr>
      <w:r>
        <w:t xml:space="preserve">Three principles govern every decision: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Communications are operational work</w:t>
      </w:r>
      <w:r>
        <w:t xml:space="preserve"> </w:t>
      </w:r>
      <w:r>
        <w:t xml:space="preserve">— modeled as work to be done, not as a mailbox to be checked.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Families and relationships are the primary object</w:t>
      </w:r>
      <w:r>
        <w:t xml:space="preserve"> </w:t>
      </w:r>
      <w:r>
        <w:t xml:space="preserve">— they anchor everything.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Messages are supporting artifacts</w:t>
      </w:r>
      <w:r>
        <w:t xml:space="preserve"> </w:t>
      </w:r>
      <w:r>
        <w:t xml:space="preserve">— they hang off relationships and operational work, not the reverse.</w:t>
      </w:r>
    </w:p>
    <w:p>
      <w:pPr>
        <w:pStyle w:val="FirstParagraph"/>
      </w:pPr>
      <w:r>
        <w:rPr>
          <w:i/>
        </w:rPr>
        <w:t xml:space="preserve">It must not resemble Gmail, Outlook, HubSpot, Salesforce, Mailchimp, Front, Intercom, or Twilio Console.</w:t>
      </w:r>
    </w:p>
    <w:p>
      <w:pPr>
        <w:pStyle w:val="BodyText"/>
      </w:pPr>
      <w:r>
        <w:t xml:space="preserve">This program</w:t>
      </w:r>
      <w:r>
        <w:t xml:space="preserve"> </w:t>
      </w:r>
      <w:r>
        <w:rPr>
          <w:b/>
        </w:rPr>
        <w:t xml:space="preserve">extends the existing canonical foundation</w:t>
      </w:r>
      <w:r>
        <w:t xml:space="preserve"> </w:t>
      </w:r>
      <w:r>
        <w:t xml:space="preserve">rather than replacing it: the</w:t>
      </w:r>
      <w:r>
        <w:t xml:space="preserve"> </w:t>
      </w:r>
      <w:r>
        <w:rPr>
          <w:rStyle w:val="VerbatimChar"/>
        </w:rPr>
        <w:t xml:space="preserve">communication_*</w:t>
      </w:r>
      <w:r>
        <w:t xml:space="preserve"> </w:t>
      </w:r>
      <w:r>
        <w:t xml:space="preserve">tables (threads, messages, reads, provider_bindings), the</w:t>
      </w:r>
      <w:r>
        <w:t xml:space="preserve"> </w:t>
      </w:r>
      <w:r>
        <w:rPr>
          <w:rStyle w:val="VerbatimChar"/>
        </w:rPr>
        <w:t xml:space="preserve">executeCommunicationsSend</w:t>
      </w:r>
      <w:r>
        <w:t xml:space="preserve"> </w:t>
      </w:r>
      <w:r>
        <w:t xml:space="preserve">canonical send path, the AdminV2 shell and BOS command rail, the Bend Pine light surfaces, and the drawer doctrine — in which</w:t>
      </w:r>
      <w:r>
        <w:t xml:space="preserve"> </w:t>
      </w:r>
      <w:r>
        <w:rPr>
          <w:b/>
        </w:rPr>
        <w:t xml:space="preserve">Communications is already a fixed core tab</w:t>
      </w:r>
      <w:r>
        <w:t xml:space="preserve">. New capability extends these surfaces; it does not expand the legacy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schema.</w:t>
      </w:r>
    </w:p>
    <w:p>
      <w:pPr>
        <w:pStyle w:val="Heading1"/>
      </w:pPr>
      <w:bookmarkStart w:id="22" w:name="success-criteria"/>
      <w:r>
        <w:t xml:space="preserve">2. Success Criteria</w:t>
      </w:r>
      <w:bookmarkEnd w:id="22"/>
    </w:p>
    <w:p>
      <w:pPr>
        <w:pStyle w:val="FirstParagraph"/>
      </w:pPr>
      <w:r>
        <w:t xml:space="preserve">At completion, Alloy supports the following capabilities, delivered through these surfaces.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Cross-cutting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· SMS · Internal Notes · Announcements · Templates · Communication Preferences · Read Receipts · Assignment · Shared Inbox · Delivery Tracking · Compliance · BOS Communication Intelligence</w:t>
            </w:r>
          </w:p>
        </w:tc>
        <w:tc>
          <w:p>
            <w:pPr>
              <w:pStyle w:val="Compact"/>
              <w:jc w:val="left"/>
            </w:pPr>
            <w:r>
              <w:t xml:space="preserve">Global Communications Command Center · Record-Level Communications Tabs · Unified Timeline · Unified Composer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Health as a first-class object, visible everywhere · Provider abstraction · Platform-owned compliance</w:t>
            </w:r>
          </w:p>
        </w:tc>
      </w:tr>
    </w:tbl>
    <w:p>
      <w:pPr>
        <w:pStyle w:val="BodyText"/>
      </w:pPr>
      <w:r>
        <w:t xml:space="preserve">All of it follows the existing Alloy design doctrines — captured next as a locked, non-negotiable set of guardrails.</w:t>
      </w:r>
    </w:p>
    <w:p>
      <w:pPr>
        <w:pStyle w:val="Heading1"/>
      </w:pPr>
      <w:bookmarkStart w:id="23" w:name="locked-ux-doctrine"/>
      <w:r>
        <w:t xml:space="preserve">3. Locked UX Doctrine</w:t>
      </w:r>
      <w:bookmarkEnd w:id="23"/>
    </w:p>
    <w:p>
      <w:pPr>
        <w:pStyle w:val="FirstParagraph"/>
      </w:pPr>
      <w:r>
        <w:rPr>
          <w:b/>
        </w:rPr>
        <w:t xml:space="preserve">This doctrine is locked. Treat it as the source of truth.</w:t>
      </w:r>
      <w:r>
        <w:t xml:space="preserve"> </w:t>
      </w:r>
      <w:r>
        <w:t xml:space="preserve">Design decisions are escalated only when they conflict with it; implementation decisions are escalated only when they require an external credential or compliance approval.</w:t>
      </w:r>
    </w:p>
    <w:p>
      <w:pPr>
        <w:pStyle w:val="Heading2"/>
      </w:pPr>
      <w:bookmarkStart w:id="24" w:name="global-surface-the-command-center"/>
      <w:r>
        <w:t xml:space="preserve">3.1 Global surface — the Command Center</w:t>
      </w:r>
      <w:bookmarkEnd w:id="24"/>
    </w:p>
    <w:p>
      <w:pPr>
        <w:pStyle w:val="FirstParagraph"/>
      </w:pPr>
      <w:r>
        <w:t xml:space="preserve">A three-column layout:</w:t>
      </w:r>
      <w:r>
        <w:t xml:space="preserve"> </w:t>
      </w:r>
      <w:r>
        <w:rPr>
          <w:b/>
        </w:rPr>
        <w:t xml:space="preserve">Queue → Conversation Workspace → BOS Command Center.</w:t>
      </w:r>
    </w:p>
    <w:p>
      <w:pPr>
        <w:pStyle w:val="BodyText"/>
      </w:pPr>
      <w:r>
        <w:rPr>
          <w:b/>
        </w:rPr>
        <w:t xml:space="preserve">Queue.</w:t>
      </w:r>
      <w:r>
        <w:t xml:space="preserve"> </w:t>
      </w:r>
      <w:r>
        <w:t xml:space="preserve">Purpose: operational communication work. Examples: Awaiting Parent Reply, Needs Follow-Up, Documents Missing, Re-enrollment Outreach, Waitlist Update.</w:t>
      </w:r>
      <w:r>
        <w:t xml:space="preserve"> </w:t>
      </w:r>
      <w:r>
        <w:rPr>
          <w:i/>
        </w:rPr>
        <w:t xml:space="preserve">The Queue is not email folders, not a generic inbox, and not a chronological message list.</w:t>
      </w:r>
    </w:p>
    <w:p>
      <w:pPr>
        <w:pStyle w:val="BodyText"/>
      </w:pPr>
      <w:r>
        <w:rPr>
          <w:b/>
        </w:rPr>
        <w:t xml:space="preserve">Conversation Workspace.</w:t>
      </w:r>
      <w:r>
        <w:t xml:space="preserve"> </w:t>
      </w:r>
      <w:r>
        <w:t xml:space="preserve">Contains the family summary, lead status, program, location, owner, communication health, the conversation timeline, and the unified composer.</w:t>
      </w:r>
    </w:p>
    <w:p>
      <w:pPr>
        <w:pStyle w:val="BodyText"/>
      </w:pPr>
      <w:r>
        <w:rPr>
          <w:b/>
        </w:rPr>
        <w:t xml:space="preserve">BOS Rail.</w:t>
      </w:r>
      <w:r>
        <w:t xml:space="preserve"> </w:t>
      </w:r>
      <w:r>
        <w:t xml:space="preserve">Uses the existing BOS rail doctrine and reuses the existing BOS architecture. BOS is never embedded inside communication content.</w:t>
      </w:r>
    </w:p>
    <w:p>
      <w:pPr>
        <w:pStyle w:val="Heading2"/>
      </w:pPr>
      <w:bookmarkStart w:id="25" w:name="record-level-communications"/>
      <w:r>
        <w:t xml:space="preserve">3.2 Record-level communications</w:t>
      </w:r>
      <w:bookmarkEnd w:id="25"/>
    </w:p>
    <w:p>
      <w:pPr>
        <w:pStyle w:val="FirstParagraph"/>
      </w:pPr>
      <w:r>
        <w:t xml:space="preserve">Add a Communications tab to the</w:t>
      </w:r>
      <w:r>
        <w:t xml:space="preserve"> </w:t>
      </w:r>
      <w:r>
        <w:rPr>
          <w:b/>
        </w:rPr>
        <w:t xml:space="preserve">Lead, Person, and Child</w:t>
      </w:r>
      <w:r>
        <w:t xml:space="preserve"> </w:t>
      </w:r>
      <w:r>
        <w:t xml:space="preserve">drawers — and to future entity drawers via the additive-tab pattern. Purpose: relationship communication context.</w:t>
      </w:r>
    </w:p>
    <w:p>
      <w:pPr>
        <w:pStyle w:val="BodyText"/>
      </w:pPr>
      <w:r>
        <w:t xml:space="preserve">Includes: communication timeline, read receipts, communication health, consent status, quick reply, internal notes.</w:t>
      </w:r>
    </w:p>
    <w:p>
      <w:pPr>
        <w:pStyle w:val="BodyText"/>
      </w:pPr>
      <w:r>
        <w:rPr>
          <w:i/>
        </w:rPr>
        <w:t xml:space="preserve">Does not contain: inbox management, assignment management, deliverability dashboards, or bulk messaging tools — those belong to the Command Center.</w:t>
      </w:r>
    </w:p>
    <w:p>
      <w:pPr>
        <w:pStyle w:val="Heading2"/>
      </w:pPr>
      <w:bookmarkStart w:id="26" w:name="communication-health"/>
      <w:r>
        <w:t xml:space="preserve">3.3 Communication Health</w:t>
      </w:r>
      <w:bookmarkEnd w:id="26"/>
    </w:p>
    <w:p>
      <w:pPr>
        <w:pStyle w:val="FirstParagraph"/>
      </w:pPr>
      <w:r>
        <w:t xml:space="preserve">Communication Health is a</w:t>
      </w:r>
      <w:r>
        <w:t xml:space="preserve"> </w:t>
      </w:r>
      <w:r>
        <w:rPr>
          <w:b/>
        </w:rPr>
        <w:t xml:space="preserve">first-class platform object, visible everywhere.</w:t>
      </w:r>
      <w:r>
        <w:t xml:space="preserve"> </w:t>
      </w:r>
      <w:r>
        <w:t xml:space="preserve">Metrics: Last Contact, Last Read, Unread Messages, Response Rate, Engagement Score, Channel Preference, Consent Status.</w:t>
      </w:r>
    </w:p>
    <w:p>
      <w:pPr>
        <w:pStyle w:val="BodyText"/>
      </w:pPr>
      <w:r>
        <w:t xml:space="preserve">Read receipts support five states:</w:t>
      </w:r>
      <w:r>
        <w:t xml:space="preserve"> </w:t>
      </w:r>
      <w:r>
        <w:rPr>
          <w:b/>
        </w:rPr>
        <w:t xml:space="preserve">Sent, Delivered, Opened, Clicked, Replied.</w:t>
      </w:r>
    </w:p>
    <w:p>
      <w:pPr>
        <w:pStyle w:val="Heading2"/>
      </w:pPr>
      <w:bookmarkStart w:id="27" w:name="communication-preferences"/>
      <w:r>
        <w:t xml:space="preserve">3.4 Communication Preferences</w:t>
      </w:r>
      <w:bookmarkEnd w:id="27"/>
    </w:p>
    <w:p>
      <w:pPr>
        <w:pStyle w:val="FirstParagraph"/>
      </w:pPr>
      <w:r>
        <w:t xml:space="preserve">Platform-wide communication preferences, held</w:t>
      </w:r>
      <w:r>
        <w:t xml:space="preserve"> </w:t>
      </w:r>
      <w:r>
        <w:rPr>
          <w:b/>
        </w:rPr>
        <w:t xml:space="preserve">per person — not per lead, not per conversation.</w:t>
      </w:r>
    </w:p>
    <w:p>
      <w:pPr>
        <w:pStyle w:val="BodyText"/>
      </w:pPr>
      <w:r>
        <w:t xml:space="preserve">Categories: Email (Transactional, Marketing); SMS (Transactional, Marketing); Announcements; Emergency Alerts. Every change tracks source, timestamp, method, user, and an audit trail.</w:t>
      </w:r>
    </w:p>
    <w:p>
      <w:pPr>
        <w:pStyle w:val="Heading2"/>
      </w:pPr>
      <w:bookmarkStart w:id="28" w:name="unified-timeline"/>
      <w:r>
        <w:t xml:space="preserve">3.5 Unified Timeline</w:t>
      </w:r>
      <w:bookmarkEnd w:id="28"/>
    </w:p>
    <w:p>
      <w:pPr>
        <w:pStyle w:val="FirstParagraph"/>
      </w:pPr>
      <w:r>
        <w:t xml:space="preserve">A single timeline containing Email, SMS, Call, Internal Note, and Announcement — extensible to Portal Message, WhatsApp, and Voice Summary. Chronological and filterable.</w:t>
      </w:r>
    </w:p>
    <w:p>
      <w:pPr>
        <w:pStyle w:val="Heading2"/>
      </w:pPr>
      <w:bookmarkStart w:id="29" w:name="composer-v2"/>
      <w:r>
        <w:t xml:space="preserve">3.6 Composer V2</w:t>
      </w:r>
      <w:bookmarkEnd w:id="29"/>
    </w:p>
    <w:p>
      <w:pPr>
        <w:pStyle w:val="FirstParagraph"/>
      </w:pPr>
      <w:r>
        <w:t xml:space="preserve">A single composer supporting Email, SMS, Internal Notes, attachments, templates, variables, BOS-assisted drafting, send later, drafts, and preview.</w:t>
      </w:r>
    </w:p>
    <w:p>
      <w:pPr>
        <w:pStyle w:val="Heading2"/>
      </w:pPr>
      <w:bookmarkStart w:id="30" w:name="templates"/>
      <w:r>
        <w:t xml:space="preserve">3.7 Templates</w:t>
      </w:r>
      <w:bookmarkEnd w:id="30"/>
    </w:p>
    <w:p>
      <w:pPr>
        <w:pStyle w:val="FirstParagraph"/>
      </w:pPr>
      <w:r>
        <w:rPr>
          <w:b/>
        </w:rPr>
        <w:t xml:space="preserve">Visual-first, not token-first.</w:t>
      </w:r>
      <w:r>
        <w:t xml:space="preserve"> </w:t>
      </w:r>
      <w:r>
        <w:t xml:space="preserve">Features: desktop preview, mobile preview, variables, categories, approval status, reusable snippets.</w:t>
      </w:r>
    </w:p>
    <w:p>
      <w:pPr>
        <w:pStyle w:val="Heading2"/>
      </w:pPr>
      <w:bookmarkStart w:id="31" w:name="announcements"/>
      <w:r>
        <w:t xml:space="preserve">3.8 Announcements</w:t>
      </w:r>
      <w:bookmarkEnd w:id="31"/>
    </w:p>
    <w:p>
      <w:pPr>
        <w:pStyle w:val="FirstParagraph"/>
      </w:pPr>
      <w:r>
        <w:t xml:space="preserve">Built using</w:t>
      </w:r>
      <w:r>
        <w:t xml:space="preserve"> </w:t>
      </w:r>
      <w:r>
        <w:rPr>
          <w:b/>
        </w:rPr>
        <w:t xml:space="preserve">Action Workspace doctrine.</w:t>
      </w:r>
      <w:r>
        <w:t xml:space="preserve"> </w:t>
      </w:r>
      <w:r>
        <w:t xml:space="preserve">Examples: School Closure, Holiday Reminder, Re-enrollment Campaign, Tuition Update, Program Announcement.</w:t>
      </w:r>
      <w:r>
        <w:t xml:space="preserve"> </w:t>
      </w:r>
      <w:r>
        <w:rPr>
          <w:b/>
        </w:rPr>
        <w:t xml:space="preserve">Operator-first — not a Mailchimp clone, not campaign-first.</w:t>
      </w:r>
    </w:p>
    <w:p>
      <w:pPr>
        <w:pStyle w:val="Heading2"/>
      </w:pPr>
      <w:bookmarkStart w:id="32" w:name="bos-requirements"/>
      <w:r>
        <w:t xml:space="preserve">3.9 BOS requirements</w:t>
      </w:r>
      <w:bookmarkEnd w:id="32"/>
    </w:p>
    <w:p>
      <w:pPr>
        <w:pStyle w:val="FirstParagraph"/>
      </w:pPr>
      <w:r>
        <w:t xml:space="preserve">BOS must support: Conversation Summary, Recommended Response, Suggested Follow-Up, Task Recommendations, Enrollment Recommendations, Missing Information Detection, Communication Risk Detection, Read Receipt Analysis, Response Likelihood. Future: communication orchestration. All</w:t>
      </w:r>
      <w:r>
        <w:t xml:space="preserve"> </w:t>
      </w:r>
      <w:r>
        <w:rPr>
          <w:b/>
        </w:rPr>
        <w:t xml:space="preserve">review-first; no auto-send.</w:t>
      </w:r>
    </w:p>
    <w:p>
      <w:pPr>
        <w:pStyle w:val="Heading2"/>
      </w:pPr>
      <w:bookmarkStart w:id="33" w:name="compliance-doctrine"/>
      <w:r>
        <w:t xml:space="preserve">3.10 Compliance doctrine</w:t>
      </w:r>
      <w:bookmarkEnd w:id="33"/>
    </w:p>
    <w:p>
      <w:pPr>
        <w:pStyle w:val="FirstParagraph"/>
      </w:pPr>
      <w:r>
        <w:t xml:space="preserve">Lifecycle:</w:t>
      </w:r>
      <w:r>
        <w:t xml:space="preserve"> </w:t>
      </w:r>
      <w:r>
        <w:rPr>
          <w:b/>
        </w:rPr>
        <w:t xml:space="preserve">Lead → Marketing; Enrolled Customer → Transactional.</w:t>
      </w:r>
      <w:r>
        <w:t xml:space="preserve"> </w:t>
      </w:r>
      <w:r>
        <w:t xml:space="preserve">A promotional-send override is always available when appropriate.</w:t>
      </w:r>
      <w:r>
        <w:t xml:space="preserve"> </w:t>
      </w:r>
      <w:r>
        <w:rPr>
          <w:b/>
        </w:rPr>
        <w:t xml:space="preserve">Default to the safer compliance classification.</w:t>
      </w:r>
      <w:r>
        <w:t xml:space="preserve"> </w:t>
      </w:r>
      <w:r>
        <w:t xml:space="preserve">Compliance controls are</w:t>
      </w:r>
      <w:r>
        <w:t xml:space="preserve"> </w:t>
      </w:r>
      <w:r>
        <w:rPr>
          <w:b/>
        </w:rPr>
        <w:t xml:space="preserve">platform-owned, not tenant-configurable.</w:t>
      </w:r>
    </w:p>
    <w:p>
      <w:pPr>
        <w:pStyle w:val="Heading2"/>
      </w:pPr>
      <w:bookmarkStart w:id="34" w:name="provider-architecture"/>
      <w:r>
        <w:t xml:space="preserve">3.11 Provider architecture</w:t>
      </w:r>
      <w:bookmarkEnd w:id="34"/>
    </w:p>
    <w:p>
      <w:pPr>
        <w:pStyle w:val="FirstParagraph"/>
      </w:pPr>
      <w:r>
        <w:t xml:space="preserve">Email — Phase 1: Microsoft 365, Google Workspace. Future: shared inboxes, multiple domains. SMS — Phase 1: Twilio. Future: additional providers.</w:t>
      </w:r>
      <w:r>
        <w:t xml:space="preserve"> </w:t>
      </w:r>
      <w:r>
        <w:rPr>
          <w:b/>
        </w:rPr>
        <w:t xml:space="preserve">A provider abstraction is required: no provider-specific assumptions in the application layer.</w:t>
      </w:r>
    </w:p>
    <w:p>
      <w:pPr>
        <w:pStyle w:val="Heading2"/>
      </w:pPr>
      <w:bookmarkStart w:id="35" w:name="deliverability-monitoring"/>
      <w:r>
        <w:t xml:space="preserve">3.12 Deliverability &amp; monitoring</w:t>
      </w:r>
      <w:bookmarkEnd w:id="35"/>
    </w:p>
    <w:p>
      <w:pPr>
        <w:pStyle w:val="FirstParagraph"/>
      </w:pPr>
      <w:r>
        <w:t xml:space="preserve">Admin dashboard surfaces delivery failures, bounce rates, unsubscribe rates, spam complaints, domain verification status, sender reputation, and carrier registration status.</w:t>
      </w:r>
    </w:p>
    <w:p>
      <w:pPr>
        <w:pStyle w:val="Heading2"/>
      </w:pPr>
      <w:bookmarkStart w:id="36" w:name="assignment-shared-inbox"/>
      <w:r>
        <w:t xml:space="preserve">3.13 Assignment &amp; shared inbox</w:t>
      </w:r>
      <w:bookmarkEnd w:id="36"/>
    </w:p>
    <w:p>
      <w:pPr>
        <w:pStyle w:val="FirstParagraph"/>
      </w:pPr>
      <w:r>
        <w:t xml:space="preserve">Conversation ownership: assigned user, assigned team, or unassigned. Support claim, reassign, queue routing. SLA tracking for first response, overdue response, stale conversation.</w:t>
      </w:r>
    </w:p>
    <w:p>
      <w:pPr>
        <w:pStyle w:val="Heading1"/>
      </w:pPr>
      <w:bookmarkStart w:id="37" w:name="implementation-order"/>
      <w:r>
        <w:t xml:space="preserve">4. Implementation Order</w:t>
      </w:r>
      <w:bookmarkEnd w:id="37"/>
    </w:p>
    <w:p>
      <w:pPr>
        <w:pStyle w:val="FirstParagraph"/>
      </w:pPr>
      <w:r>
        <w:t xml:space="preserve">Thirteen phases, sequenced so each ships operator-visible value on the canonical path. Detailed tasks, acceptance criteria, dependencies, and estimates live in the Sprint Backlog workbook.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Foundation &amp; Doctrine Lock</w:t>
            </w:r>
          </w:p>
        </w:tc>
        <w:tc>
          <w:p>
            <w:pPr>
              <w:pStyle w:val="Compact"/>
              <w:jc w:val="left"/>
            </w:pPr>
            <w:r>
              <w:t xml:space="preserve">Lock doctrine, data model, and every contract before code. Stand up the guardrail test harness.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Provider Layer</w:t>
            </w:r>
          </w:p>
        </w:tc>
        <w:tc>
          <w:p>
            <w:pPr>
              <w:pStyle w:val="Compact"/>
              <w:jc w:val="left"/>
            </w:pPr>
            <w:r>
              <w:t xml:space="preserve">Channel-agnostic abstraction; Resend/M365/Google/Twilio adapters; inbound + status normalization.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Unified Communication Model</w:t>
            </w:r>
          </w:p>
        </w:tc>
        <w:tc>
          <w:p>
            <w:pPr>
              <w:pStyle w:val="Compact"/>
              <w:jc w:val="left"/>
            </w:pPr>
            <w:r>
              <w:t xml:space="preserve">Canonical schema: thread/message lifecycle, read receipts, health, timeline, preferences, templates, announcements, assignment/SLA, RLS.</w:t>
            </w:r>
          </w:p>
        </w:tc>
        <w:tc>
          <w:p>
            <w:pPr>
              <w:pStyle w:val="Compact"/>
              <w:jc w:val="left"/>
            </w:pPr>
            <w:r>
              <w:t xml:space="preserve">P0, 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 UI</w:t>
            </w:r>
          </w:p>
        </w:tc>
        <w:tc>
          <w:p>
            <w:pPr>
              <w:pStyle w:val="Compact"/>
              <w:jc w:val="left"/>
            </w:pPr>
            <w:r>
              <w:t xml:space="preserve">Three-column shell; operational queues; filters/search; metrics; assignment; single-reveal performance.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Record Communications Tabs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 tab on Lead/Person/Child; shared thread view; receipts, health, consent, quick reply, notes.</w:t>
            </w:r>
          </w:p>
        </w:tc>
        <w:tc>
          <w:p>
            <w:pPr>
              <w:pStyle w:val="Compact"/>
              <w:jc w:val="left"/>
            </w:pPr>
            <w:r>
              <w:t xml:space="preserve">P2, 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Composer V2</w:t>
            </w:r>
          </w:p>
        </w:tc>
        <w:tc>
          <w:p>
            <w:pPr>
              <w:pStyle w:val="Compact"/>
              <w:jc w:val="left"/>
            </w:pPr>
            <w:r>
              <w:t xml:space="preserve">Single unified composer: email/SMS/notes, attachments, templates, variables, BOS drafting, send later, drafts, preview.</w:t>
            </w:r>
          </w:p>
        </w:tc>
        <w:tc>
          <w:p>
            <w:pPr>
              <w:pStyle w:val="Compact"/>
              <w:jc w:val="left"/>
            </w:pPr>
            <w:r>
              <w:t xml:space="preserve">P2, 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t xml:space="preserve">Visual-first builder; desktop+mobile preview; variables; categories; approval; snippets; versioning.</w:t>
            </w:r>
          </w:p>
        </w:tc>
        <w:tc>
          <w:p>
            <w:pPr>
              <w:pStyle w:val="Compact"/>
              <w:jc w:val="left"/>
            </w:pPr>
            <w:r>
              <w:t xml:space="preserve">P2, P5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Announcements</w:t>
            </w:r>
          </w:p>
        </w:tc>
        <w:tc>
          <w:p>
            <w:pPr>
              <w:pStyle w:val="Compact"/>
              <w:jc w:val="left"/>
            </w:pPr>
            <w:r>
              <w:t xml:space="preserve">Action-Workspace builder; targeting; multi-channel delivery; tracking; operator templates.</w:t>
            </w:r>
          </w:p>
        </w:tc>
        <w:tc>
          <w:p>
            <w:pPr>
              <w:pStyle w:val="Compact"/>
              <w:jc w:val="left"/>
            </w:pPr>
            <w:r>
              <w:t xml:space="preserve">P2, P5, P6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Preferences</w:t>
            </w:r>
          </w:p>
        </w:tc>
        <w:tc>
          <w:p>
            <w:pPr>
              <w:pStyle w:val="Compact"/>
              <w:jc w:val="left"/>
            </w:pPr>
            <w:r>
              <w:t xml:space="preserve">Per-person categories; audit trail; send-time consent enforcement; STOP/START/HELP.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Assignment &amp; SLA</w:t>
            </w:r>
          </w:p>
        </w:tc>
        <w:tc>
          <w:p>
            <w:pPr>
              <w:pStyle w:val="Compact"/>
              <w:jc w:val="left"/>
            </w:pPr>
            <w:r>
              <w:t xml:space="preserve">Ownership; claim/reassign/route; SLA timers; at-risk surfacing.</w:t>
            </w:r>
          </w:p>
        </w:tc>
        <w:tc>
          <w:p>
            <w:pPr>
              <w:pStyle w:val="Compact"/>
              <w:jc w:val="left"/>
            </w:pPr>
            <w:r>
              <w:t xml:space="preserve">P2, 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Deliverability</w:t>
            </w:r>
          </w:p>
        </w:tc>
        <w:tc>
          <w:p>
            <w:pPr>
              <w:pStyle w:val="Compact"/>
              <w:jc w:val="left"/>
            </w:pPr>
            <w:r>
              <w:t xml:space="preserve">Admin dashboard: failures, bounce, unsubscribe, spam, domain verification, reputation, carrier status; alerting.</w:t>
            </w:r>
          </w:p>
        </w:tc>
        <w:tc>
          <w:p>
            <w:pPr>
              <w:pStyle w:val="Compact"/>
              <w:jc w:val="left"/>
            </w:pPr>
            <w:r>
              <w:t xml:space="preserve">P1, 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BOS Intelligence</w:t>
            </w:r>
          </w:p>
        </w:tc>
        <w:tc>
          <w:p>
            <w:pPr>
              <w:pStyle w:val="Compact"/>
              <w:jc w:val="left"/>
            </w:pPr>
            <w:r>
              <w:t xml:space="preserve">Summary, recommended response, follow-up, task/enrollment recs, missing-info, risk, receipt analysis, response likelihood.</w:t>
            </w:r>
          </w:p>
        </w:tc>
        <w:tc>
          <w:p>
            <w:pPr>
              <w:pStyle w:val="Compact"/>
              <w:jc w:val="left"/>
            </w:pPr>
            <w:r>
              <w:t xml:space="preserve">P2, 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QA Hardening</w:t>
            </w:r>
          </w:p>
        </w:tc>
        <w:tc>
          <w:p>
            <w:pPr>
              <w:pStyle w:val="Compact"/>
              <w:jc w:val="left"/>
            </w:pPr>
            <w:r>
              <w:t xml:space="preserve">Verify every exit criterion; complete the QA workbook + sign-off. Only then is V2 complete.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Heading1"/>
      </w:pPr>
      <w:bookmarkStart w:id="38" w:name="external-prerequisites-non-blocking"/>
      <w:r>
        <w:t xml:space="preserve">5. External Prerequisites (Non-Blocking)</w:t>
      </w:r>
      <w:bookmarkEnd w:id="38"/>
    </w:p>
    <w:p>
      <w:pPr>
        <w:pStyle w:val="FirstParagraph"/>
      </w:pPr>
      <w:r>
        <w:t xml:space="preserve">These are external prerequisites,</w:t>
      </w:r>
      <w:r>
        <w:t xml:space="preserve"> </w:t>
      </w:r>
      <w:r>
        <w:rPr>
          <w:b/>
        </w:rPr>
        <w:t xml:space="preserve">not engineering tasks. Do not block engineering progress waiting on them.</w:t>
      </w:r>
      <w:r>
        <w:t xml:space="preserve"> </w:t>
      </w:r>
      <w:r>
        <w:t xml:space="preserve">Provider-gated build tasks proceed against the abstraction; only their production cutover and the matching QA depend on these items.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Google</w:t>
      </w:r>
      <w:r>
        <w:t xml:space="preserve"> </w:t>
      </w:r>
      <w:r>
        <w:t xml:space="preserve">— OAuth application; production verification.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Microsoft</w:t>
      </w:r>
      <w:r>
        <w:t xml:space="preserve"> </w:t>
      </w:r>
      <w:r>
        <w:t xml:space="preserve">— Azure application registration; production permissions.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Twilio</w:t>
      </w:r>
      <w:r>
        <w:t xml:space="preserve"> </w:t>
      </w:r>
      <w:r>
        <w:t xml:space="preserve">— account ownership; messaging services; 10DLC registration.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Email domains (per customer)</w:t>
      </w:r>
      <w:r>
        <w:t xml:space="preserve"> </w:t>
      </w:r>
      <w:r>
        <w:t xml:space="preserve">— SPF; DKIM; DMARC. Tenant DNS responsibility.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Legal</w:t>
      </w:r>
      <w:r>
        <w:t xml:space="preserve"> </w:t>
      </w:r>
      <w:r>
        <w:t xml:space="preserve">— review and approve the compliance defaults. No redesign.</w:t>
      </w:r>
    </w:p>
    <w:p>
      <w:pPr>
        <w:pStyle w:val="FirstParagraph"/>
      </w:pPr>
      <w:r>
        <w:t xml:space="preserve">Owner and status for each are tracked on the Prerequisites tab of the backlog workbook.</w:t>
      </w:r>
    </w:p>
    <w:p>
      <w:pPr>
        <w:pStyle w:val="Heading1"/>
      </w:pPr>
      <w:bookmarkStart w:id="39" w:name="qa-exit-criteria"/>
      <w:r>
        <w:t xml:space="preserve">6. QA Exit Criteria</w:t>
      </w:r>
      <w:bookmarkEnd w:id="39"/>
    </w:p>
    <w:p>
      <w:pPr>
        <w:pStyle w:val="FirstParagraph"/>
      </w:pPr>
      <w:r>
        <w:t xml:space="preserve">Communications V2 is complete</w:t>
      </w:r>
      <w:r>
        <w:t xml:space="preserve"> </w:t>
      </w:r>
      <w:r>
        <w:rPr>
          <w:b/>
        </w:rPr>
        <w:t xml:space="preserve">only after QA passes.</w:t>
      </w:r>
      <w:r>
        <w:t xml:space="preserve"> </w:t>
      </w:r>
      <w:r>
        <w:t xml:space="preserve">The QA workbook expands each of these into executable cases with steps, expected results, and sign-off.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Send · Receive · Reply · Read receipt · Bounce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t xml:space="preserve">Send · Receive · STOP · START ·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Communications Tab</w:t>
            </w:r>
          </w:p>
        </w:tc>
        <w:tc>
          <w:p>
            <w:pPr>
              <w:pStyle w:val="Compact"/>
              <w:jc w:val="left"/>
            </w:pPr>
            <w:r>
              <w:t xml:space="preserve">Lead · Person ·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Center</w:t>
            </w:r>
          </w:p>
        </w:tc>
        <w:tc>
          <w:p>
            <w:pPr>
              <w:pStyle w:val="Compact"/>
              <w:jc w:val="left"/>
            </w:pPr>
            <w:r>
              <w:t xml:space="preserve">Assignment · Filters · SLA ·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t xml:space="preserve">Preview · Variables ·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Announcements</w:t>
            </w:r>
          </w:p>
        </w:tc>
        <w:tc>
          <w:p>
            <w:pPr>
              <w:pStyle w:val="Compact"/>
              <w:jc w:val="left"/>
            </w:pPr>
            <w:r>
              <w:t xml:space="preserve">Targeting · Delivery ·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Opt-in · Opt-out · 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</w:t>
            </w:r>
          </w:p>
        </w:tc>
        <w:tc>
          <w:p>
            <w:pPr>
              <w:pStyle w:val="Compact"/>
              <w:jc w:val="left"/>
            </w:pPr>
            <w:r>
              <w:t xml:space="preserve">Summary · Draft response · Follow-up recommendations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No blank shells · Single reveal · Drawer doctrine maintained · BOS rail maintained</w:t>
            </w:r>
          </w:p>
        </w:tc>
      </w:tr>
    </w:tbl>
    <w:p>
      <w:pPr>
        <w:pStyle w:val="Heading1"/>
      </w:pPr>
      <w:bookmarkStart w:id="40" w:name="operating-model"/>
      <w:r>
        <w:t xml:space="preserve">7. Operating Model</w:t>
      </w:r>
      <w:bookmarkEnd w:id="40"/>
    </w:p>
    <w:p>
      <w:pPr>
        <w:pStyle w:val="FirstParagraph"/>
      </w:pPr>
      <w:r>
        <w:t xml:space="preserve">How this sprint runs with minimal intervention from the sponsor:</w:t>
      </w:r>
    </w:p>
    <w:p>
      <w:pPr>
        <w:numPr>
          <w:ilvl w:val="0"/>
          <w:numId w:val="1003"/>
        </w:numPr>
        <w:pStyle w:val="Compact"/>
      </w:pPr>
      <w:r>
        <w:t xml:space="preserve">Do not ask for design decisions unless they conflict with this doctrine.</w:t>
      </w:r>
    </w:p>
    <w:p>
      <w:pPr>
        <w:numPr>
          <w:ilvl w:val="0"/>
          <w:numId w:val="1003"/>
        </w:numPr>
        <w:pStyle w:val="Compact"/>
      </w:pPr>
      <w:r>
        <w:t xml:space="preserve">Do not ask for implementation decisions unless they require an external credential or compliance approval.</w:t>
      </w:r>
    </w:p>
    <w:p>
      <w:pPr>
        <w:numPr>
          <w:ilvl w:val="0"/>
          <w:numId w:val="1003"/>
        </w:numPr>
        <w:pStyle w:val="Compact"/>
      </w:pPr>
      <w:r>
        <w:t xml:space="preserve">Build to completion, then return a QA workbook.</w:t>
      </w:r>
    </w:p>
    <w:p>
      <w:pPr>
        <w:numPr>
          <w:ilvl w:val="0"/>
          <w:numId w:val="1003"/>
        </w:numPr>
        <w:pStyle w:val="Compact"/>
      </w:pPr>
      <w:r>
        <w:t xml:space="preserve">Default to the safer compliance classification whenever ambiguous.</w:t>
      </w:r>
    </w:p>
    <w:p>
      <w:pPr>
        <w:numPr>
          <w:ilvl w:val="0"/>
          <w:numId w:val="1003"/>
        </w:numPr>
        <w:pStyle w:val="Compact"/>
      </w:pPr>
      <w:r>
        <w:t xml:space="preserve">Extend the canonical</w:t>
      </w:r>
      <w:r>
        <w:t xml:space="preserve"> </w:t>
      </w:r>
      <w:r>
        <w:rPr>
          <w:rStyle w:val="VerbatimChar"/>
        </w:rPr>
        <w:t xml:space="preserve">communication_*</w:t>
      </w:r>
      <w:r>
        <w:t xml:space="preserve"> </w:t>
      </w:r>
      <w:r>
        <w:t xml:space="preserve">path; do not expand the legacy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schema.</w:t>
      </w:r>
    </w:p>
    <w:p>
      <w:pPr>
        <w:pStyle w:val="FirstParagraph"/>
      </w:pPr>
      <w:r>
        <w:t xml:space="preserve">A task is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when its acceptance criteria are met, the relevant doctrine guardrails Pass, tests are green, no provider-specific logic has leaked into the application layer, org + location scope is enforced, and the no-blank-shell / single-reveal / drawer / BOS-rail performance doctrine holds. A</w:t>
      </w:r>
      <w:r>
        <w:t xml:space="preserve"> </w:t>
      </w:r>
      <w:r>
        <w:rPr>
          <w:b/>
        </w:rPr>
        <w:t xml:space="preserve">phase exits</w:t>
      </w:r>
      <w:r>
        <w:t xml:space="preserve"> </w:t>
      </w:r>
      <w:r>
        <w:t xml:space="preserve">when all its tasks are Done and its roadmap exit criteria are satisfied. The</w:t>
      </w:r>
      <w:r>
        <w:t xml:space="preserve"> </w:t>
      </w:r>
      <w:r>
        <w:rPr>
          <w:b/>
        </w:rPr>
        <w:t xml:space="preserve">program is complete</w:t>
      </w:r>
      <w:r>
        <w:t xml:space="preserve"> </w:t>
      </w:r>
      <w:r>
        <w:t xml:space="preserve">only when every QA exit criterion passes and sign-off is recorded.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Alloy Communications V2 — Command Center Sprint</dc:title>
  <dc:creator>Plan &amp; Doctrine</dc:creator>
  <cp:keywords/>
  <dcterms:created xsi:type="dcterms:W3CDTF">2026-06-11T03:03:02Z</dcterms:created>
  <dcterms:modified xsi:type="dcterms:W3CDTF">2026-06-11T03:03:02Z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