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Communications</w:t>
      </w:r>
      <w:r>
        <w:t xml:space="preserve"> </w:t>
      </w:r>
      <w:r>
        <w:t xml:space="preserve">Workspace</w:t>
      </w:r>
      <w:r>
        <w:t xml:space="preserve"> </w:t>
      </w:r>
      <w:r>
        <w:t xml:space="preserve">V1</w:t>
      </w:r>
      <w:r>
        <w:t xml:space="preserve"> </w:t>
      </w:r>
      <w:r>
        <w:t xml:space="preserve">—</w:t>
      </w:r>
      <w:r>
        <w:t xml:space="preserve"> </w:t>
      </w:r>
      <w:r>
        <w:t xml:space="preserve">Visual</w:t>
      </w:r>
      <w:r>
        <w:t xml:space="preserve"> </w:t>
      </w:r>
      <w:r>
        <w:t xml:space="preserve">Redesign</w:t>
      </w:r>
      <w:r>
        <w:t xml:space="preserve"> </w:t>
      </w:r>
      <w:r>
        <w:t xml:space="preserve">Blueprint</w:t>
      </w:r>
    </w:p>
    <w:p>
      <w:pPr>
        <w:pStyle w:val="Author"/>
      </w:pPr>
      <w:r>
        <w:t xml:space="preserve">Premium</w:t>
      </w:r>
      <w:r>
        <w:t xml:space="preserve"> </w:t>
      </w:r>
      <w:r>
        <w:t xml:space="preserve">/</w:t>
      </w:r>
      <w:r>
        <w:t xml:space="preserve"> </w:t>
      </w:r>
      <w:r>
        <w:t xml:space="preserve">operator-experience</w:t>
      </w:r>
      <w:r>
        <w:t xml:space="preserve"> </w:t>
      </w:r>
      <w:r>
        <w:t xml:space="preserve">pass.</w:t>
      </w:r>
      <w:r>
        <w:t xml:space="preserve"> </w:t>
      </w:r>
      <w:r>
        <w:t xml:space="preserve">No</w:t>
      </w:r>
      <w:r>
        <w:t xml:space="preserve"> </w:t>
      </w:r>
      <w:r>
        <w:t xml:space="preserve">code,</w:t>
      </w:r>
      <w:r>
        <w:t xml:space="preserve"> </w:t>
      </w:r>
      <w:r>
        <w:t xml:space="preserve">no</w:t>
      </w:r>
      <w:r>
        <w:t xml:space="preserve"> </w:t>
      </w:r>
      <w:r>
        <w:t xml:space="preserve">architecture,</w:t>
      </w:r>
      <w:r>
        <w:t xml:space="preserve"> </w:t>
      </w:r>
      <w:r>
        <w:t xml:space="preserve">no</w:t>
      </w:r>
      <w:r>
        <w:t xml:space="preserve"> </w:t>
      </w:r>
      <w:r>
        <w:t xml:space="preserve">schema,</w:t>
      </w:r>
      <w:r>
        <w:t xml:space="preserve"> </w:t>
      </w:r>
      <w:r>
        <w:t xml:space="preserve">no</w:t>
      </w:r>
      <w:r>
        <w:t xml:space="preserve"> </w:t>
      </w:r>
      <w:r>
        <w:t xml:space="preserve">backend</w:t>
      </w:r>
      <w:r>
        <w:t xml:space="preserve"> </w:t>
      </w:r>
      <w:r>
        <w:t xml:space="preserve">changes.</w:t>
      </w:r>
    </w:p>
    <w:p>
      <w:pPr>
        <w:pStyle w:val="Date"/>
      </w:pPr>
      <w:r>
        <w:t xml:space="preserve">Alloy</w:t>
      </w:r>
      <w:r>
        <w:t xml:space="preserve"> </w:t>
      </w:r>
      <w:r>
        <w:t xml:space="preserve">·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Command</w:t>
      </w:r>
      <w:r>
        <w:t xml:space="preserve"> </w:t>
      </w:r>
      <w:r>
        <w:t xml:space="preserve">Center</w:t>
      </w:r>
      <w:r>
        <w:t xml:space="preserve"> </w:t>
      </w:r>
      <w:r>
        <w:t xml:space="preserve">·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Xeae4c81d1130840b9c4348e4d112c275b43992d"/>
      <w:r>
        <w:t xml:space="preserve">Communications Workspace V1 — Visual Redesign Blueprint</w:t>
      </w:r>
      <w:bookmarkEnd w:id="20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This is the visual and operator-experience blueprint that will guide implementation of the Communications workspace.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build task. No code, no architecture changes, no backend changes, no schema changes. It optimizes for</w:t>
      </w:r>
      <w:r>
        <w:t xml:space="preserve"> </w:t>
      </w:r>
      <w:r>
        <w:rPr>
          <w:b/>
        </w:rPr>
        <w:t xml:space="preserve">operator confidence, context density, workflow clarity, premium presentation, and decision support</w:t>
      </w:r>
      <w:r>
        <w:t xml:space="preserve"> </w:t>
      </w:r>
      <w:r>
        <w:t xml:space="preserve">— explicitly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simplicity.</w:t>
      </w:r>
    </w:p>
    <w:p>
      <w:pPr>
        <w:pStyle w:val="BodyText"/>
      </w:pPr>
      <w:r>
        <w:rPr>
          <w:b/>
        </w:rPr>
        <w:t xml:space="preserve">The problem it fixes.</w:t>
      </w:r>
      <w:r>
        <w:t xml:space="preserve"> </w:t>
      </w:r>
      <w:r>
        <w:t xml:space="preserve">The current implementation reads as wireframes assembled from cards: generous whitespace, one signal per card, soft hierarchy, little operational density. It feels like a prototype. The redesign makes Communications feel like</w:t>
      </w:r>
      <w:r>
        <w:t xml:space="preserve"> </w:t>
      </w:r>
      <w:r>
        <w:rPr>
          <w:i/>
        </w:rPr>
        <w:t xml:space="preserve">operational software</w:t>
      </w:r>
      <w:r>
        <w:t xml:space="preserve"> </w:t>
      </w:r>
      <w:r>
        <w:t xml:space="preserve">— a first-class Alloy workspace that sits beside BOS, Forms, Work Units, and Record Drawers,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beside Gmail or HubSpot.</w:t>
      </w:r>
    </w:p>
    <w:p>
      <w:pPr>
        <w:pStyle w:val="BodyText"/>
      </w:pPr>
      <w:r>
        <w:rPr>
          <w:b/>
        </w:rPr>
        <w:t xml:space="preserve">Locked doctrine (unchanged, the redesign honors all of it).</w:t>
      </w:r>
      <w:r>
        <w:t xml:space="preserve"> </w:t>
      </w:r>
      <w:r>
        <w:t xml:space="preserve">Communications is a</w:t>
      </w:r>
      <w:r>
        <w:t xml:space="preserve"> </w:t>
      </w:r>
      <w:r>
        <w:rPr>
          <w:b/>
        </w:rPr>
        <w:t xml:space="preserve">Family Communication Workspace</w:t>
      </w:r>
      <w:r>
        <w:t xml:space="preserve">. The unit of work is</w:t>
      </w:r>
      <w:r>
        <w:t xml:space="preserve"> </w:t>
      </w:r>
      <w:r>
        <w:rPr>
          <w:b/>
        </w:rPr>
        <w:t xml:space="preserve">Family + Communication State</w:t>
      </w:r>
      <w:r>
        <w:t xml:space="preserve">, never Message + Folder. It is modal-based by intention (like BOS, Records, Tasks, Processing). The</w:t>
      </w:r>
      <w:r>
        <w:t xml:space="preserve"> </w:t>
      </w:r>
      <w:r>
        <w:rPr>
          <w:b/>
        </w:rPr>
        <w:t xml:space="preserve">BOS command rail is pinned right, shell-owned, and untouched</w:t>
      </w:r>
      <w:r>
        <w:t xml:space="preserve"> </w:t>
      </w:r>
      <w:r>
        <w:t xml:space="preserve">— no redesign, no move, no second panel, no embedding into content. Two modes:</w:t>
      </w:r>
      <w:r>
        <w:t xml:space="preserve"> </w:t>
      </w:r>
      <w:r>
        <w:rPr>
          <w:b/>
        </w:rPr>
        <w:t xml:space="preserve">Conversations</w:t>
      </w:r>
      <w:r>
        <w:t xml:space="preserve"> </w:t>
      </w:r>
      <w:r>
        <w:t xml:space="preserve">(family-centric, 1:1) and</w:t>
      </w:r>
      <w:r>
        <w:t xml:space="preserve"> </w:t>
      </w:r>
      <w:r>
        <w:rPr>
          <w:b/>
        </w:rPr>
        <w:t xml:space="preserve">Announcements</w:t>
      </w:r>
      <w:r>
        <w:t xml:space="preserve"> </w:t>
      </w:r>
      <w:r>
        <w:t xml:space="preserve">(audience-centric, 1:many). No folders, no unread-first navigation, no two-pane email reader, no auto-send, no campaign automation.</w:t>
      </w:r>
    </w:p>
    <w:p>
      <w:pPr>
        <w:pStyle w:val="BodyText"/>
      </w:pPr>
      <w:r>
        <w:rPr>
          <w:b/>
        </w:rPr>
        <w:t xml:space="preserve">What’s in this document.</w:t>
      </w:r>
      <w:r>
        <w:t xml:space="preserve"> </w:t>
      </w:r>
      <w:r>
        <w:t xml:space="preserve">The four annotated mockups were delivered live in chat (Conversations workspace, Communication Health &amp; Consent system, Drawer Communications tab, Announcements mode). This document is the written companion that carries the other deliverables: component inventory, before/after critique, the per-surface redesigns in prose, the health and consent system, the composer, the Alloy design-language alignment, and the final implementation plan.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component-inventory"/>
      <w:r>
        <w:t xml:space="preserve">1. Component inventory</w:t>
      </w:r>
      <w:bookmarkEnd w:id="21"/>
    </w:p>
    <w:p>
      <w:pPr>
        <w:pStyle w:val="FirstParagraph"/>
      </w:pPr>
      <w:r>
        <w:t xml:space="preserve">Every redesign element renders on components that already exist in the Communications V2 tree. Nothing below requires a new service, route, table, or provider. This sprint is</w:t>
      </w:r>
      <w:r>
        <w:t xml:space="preserve"> </w:t>
      </w:r>
      <w:r>
        <w:rPr>
          <w:b/>
        </w:rPr>
        <w:t xml:space="preserve">composition + styling</w:t>
      </w:r>
      <w:r>
        <w:t xml:space="preserve">, not construction.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Drives off (existing)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Redesign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 toggle (Conversations / Announcements)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InboxModal</w:t>
            </w:r>
            <w:r>
              <w:t xml:space="preserve"> </w:t>
            </w:r>
            <w:r>
              <w:t xml:space="preserve">hook +</w:t>
            </w:r>
            <w:r>
              <w:t xml:space="preserve"> </w:t>
            </w:r>
            <w:r>
              <w:rPr>
                <w:rStyle w:val="VerbatimChar"/>
              </w:rPr>
              <w:t xml:space="preserve">CommandCenterShell</w:t>
            </w:r>
          </w:p>
        </w:tc>
        <w:tc>
          <w:p>
            <w:pPr>
              <w:pStyle w:val="Compact"/>
              <w:jc w:val="left"/>
            </w:pPr>
            <w:r>
              <w:t xml:space="preserve">Header segmented control; switches body. UI state 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KPI ribbon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commandCenterViewModel.computeCommandCenterMetrics</w:t>
            </w:r>
          </w:p>
        </w:tc>
        <w:tc>
          <w:p>
            <w:pPr>
              <w:pStyle w:val="Compact"/>
              <w:jc w:val="left"/>
            </w:pPr>
            <w:r>
              <w:t xml:space="preserve">Dense metric strip above the queue (New, Needs response, SLA at risk, Sent today, Response rate).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Operational queue groups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commandCenterViewModel.OPERATIONAL_QUEUES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groupConversationsByQueue</w:t>
            </w:r>
          </w:p>
        </w:tc>
        <w:tc>
          <w:p>
            <w:pPr>
              <w:pStyle w:val="Compact"/>
              <w:jc w:val="left"/>
            </w:pPr>
            <w:r>
              <w:t xml:space="preserve">Work-unit-style rows grouped by state. No folders.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Mine / All + SLA sort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commandCenterViewModel.applyQueueFilters</w:t>
            </w:r>
          </w:p>
        </w:tc>
        <w:tc>
          <w:p>
            <w:pPr>
              <w:pStyle w:val="Compact"/>
              <w:jc w:val="left"/>
            </w:pPr>
            <w:r>
              <w:t xml:space="preserve">Owner filter + SLA-first ordering.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Family snapshot header</w:t>
            </w:r>
          </w:p>
        </w:tc>
        <w:tc>
          <w:p>
            <w:pPr>
              <w:pStyle w:val="Compact"/>
              <w:jc w:val="left"/>
            </w:pPr>
            <w:r>
              <w:t xml:space="preserve">conversation fields +</w:t>
            </w:r>
            <w:r>
              <w:t xml:space="preserve"> </w:t>
            </w:r>
            <w:r>
              <w:rPr>
                <w:rStyle w:val="VerbatimChar"/>
              </w:rPr>
              <w:t xml:space="preserve">GET /communications/health</w:t>
            </w:r>
          </w:p>
        </w:tc>
        <w:tc>
          <w:p>
            <w:pPr>
              <w:pStyle w:val="Compact"/>
              <w:jc w:val="left"/>
            </w:pPr>
            <w:r>
              <w:t xml:space="preserve">Family, children, program, location, stage, owner — strong identity band.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Family KPI band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communicationHealth.computeCommunicationHealth</w:t>
            </w:r>
          </w:p>
        </w:tc>
        <w:tc>
          <w:p>
            <w:pPr>
              <w:pStyle w:val="Compact"/>
              <w:jc w:val="left"/>
            </w:pPr>
            <w:r>
              <w:t xml:space="preserve">Response rate, open rate, avg response time, last contact.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Engagement health badge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communicationHealth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bosIntelligence.detectCommunicationRisk</w:t>
            </w:r>
          </w:p>
        </w:tc>
        <w:tc>
          <w:p>
            <w:pPr>
              <w:pStyle w:val="Compact"/>
              <w:jc w:val="left"/>
            </w:pPr>
            <w:r>
              <w:t xml:space="preserve">Healthy / At Risk / Unresponsive + the driver.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strip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communication_preferences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preferences.ts</w:t>
            </w:r>
          </w:p>
        </w:tc>
        <w:tc>
          <w:p>
            <w:pPr>
              <w:pStyle w:val="Compact"/>
              <w:jc w:val="left"/>
            </w:pPr>
            <w:r>
              <w:t xml:space="preserve">Email / SMS / Marketing state, shown</w:t>
            </w:r>
            <w:r>
              <w:t xml:space="preserve"> </w:t>
            </w:r>
            <w:r>
              <w:rPr>
                <w:b/>
              </w:rPr>
              <w:t xml:space="preserve">separately</w:t>
            </w:r>
            <w:r>
              <w:t xml:space="preserve"> </w:t>
            </w:r>
            <w:r>
              <w:t xml:space="preserve">from health.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Channel-laned timeline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recordTabModel.buildRecordCommunicationsModel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deliveryReceipts</w:t>
            </w:r>
          </w:p>
        </w:tc>
        <w:tc>
          <w:p>
            <w:pPr>
              <w:pStyle w:val="Compact"/>
              <w:jc w:val="left"/>
            </w:pPr>
            <w:r>
              <w:t xml:space="preserve">One chronological stream, channel-tagged, receipts inline.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composer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ComposerV2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composerModel</w:t>
            </w:r>
          </w:p>
        </w:tc>
        <w:tc>
          <w:p>
            <w:pPr>
              <w:pStyle w:val="Compact"/>
              <w:jc w:val="left"/>
            </w:pPr>
            <w:r>
              <w:t xml:space="preserve">Email-first, channel + consent always visible, BOS-draft affordance.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 rail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AdminV2WorkspaceBosModalShell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CommandRailBosMount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Untouched.</w:t>
            </w:r>
            <w:r>
              <w:t xml:space="preserve"> </w:t>
            </w:r>
            <w:r>
              <w:t xml:space="preserve">Shell-owned, pinned right.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Announcements 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/communications/announcements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announcementModel</w:t>
            </w:r>
          </w:p>
        </w:tc>
        <w:tc>
          <w:p>
            <w:pPr>
              <w:pStyle w:val="Compact"/>
              <w:jc w:val="left"/>
            </w:pPr>
            <w:r>
              <w:t xml:space="preserve">Draft / Scheduled / Sent, status-laned.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templatesAnnouncements.ANNOUNCEMENT_CLASSIFICATIONS</w:t>
            </w:r>
          </w:p>
        </w:tc>
        <w:tc>
          <w:p>
            <w:pPr>
              <w:pStyle w:val="Compact"/>
              <w:jc w:val="left"/>
            </w:pPr>
            <w:r>
              <w:t xml:space="preserve">Marketing / Emergency selector + badge.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Audience funnel + forecast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announcementModel.resolveAudience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planAnnouncementDeliveries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aggregateAnnouncementTracking</w:t>
            </w:r>
          </w:p>
        </w:tc>
        <w:tc>
          <w:p>
            <w:pPr>
              <w:pStyle w:val="Compact"/>
              <w:jc w:val="left"/>
            </w:pPr>
            <w:r>
              <w:t xml:space="preserve">Matched → Eligible → Will-receive, with consent impact + delivery forecast.</w:t>
            </w:r>
          </w:p>
        </w:tc>
      </w:tr>
    </w:tbl>
    <w:p>
      <w:pPr>
        <w:pStyle w:val="BodyText"/>
      </w:pPr>
      <w:r>
        <w:rPr>
          <w:b/>
        </w:rPr>
        <w:t xml:space="preserve">Shared-component principle.</w:t>
      </w:r>
      <w:r>
        <w:t xml:space="preserve"> </w:t>
      </w:r>
      <w:r>
        <w:t xml:space="preserve">The middle-column pieces — snapshot, KPI band, health badge, consent strip, timeline, composer — must be extracted as</w:t>
      </w:r>
      <w:r>
        <w:t xml:space="preserve"> </w:t>
      </w:r>
      <w:r>
        <w:rPr>
          <w:b/>
        </w:rPr>
        <w:t xml:space="preserve">shared presentational components</w:t>
      </w:r>
      <w:r>
        <w:t xml:space="preserve">. The drawer Communications tab (</w:t>
      </w:r>
      <w:r>
        <w:rPr>
          <w:rStyle w:val="VerbatimChar"/>
        </w:rPr>
        <w:t xml:space="preserve">RecordCommunicationsTab</w:t>
      </w:r>
      <w:r>
        <w:t xml:space="preserve">, scoped to one family) renders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components at a smaller scale. One communication experience, two scopes. There is no second, divergent drawer design.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before-vs-after-critique"/>
      <w:r>
        <w:t xml:space="preserve">2. Before vs after critique</w:t>
      </w:r>
      <w:bookmarkEnd w:id="22"/>
    </w:p>
    <w:p>
      <w:pPr>
        <w:pStyle w:val="FirstParagraph"/>
      </w:pPr>
      <w:r>
        <w:t xml:space="preserve">The current build is not wrong — it is under-developed. It encodes the right doctrine in the wrong visual grammar. The critique below is by surface; each line is a concrete defect and its fix.</w:t>
      </w:r>
    </w:p>
    <w:p>
      <w:pPr>
        <w:pStyle w:val="BodyText"/>
      </w:pPr>
      <w:r>
        <w:rPr>
          <w:b/>
        </w:rPr>
        <w:t xml:space="preserve">Queue (current).</w:t>
      </w:r>
      <w:r>
        <w:t xml:space="preserve"> </w:t>
      </w:r>
      <w:r>
        <w:t xml:space="preserve">Conversations sit in tall, padded cards with one or two facts each, ordered roughly by recency. An operator cannot triage at a glance: there is no SLA signal, no owner, no health, no attention reason. It reads like an inbox list, which quietly reintroduces the unread-first mental model the doctrine rejects.</w:t>
      </w:r>
    </w:p>
    <w:p>
      <w:pPr>
        <w:pStyle w:val="BodyText"/>
      </w:pPr>
      <w:r>
        <w:rPr>
          <w:b/>
        </w:rPr>
        <w:t xml:space="preserve">Queue (redesign).</w:t>
      </w:r>
      <w:r>
        <w:t xml:space="preserve"> </w:t>
      </w:r>
      <w:r>
        <w:t xml:space="preserve">Dense work-unit rows. Each row carries a full signal cluster on one line: family name (primary), children · program (secondary), and a cluster of health dot · SLA chip · needs-response badge · owner avatar · last-activity. Rows are grouped by operational state with live counts, ordered SLA-first. A KPI ribbon sits above. The operator triages the whole queue without clicking. This is the single largest confidence gain in the redesign.</w:t>
      </w:r>
    </w:p>
    <w:p>
      <w:pPr>
        <w:pStyle w:val="BodyText"/>
      </w:pPr>
      <w:r>
        <w:rPr>
          <w:b/>
        </w:rPr>
        <w:t xml:space="preserve">Family workspace (current).</w:t>
      </w:r>
      <w:r>
        <w:t xml:space="preserve"> </w:t>
      </w:r>
      <w:r>
        <w:t xml:space="preserve">A stack of cards: a thin header, then messages, then a small reply box. Family identity is weak, there are no performance signals, consent is either absent or fused into a generic status line, and the composer is an afterthought.</w:t>
      </w:r>
    </w:p>
    <w:p>
      <w:pPr>
        <w:pStyle w:val="BodyText"/>
      </w:pPr>
      <w:r>
        <w:rPr>
          <w:b/>
        </w:rPr>
        <w:t xml:space="preserve">Family workspace (redesign).</w:t>
      </w:r>
      <w:r>
        <w:t xml:space="preserve"> </w:t>
      </w:r>
      <w:r>
        <w:t xml:space="preserve">A strong identity header (family, children, program, location, stage, owner), a KPI band directly beneath it, an engagement-health badge with its driver, and a</w:t>
      </w:r>
      <w:r>
        <w:t xml:space="preserve"> </w:t>
      </w:r>
      <w:r>
        <w:rPr>
          <w:b/>
        </w:rPr>
        <w:t xml:space="preserve">separate</w:t>
      </w:r>
      <w:r>
        <w:t xml:space="preserve"> </w:t>
      </w:r>
      <w:r>
        <w:t xml:space="preserve">consent strip. Below that, a channel-laned chronological timeline occupying the majority of the column, and a workspace-sized composer — not a reply box. The operator has full context before composing.</w:t>
      </w:r>
    </w:p>
    <w:p>
      <w:pPr>
        <w:pStyle w:val="BodyText"/>
      </w:pPr>
      <w:r>
        <w:rPr>
          <w:b/>
        </w:rPr>
        <w:t xml:space="preserve">Drawer Communications tab (current).</w:t>
      </w:r>
      <w:r>
        <w:t xml:space="preserve"> </w:t>
      </w:r>
      <w:r>
        <w:t xml:space="preserve">A legacy section that looks unrelated to the workspace — a different layout, different density, a separate mental model.</w:t>
      </w:r>
    </w:p>
    <w:p>
      <w:pPr>
        <w:pStyle w:val="BodyText"/>
      </w:pPr>
      <w:r>
        <w:rPr>
          <w:b/>
        </w:rPr>
        <w:t xml:space="preserve">Drawer (redesign).</w:t>
      </w:r>
      <w:r>
        <w:t xml:space="preserve"> </w:t>
      </w:r>
      <w:r>
        <w:t xml:space="preserve">The same shared components, scoped to one family, at drawer density. The fixed drawer core tabs (Overview / Communications / Notes / Documents / Activity) are preserved; the Communications tab simply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a single-family slice of the workspace. Consistency removes the</w:t>
      </w:r>
      <w:r>
        <w:t xml:space="preserve"> </w:t>
      </w:r>
      <w:r>
        <w:t xml:space="preserve">“</w:t>
      </w:r>
      <w:r>
        <w:t xml:space="preserve">two products</w:t>
      </w:r>
      <w:r>
        <w:t xml:space="preserve">”</w:t>
      </w:r>
      <w:r>
        <w:t xml:space="preserve"> </w:t>
      </w:r>
      <w:r>
        <w:t xml:space="preserve">feeling.</w:t>
      </w:r>
    </w:p>
    <w:p>
      <w:pPr>
        <w:pStyle w:val="BodyText"/>
      </w:pPr>
      <w:r>
        <w:rPr>
          <w:b/>
        </w:rPr>
        <w:t xml:space="preserve">Announcements (current).</w:t>
      </w:r>
      <w:r>
        <w:t xml:space="preserve"> </w:t>
      </w:r>
      <w:r>
        <w:t xml:space="preserve">Effectively a second composer with a recipient count. There is no audience reasoning, no consent impact, no forecast — so an operator cannot see</w:t>
      </w:r>
      <w:r>
        <w:t xml:space="preserve"> </w:t>
      </w:r>
      <w:r>
        <w:rPr>
          <w:i/>
        </w:rPr>
        <w:t xml:space="preserve">who</w:t>
      </w:r>
      <w:r>
        <w:t xml:space="preserve"> </w:t>
      </w:r>
      <w:r>
        <w:t xml:space="preserve">will receive a broadcast or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others won’t.</w:t>
      </w:r>
    </w:p>
    <w:p>
      <w:pPr>
        <w:pStyle w:val="BodyText"/>
      </w:pPr>
      <w:r>
        <w:rPr>
          <w:b/>
        </w:rPr>
        <w:t xml:space="preserve">Announcements (redesign).</w:t>
      </w:r>
      <w:r>
        <w:t xml:space="preserve"> </w:t>
      </w:r>
      <w:r>
        <w:t xml:space="preserve">Audience-centric and visibly distinct from Conversations. A criteria builder, a Matched → Eligible → Will-receive funnel with explicit Excluded and Opted-out counts, a consent-impact breakdown, and a delivery forecast — all before a review-first send. One-to-many is unmistakable.</w:t>
      </w:r>
    </w:p>
    <w:p>
      <w:pPr>
        <w:pStyle w:val="BodyText"/>
      </w:pPr>
      <w:r>
        <w:rPr>
          <w:b/>
        </w:rPr>
        <w:t xml:space="preserve">Cross-cutting (current → redesign).</w:t>
      </w:r>
      <w:r>
        <w:t xml:space="preserve"> </w:t>
      </w:r>
      <w:r>
        <w:t xml:space="preserve">Soft hierarchy → deliberate type scale and weight. One-signal cards → multi-signal rows. Whitespace as default → density as default with whitespace earning its place. Health and consent blurred → orthogonal and separately legible. Composer as accessory → composer as a primary work area.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queue-redesign"/>
      <w:r>
        <w:t xml:space="preserve">3. Queue redesign</w:t>
      </w:r>
      <w:bookmarkEnd w:id="23"/>
    </w:p>
    <w:p>
      <w:pPr>
        <w:pStyle w:val="FirstParagraph"/>
      </w:pPr>
      <w:r>
        <w:t xml:space="preserve">The queue is where operator confidence is won or lost. It must answer, in one scan,</w:t>
      </w:r>
      <w:r>
        <w:t xml:space="preserve"> </w:t>
      </w:r>
      <w:r>
        <w:t xml:space="preserve">“</w:t>
      </w:r>
      <w:r>
        <w:t xml:space="preserve">what needs me, and how urgently.</w:t>
      </w:r>
      <w:r>
        <w:t xml:space="preserve">”</w:t>
      </w:r>
    </w:p>
    <w:p>
      <w:pPr>
        <w:pStyle w:val="BodyText"/>
      </w:pPr>
      <w:r>
        <w:rPr>
          <w:b/>
        </w:rPr>
        <w:t xml:space="preserve">Grammar.</w:t>
      </w:r>
      <w:r>
        <w:t xml:space="preserve"> </w:t>
      </w:r>
      <w:r>
        <w:t xml:space="preserve">Adopt the work-unit row grammar already used elsewhere in Alloy. Each conversation is a row, not a card. The row is information-dense by design: a single line should carry family identity, the secondary context, and the full operational signal cluster.</w:t>
      </w:r>
    </w:p>
    <w:p>
      <w:pPr>
        <w:pStyle w:val="BodyText"/>
      </w:pPr>
      <w:r>
        <w:rPr>
          <w:b/>
        </w:rPr>
        <w:t xml:space="preserve">Grouping.</w:t>
      </w:r>
      <w:r>
        <w:t xml:space="preserve"> </w:t>
      </w:r>
      <w:r>
        <w:t xml:space="preserve">Group by operational state — Awaiting Parent Reply, Needs Follow-Up, Documents Missing, Re-enrollment, Waitlist — using the existing</w:t>
      </w:r>
      <w:r>
        <w:t xml:space="preserve"> </w:t>
      </w:r>
      <w:r>
        <w:rPr>
          <w:rStyle w:val="VerbatimChar"/>
        </w:rPr>
        <w:t xml:space="preserve">OPERATIONAL_QUEUES</w:t>
      </w:r>
      <w:r>
        <w:t xml:space="preserve">. Each group header shows a live count. These are</w:t>
      </w:r>
      <w:r>
        <w:t xml:space="preserve"> </w:t>
      </w:r>
      <w:r>
        <w:rPr>
          <w:i/>
        </w:rPr>
        <w:t xml:space="preserve">states</w:t>
      </w:r>
      <w:r>
        <w:t xml:space="preserve">, not folders: a family moves between them as its communication state changes, and never lives in two at once for navigation purposes.</w:t>
      </w:r>
    </w:p>
    <w:p>
      <w:pPr>
        <w:pStyle w:val="BodyText"/>
      </w:pPr>
      <w:r>
        <w:rPr>
          <w:b/>
        </w:rPr>
        <w:t xml:space="preserve">Ordering.</w:t>
      </w:r>
      <w:r>
        <w:t xml:space="preserve"> </w:t>
      </w:r>
      <w:r>
        <w:t xml:space="preserve">SLA-first, then attention reason, then unread. Never unread-first — unread is a signal, not a sort key.</w:t>
      </w:r>
    </w:p>
    <w:p>
      <w:pPr>
        <w:pStyle w:val="BodyText"/>
      </w:pPr>
      <w:r>
        <w:rPr>
          <w:b/>
        </w:rPr>
        <w:t xml:space="preserve">Signal cluster (per row).</w:t>
      </w:r>
      <w:r>
        <w:t xml:space="preserve"> </w:t>
      </w:r>
      <w:r>
        <w:t xml:space="preserve">Health dot (green/amber/red), SLA chip (on-track / due / overdue with time), needs-response badge, owner avatar (or</w:t>
      </w:r>
      <w:r>
        <w:t xml:space="preserve"> </w:t>
      </w:r>
      <w:r>
        <w:t xml:space="preserve">“</w:t>
      </w:r>
      <w:r>
        <w:t xml:space="preserve">unassigned</w:t>
      </w:r>
      <w:r>
        <w:t xml:space="preserve">”</w:t>
      </w:r>
      <w:r>
        <w:t xml:space="preserve">), and last-activity timestamp. The cluster is consistent left-to-right so the eye learns one pattern.</w:t>
      </w:r>
    </w:p>
    <w:p>
      <w:pPr>
        <w:pStyle w:val="BodyText"/>
      </w:pPr>
      <w:r>
        <w:rPr>
          <w:b/>
        </w:rPr>
        <w:t xml:space="preserve">KPI ribbon.</w:t>
      </w:r>
      <w:r>
        <w:t xml:space="preserve"> </w:t>
      </w:r>
      <w:r>
        <w:t xml:space="preserve">Above the queue: New, Needs response, SLA at risk, Sent today, Response rate — from</w:t>
      </w:r>
      <w:r>
        <w:t xml:space="preserve"> </w:t>
      </w:r>
      <w:r>
        <w:rPr>
          <w:rStyle w:val="VerbatimChar"/>
        </w:rPr>
        <w:t xml:space="preserve">computeCommandCenterMetrics</w:t>
      </w:r>
      <w:r>
        <w:t xml:space="preserve">. This frames the queue with the day’s operational reality.</w:t>
      </w:r>
    </w:p>
    <w:p>
      <w:pPr>
        <w:pStyle w:val="BodyText"/>
      </w:pPr>
      <w:r>
        <w:rPr>
          <w:b/>
        </w:rPr>
        <w:t xml:space="preserve">Filters.</w:t>
      </w:r>
      <w:r>
        <w:t xml:space="preserve"> </w:t>
      </w:r>
      <w:r>
        <w:t xml:space="preserve">Mine / All toggle (owner filter) and channel/location/search, all already supported by</w:t>
      </w:r>
      <w:r>
        <w:t xml:space="preserve"> </w:t>
      </w:r>
      <w:r>
        <w:rPr>
          <w:rStyle w:val="VerbatimChar"/>
        </w:rPr>
        <w:t xml:space="preserve">applyQueueFilters</w:t>
      </w:r>
      <w:r>
        <w:t xml:space="preserve">. Default to the operator’s own work, SLA-sorted.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family-workspace-redesign"/>
      <w:r>
        <w:t xml:space="preserve">4. Family workspace redesign</w:t>
      </w:r>
      <w:bookmarkEnd w:id="24"/>
    </w:p>
    <w:p>
      <w:pPr>
        <w:pStyle w:val="FirstParagraph"/>
      </w:pPr>
      <w:r>
        <w:t xml:space="preserve">The family workspace is the 1:1 surface. It must give the operator</w:t>
      </w:r>
      <w:r>
        <w:t xml:space="preserve"> </w:t>
      </w:r>
      <w:r>
        <w:rPr>
          <w:i/>
        </w:rPr>
        <w:t xml:space="preserve">full context before composing</w:t>
      </w:r>
      <w:r>
        <w:t xml:space="preserve"> </w:t>
      </w:r>
      <w:r>
        <w:t xml:space="preserve">and make the act of composing feel first-class.</w:t>
      </w:r>
    </w:p>
    <w:p>
      <w:pPr>
        <w:pStyle w:val="BodyText"/>
      </w:pPr>
      <w:r>
        <w:rPr>
          <w:b/>
        </w:rPr>
        <w:t xml:space="preserve">Identity header.</w:t>
      </w:r>
      <w:r>
        <w:t xml:space="preserve"> </w:t>
      </w:r>
      <w:r>
        <w:t xml:space="preserve">Family name as the clear primary; children · program · location · stage · owner as a structured secondary band. This is the anchor — it should read like a record header, not a chat title.</w:t>
      </w:r>
    </w:p>
    <w:p>
      <w:pPr>
        <w:pStyle w:val="BodyText"/>
      </w:pPr>
      <w:r>
        <w:rPr>
          <w:b/>
        </w:rPr>
        <w:t xml:space="preserve">KPI band.</w:t>
      </w:r>
      <w:r>
        <w:t xml:space="preserve"> </w:t>
      </w:r>
      <w:r>
        <w:t xml:space="preserve">Directly beneath the header: response rate, open rate, average response time, last contact. These come from</w:t>
      </w:r>
      <w:r>
        <w:t xml:space="preserve"> </w:t>
      </w:r>
      <w:r>
        <w:rPr>
          <w:rStyle w:val="VerbatimChar"/>
        </w:rPr>
        <w:t xml:space="preserve">computeCommunicationHealth</w:t>
      </w:r>
      <w:r>
        <w:t xml:space="preserve">. They convert</w:t>
      </w:r>
      <w:r>
        <w:t xml:space="preserve"> </w:t>
      </w:r>
      <w:r>
        <w:t xml:space="preserve">“</w:t>
      </w:r>
      <w:r>
        <w:t xml:space="preserve">how is this relationship going</w:t>
      </w:r>
      <w:r>
        <w:t xml:space="preserve">”</w:t>
      </w:r>
      <w:r>
        <w:t xml:space="preserve"> </w:t>
      </w:r>
      <w:r>
        <w:t xml:space="preserve">from a guess into a glance.</w:t>
      </w:r>
    </w:p>
    <w:p>
      <w:pPr>
        <w:pStyle w:val="BodyText"/>
      </w:pPr>
      <w:r>
        <w:rPr>
          <w:b/>
        </w:rPr>
        <w:t xml:space="preserve">Engagement health badge.</w:t>
      </w:r>
      <w:r>
        <w:t xml:space="preserve"> </w:t>
      </w:r>
      <w:r>
        <w:t xml:space="preserve">Healthy / At Risk / Unresponsive,</w:t>
      </w:r>
      <w:r>
        <w:t xml:space="preserve"> </w:t>
      </w:r>
      <w:r>
        <w:rPr>
          <w:i/>
        </w:rPr>
        <w:t xml:space="preserve">with its driver</w:t>
      </w:r>
      <w:r>
        <w:t xml:space="preserve"> </w:t>
      </w:r>
      <w:r>
        <w:t xml:space="preserve">(</w:t>
      </w:r>
      <w:r>
        <w:t xml:space="preserve">“</w:t>
      </w:r>
      <w:r>
        <w:t xml:space="preserve">opened, no reply 5d</w:t>
      </w:r>
      <w:r>
        <w:t xml:space="preserve">”</w:t>
      </w:r>
      <w:r>
        <w:t xml:space="preserve">). The driver is essential — a status without a reason is not decision support.</w:t>
      </w:r>
    </w:p>
    <w:p>
      <w:pPr>
        <w:pStyle w:val="BodyText"/>
      </w:pPr>
      <w:r>
        <w:rPr>
          <w:b/>
        </w:rPr>
        <w:t xml:space="preserve">Consent strip (separate).</w:t>
      </w:r>
      <w:r>
        <w:t xml:space="preserve"> </w:t>
      </w:r>
      <w:r>
        <w:t xml:space="preserve">Email / SMS / Marketing consent shown as its own row, visually distinct from health. This separation is doctrine: an engaged family can be opted out, and an unresponsive family can be fully opted in. The two axes are orthogonal and must never be collapsed into one badge.</w:t>
      </w:r>
    </w:p>
    <w:p>
      <w:pPr>
        <w:pStyle w:val="BodyText"/>
      </w:pPr>
      <w:r>
        <w:rPr>
          <w:b/>
        </w:rPr>
        <w:t xml:space="preserve">Channel-laned timeline.</w:t>
      </w:r>
      <w:r>
        <w:t xml:space="preserve"> </w:t>
      </w:r>
      <w:r>
        <w:t xml:space="preserve">One chronological stream — email, SMS, call, note, system events — each tagged by channel, with delivery receipts (sent → delivered → opened → replied) inline. No tabs, no per-channel views, no two-pane reader. This is the largest region of the column (~60%).</w:t>
      </w:r>
    </w:p>
    <w:p>
      <w:pPr>
        <w:pStyle w:val="BodyText"/>
      </w:pPr>
      <w:r>
        <w:rPr>
          <w:b/>
        </w:rPr>
        <w:t xml:space="preserve">Composer.</w:t>
      </w:r>
      <w:r>
        <w:t xml:space="preserve"> </w:t>
      </w:r>
      <w:r>
        <w:t xml:space="preserve">A workspace-sized composer (~40%), email-first, with the channel toggle and consent state always visible at the point of sending, plus a BOS-assisted-draft affordance (review-first, non-auto). Detailed in §8.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drawer-communications-redesign"/>
      <w:r>
        <w:t xml:space="preserve">5. Drawer Communications redesign</w:t>
      </w:r>
      <w:bookmarkEnd w:id="25"/>
    </w:p>
    <w:p>
      <w:pPr>
        <w:pStyle w:val="FirstParagraph"/>
      </w:pPr>
      <w:r>
        <w:t xml:space="preserve">The drawer is the</w:t>
      </w:r>
      <w:r>
        <w:t xml:space="preserve"> </w:t>
      </w:r>
      <w:r>
        <w:rPr>
          <w:i/>
        </w:rPr>
        <w:t xml:space="preserve">scoped</w:t>
      </w:r>
      <w:r>
        <w:t xml:space="preserve"> </w:t>
      </w:r>
      <w:r>
        <w:t xml:space="preserve">expression of the same workspace. When an operator opens a Lead / Person / Child drawer and selects the Communications tab, they should see the family workspace they already know, narrowed to that one family.</w:t>
      </w:r>
    </w:p>
    <w:p>
      <w:pPr>
        <w:pStyle w:val="BodyText"/>
      </w:pPr>
      <w:r>
        <w:rPr>
          <w:b/>
        </w:rPr>
        <w:t xml:space="preserve">Reuse, don’t reinvent.</w:t>
      </w:r>
      <w:r>
        <w:t xml:space="preserve"> </w:t>
      </w:r>
      <w:r>
        <w:t xml:space="preserve">The snapshot header, KPI band, health badge, consent strip, timeline, and a compact composer are the</w:t>
      </w:r>
      <w:r>
        <w:t xml:space="preserve"> </w:t>
      </w:r>
      <w:r>
        <w:rPr>
          <w:b/>
        </w:rPr>
        <w:t xml:space="preserve">same shared components</w:t>
      </w:r>
      <w:r>
        <w:t xml:space="preserve"> </w:t>
      </w:r>
      <w:r>
        <w:t xml:space="preserve">rendered at drawer density. No separate layout, no separate interaction model.</w:t>
      </w:r>
    </w:p>
    <w:p>
      <w:pPr>
        <w:pStyle w:val="BodyText"/>
      </w:pPr>
      <w:r>
        <w:rPr>
          <w:b/>
        </w:rPr>
        <w:t xml:space="preserve">Preserve drawer doctrine.</w:t>
      </w:r>
      <w:r>
        <w:t xml:space="preserve"> </w:t>
      </w:r>
      <w:r>
        <w:t xml:space="preserve">The fixed core tabs (Overview / Communications / Notes / Documents / Activity) stay exactly as they are. The Communications tab gains the workspace components; the rest of the drawer is untouched.</w:t>
      </w:r>
    </w:p>
    <w:p>
      <w:pPr>
        <w:pStyle w:val="BodyText"/>
      </w:pPr>
      <w:r>
        <w:rPr>
          <w:b/>
        </w:rPr>
        <w:t xml:space="preserve">Scope discipline.</w:t>
      </w:r>
      <w:r>
        <w:t xml:space="preserve"> </w:t>
      </w:r>
      <w:r>
        <w:t xml:space="preserve">No inbox, no assignment, no deliverability, no bulk tools inside the tab — those are Command Center concerns. The drawer is read + reply for one family. This keeps the two scopes coherent: the Command Center is where you</w:t>
      </w:r>
      <w:r>
        <w:t xml:space="preserve"> </w:t>
      </w:r>
      <w:r>
        <w:rPr>
          <w:i/>
        </w:rPr>
        <w:t xml:space="preserve">work the queue</w:t>
      </w:r>
      <w:r>
        <w:t xml:space="preserve">; the drawer is where you</w:t>
      </w:r>
      <w:r>
        <w:t xml:space="preserve"> </w:t>
      </w:r>
      <w:r>
        <w:rPr>
          <w:i/>
        </w:rPr>
        <w:t xml:space="preserve">handle one family in the flow of their record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announcements-redesign"/>
      <w:r>
        <w:t xml:space="preserve">6. Announcements redesign</w:t>
      </w:r>
      <w:bookmarkEnd w:id="26"/>
    </w:p>
    <w:p>
      <w:pPr>
        <w:pStyle w:val="FirstParagraph"/>
      </w:pPr>
      <w:r>
        <w:t xml:space="preserve">Announcements is audience-centric and must look and behave differently from Conversations, so an operator never confuses a broadcast with a reply.</w:t>
      </w:r>
    </w:p>
    <w:p>
      <w:pPr>
        <w:pStyle w:val="BodyText"/>
      </w:pPr>
      <w:r>
        <w:rPr>
          <w:b/>
        </w:rPr>
        <w:t xml:space="preserve">List, not queue.</w:t>
      </w:r>
      <w:r>
        <w:t xml:space="preserve"> </w:t>
      </w:r>
      <w:r>
        <w:t xml:space="preserve">The left column becomes a status-laned list — Draft / Scheduled / Sent — with audience size and classification per item. No operational queues, no assignment.</w:t>
      </w:r>
    </w:p>
    <w:p>
      <w:pPr>
        <w:pStyle w:val="BodyText"/>
      </w:pPr>
      <w:r>
        <w:rPr>
          <w:b/>
        </w:rPr>
        <w:t xml:space="preserve">Classification.</w:t>
      </w:r>
      <w:r>
        <w:t xml:space="preserve"> </w:t>
      </w:r>
      <w:r>
        <w:t xml:space="preserve">A Marketing / Emergency selector with a clear badge, from</w:t>
      </w:r>
      <w:r>
        <w:t xml:space="preserve"> </w:t>
      </w:r>
      <w:r>
        <w:rPr>
          <w:rStyle w:val="VerbatimChar"/>
        </w:rPr>
        <w:t xml:space="preserve">ANNOUNCEMENT_CLASSIFICATIONS</w:t>
      </w:r>
      <w:r>
        <w:t xml:space="preserve">. Classification drives consent behavior and must be set deliberately and visibly.</w:t>
      </w:r>
    </w:p>
    <w:p>
      <w:pPr>
        <w:pStyle w:val="BodyText"/>
      </w:pPr>
      <w:r>
        <w:rPr>
          <w:b/>
        </w:rPr>
        <w:t xml:space="preserve">Audience funnel.</w:t>
      </w:r>
      <w:r>
        <w:t xml:space="preserve"> </w:t>
      </w:r>
      <w:r>
        <w:t xml:space="preserve">The centerpiece:</w:t>
      </w:r>
      <w:r>
        <w:t xml:space="preserve"> </w:t>
      </w:r>
      <w:r>
        <w:rPr>
          <w:b/>
        </w:rPr>
        <w:t xml:space="preserve">Matched → Eligible → Will-receive</w:t>
      </w:r>
      <w:r>
        <w:t xml:space="preserve">, rendered as a short funnel, with explicit counts for Excluded-by-criteria, Opted-out-of-marketing, and No-channel. This makes the difference between</w:t>
      </w:r>
      <w:r>
        <w:t xml:space="preserve"> </w:t>
      </w:r>
      <w:r>
        <w:t xml:space="preserve">“</w:t>
      </w:r>
      <w:r>
        <w:t xml:space="preserve">who I targeted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who will actually receive</w:t>
      </w:r>
      <w:r>
        <w:t xml:space="preserve">”</w:t>
      </w:r>
      <w:r>
        <w:t xml:space="preserve"> </w:t>
      </w:r>
      <w:r>
        <w:t xml:space="preserve">visible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sending — the single most important decision-support element in this mode.</w:t>
      </w:r>
    </w:p>
    <w:p>
      <w:pPr>
        <w:pStyle w:val="BodyText"/>
      </w:pPr>
      <w:r>
        <w:rPr>
          <w:b/>
        </w:rPr>
        <w:t xml:space="preserve">Consent impact.</w:t>
      </w:r>
      <w:r>
        <w:t xml:space="preserve"> </w:t>
      </w:r>
      <w:r>
        <w:t xml:space="preserve">A breakdown of skipped recipients by reason (e.g.,</w:t>
      </w:r>
      <w:r>
        <w:t xml:space="preserve"> </w:t>
      </w:r>
      <w:r>
        <w:t xml:space="preserve">“</w:t>
      </w:r>
      <w:r>
        <w:t xml:space="preserve">9 opted out of marketing</w:t>
      </w:r>
      <w:r>
        <w:t xml:space="preserve">”</w:t>
      </w:r>
      <w:r>
        <w:t xml:space="preserve">), driven by</w:t>
      </w:r>
      <w:r>
        <w:t xml:space="preserve"> </w:t>
      </w:r>
      <w:r>
        <w:rPr>
          <w:rStyle w:val="VerbatimChar"/>
        </w:rPr>
        <w:t xml:space="preserve">planAnnouncementDeliveries</w:t>
      </w:r>
      <w:r>
        <w:t xml:space="preserve">, which already skips opted-out recipients. The operator sees the compliance consequence of their audience, not a silent omission.</w:t>
      </w:r>
    </w:p>
    <w:p>
      <w:pPr>
        <w:pStyle w:val="BodyText"/>
      </w:pPr>
      <w:r>
        <w:rPr>
          <w:b/>
        </w:rPr>
        <w:t xml:space="preserve">Delivery forecast.</w:t>
      </w:r>
      <w:r>
        <w:t xml:space="preserve"> </w:t>
      </w:r>
      <w:r>
        <w:t xml:space="preserve">Estimated delivered, estimated opens (from historical rates), and the channel split. This sets expectations and supports send-timing decisions.</w:t>
      </w:r>
    </w:p>
    <w:p>
      <w:pPr>
        <w:pStyle w:val="BodyText"/>
      </w:pPr>
      <w:r>
        <w:rPr>
          <w:b/>
        </w:rPr>
        <w:t xml:space="preserve">Review-first send.</w:t>
      </w:r>
      <w:r>
        <w:t xml:space="preserve"> </w:t>
      </w:r>
      <w:r>
        <w:t xml:space="preserve">The primary action reads</w:t>
      </w:r>
      <w:r>
        <w:t xml:space="preserve"> </w:t>
      </w:r>
      <w:r>
        <w:t xml:space="preserve">“</w:t>
      </w:r>
      <w:r>
        <w:t xml:space="preserve">Review &amp; send to N</w:t>
      </w:r>
      <w:r>
        <w:t xml:space="preserve">”</w:t>
      </w:r>
      <w:r>
        <w:t xml:space="preserve"> </w:t>
      </w:r>
      <w:r>
        <w:t xml:space="preserve">— never an auto-send, never a scheduled campaign automation. Sending is always an explicit, reviewed operator action.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communication-health-system"/>
      <w:r>
        <w:t xml:space="preserve">7. Communication health system</w:t>
      </w:r>
      <w:bookmarkEnd w:id="27"/>
    </w:p>
    <w:p>
      <w:pPr>
        <w:pStyle w:val="FirstParagraph"/>
      </w:pPr>
      <w:r>
        <w:t xml:space="preserve">Health and consent are two different questions, and the redesign keeps them rigorously separate. Conflating them is the most common failure mode of communication tooling, and the doctrine forbids it.</w:t>
      </w:r>
    </w:p>
    <w:p>
      <w:pPr>
        <w:pStyle w:val="BodyText"/>
      </w:pPr>
      <w:r>
        <w:rPr>
          <w:b/>
        </w:rPr>
        <w:t xml:space="preserve">Health answers: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how is this relationship going?</w:t>
      </w:r>
      <w:r>
        <w:rPr>
          <w:b/>
        </w:rPr>
        <w:t xml:space="preserve">”</w:t>
      </w:r>
      <w:r>
        <w:t xml:space="preserve"> </w:t>
      </w:r>
      <w:r>
        <w:t xml:space="preserve">Three states, each with a visible driver: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Healthy</w:t>
      </w:r>
      <w:r>
        <w:t xml:space="preserve"> </w:t>
      </w:r>
      <w:r>
        <w:t xml:space="preserve">— recent two-way contact, responses within the expected window. Driver example:</w:t>
      </w:r>
      <w:r>
        <w:t xml:space="preserve"> </w:t>
      </w:r>
      <w:r>
        <w:t xml:space="preserve">“</w:t>
      </w:r>
      <w:r>
        <w:t xml:space="preserve">replied 1d ago.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At Risk</w:t>
      </w:r>
      <w:r>
        <w:t xml:space="preserve"> </w:t>
      </w:r>
      <w:r>
        <w:t xml:space="preserve">— engagement is slipping: opened but not replying, or response times lengthening. Driver example:</w:t>
      </w:r>
      <w:r>
        <w:t xml:space="preserve"> </w:t>
      </w:r>
      <w:r>
        <w:t xml:space="preserve">“</w:t>
      </w:r>
      <w:r>
        <w:t xml:space="preserve">opened, no reply 5d.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Unresponsive</w:t>
      </w:r>
      <w:r>
        <w:t xml:space="preserve"> </w:t>
      </w:r>
      <w:r>
        <w:t xml:space="preserve">— sustained silence across attempts. Driver example:</w:t>
      </w:r>
      <w:r>
        <w:t xml:space="preserve"> </w:t>
      </w:r>
      <w:r>
        <w:t xml:space="preserve">“</w:t>
      </w:r>
      <w:r>
        <w:t xml:space="preserve">3 messages, no open 12d.</w:t>
      </w:r>
      <w:r>
        <w:t xml:space="preserve">”</w:t>
      </w:r>
    </w:p>
    <w:p>
      <w:pPr>
        <w:pStyle w:val="FirstParagraph"/>
      </w:pPr>
      <w:r>
        <w:t xml:space="preserve">States and drivers come from</w:t>
      </w:r>
      <w:r>
        <w:t xml:space="preserve"> </w:t>
      </w:r>
      <w:r>
        <w:rPr>
          <w:rStyle w:val="VerbatimChar"/>
        </w:rPr>
        <w:t xml:space="preserve">computeCommunicationHealth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detectCommunicationRisk</w:t>
      </w:r>
      <w:r>
        <w:t xml:space="preserve"> </w:t>
      </w:r>
      <w:r>
        <w:t xml:space="preserve">— deterministic, review-first, no auto-action.</w:t>
      </w:r>
    </w:p>
    <w:p>
      <w:pPr>
        <w:pStyle w:val="BodyText"/>
      </w:pPr>
      <w:r>
        <w:rPr>
          <w:b/>
        </w:rPr>
        <w:t xml:space="preserve">Consent answers: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 am I permitted to send?</w:t>
      </w:r>
      <w:r>
        <w:rPr>
          <w:b/>
        </w:rPr>
        <w:t xml:space="preserve">”</w:t>
      </w:r>
      <w:r>
        <w:t xml:space="preserve"> </w:t>
      </w:r>
      <w:r>
        <w:t xml:space="preserve">Per-channel: Email, SMS, and Marketing, each opted-in or opted-out, with the lifecycle default (Lead → Marketing-eligible, Enrolled → Transactional, safer default, an override never beats an explicit opt-out). This is</w:t>
      </w:r>
      <w:r>
        <w:t xml:space="preserve"> </w:t>
      </w:r>
      <w:r>
        <w:rPr>
          <w:rStyle w:val="VerbatimChar"/>
        </w:rPr>
        <w:t xml:space="preserve">communication_preferences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consentGate</w:t>
      </w:r>
      <w:r>
        <w:t xml:space="preserve">.</w:t>
      </w:r>
    </w:p>
    <w:p>
      <w:pPr>
        <w:pStyle w:val="BodyText"/>
      </w:pPr>
      <w:r>
        <w:rPr>
          <w:b/>
        </w:rPr>
        <w:t xml:space="preserve">Orthogonality, made visible.</w:t>
      </w:r>
      <w:r>
        <w:t xml:space="preserve"> </w:t>
      </w:r>
      <w:r>
        <w:t xml:space="preserve">The system must render the cross-products clearly, because they are the cases that trip operators up: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Healthy + Opted-out of marketing</w:t>
      </w:r>
      <w:r>
        <w:t xml:space="preserve"> </w:t>
      </w:r>
      <w:r>
        <w:t xml:space="preserve">— a great relationship you still may not send marketing to.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Unresponsive + Fully opted-in</w:t>
      </w:r>
      <w:r>
        <w:t xml:space="preserve"> </w:t>
      </w:r>
      <w:r>
        <w:t xml:space="preserve">— you</w:t>
      </w:r>
      <w:r>
        <w:t xml:space="preserve"> </w:t>
      </w:r>
      <w:r>
        <w:rPr>
          <w:i/>
        </w:rPr>
        <w:t xml:space="preserve">may</w:t>
      </w:r>
      <w:r>
        <w:t xml:space="preserve"> </w:t>
      </w:r>
      <w:r>
        <w:t xml:space="preserve">send, but should reconsider channel or message, not blast.</w:t>
      </w:r>
    </w:p>
    <w:p>
      <w:pPr>
        <w:pStyle w:val="FirstParagraph"/>
      </w:pPr>
      <w:r>
        <w:t xml:space="preserve">Health is shown as a badge with a driver; consent as a separate strip/matrix. They never share a pill. At the point of sending (composer and announcements), the relevant consent state is always visible so the permitted action is never ambiguous.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composer-redesign"/>
      <w:r>
        <w:t xml:space="preserve">8. Composer redesign</w:t>
      </w:r>
      <w:bookmarkEnd w:id="28"/>
    </w:p>
    <w:p>
      <w:pPr>
        <w:pStyle w:val="FirstParagraph"/>
      </w:pPr>
      <w:r>
        <w:t xml:space="preserve">The composer is a primary work area, not a reply box. In the family workspace it occupies roughly 40% of the column; in the drawer it is compact but the same component.</w:t>
      </w:r>
    </w:p>
    <w:p>
      <w:pPr>
        <w:pStyle w:val="BodyText"/>
      </w:pPr>
      <w:r>
        <w:rPr>
          <w:b/>
        </w:rPr>
        <w:t xml:space="preserve">Email-first, multi-channel aware.</w:t>
      </w:r>
      <w:r>
        <w:t xml:space="preserve"> </w:t>
      </w:r>
      <w:r>
        <w:t xml:space="preserve">Email is the default surface, with a channel toggle to SMS / Note. SMS is disabled (with a reason) when there is no phone or no binding. The active channel is always obvious.</w:t>
      </w:r>
    </w:p>
    <w:p>
      <w:pPr>
        <w:pStyle w:val="BodyText"/>
      </w:pPr>
      <w:r>
        <w:rPr>
          <w:b/>
        </w:rPr>
        <w:t xml:space="preserve">Consent always visible.</w:t>
      </w:r>
      <w:r>
        <w:t xml:space="preserve"> </w:t>
      </w:r>
      <w:r>
        <w:t xml:space="preserve">The recipient’s consent state for the active channel is shown inline at the point of composing — sending to an opted-out recipient is blocked by the consent gate, and the composer surfaces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rather than failing silently.</w:t>
      </w:r>
    </w:p>
    <w:p>
      <w:pPr>
        <w:pStyle w:val="BodyText"/>
      </w:pPr>
      <w:r>
        <w:rPr>
          <w:b/>
        </w:rPr>
        <w:t xml:space="preserve">Templates + variables.</w:t>
      </w:r>
      <w:r>
        <w:t xml:space="preserve"> </w:t>
      </w:r>
      <w:r>
        <w:t xml:space="preserve">Approved templates are selectable; variables (</w:t>
      </w:r>
      <w:r>
        <w:rPr>
          <w:rStyle w:val="VerbatimChar"/>
        </w:rPr>
        <w:t xml:space="preserve">{{first_name}}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{{program}}</w:t>
      </w:r>
      <w:r>
        <w:t xml:space="preserve">, …) resolve in a live preview with no broken tokens, via</w:t>
      </w:r>
      <w:r>
        <w:t xml:space="preserve"> </w:t>
      </w:r>
      <w:r>
        <w:rPr>
          <w:rStyle w:val="VerbatimChar"/>
        </w:rPr>
        <w:t xml:space="preserve">templateRender</w:t>
      </w:r>
      <w:r>
        <w:t xml:space="preserve">. Desktop/mobile preview is available.</w:t>
      </w:r>
    </w:p>
    <w:p>
      <w:pPr>
        <w:pStyle w:val="BodyText"/>
      </w:pPr>
      <w:r>
        <w:rPr>
          <w:b/>
        </w:rPr>
        <w:t xml:space="preserve">BOS-assisted draft (review-first).</w:t>
      </w:r>
      <w:r>
        <w:t xml:space="preserve"> </w:t>
      </w:r>
      <w:r>
        <w:t xml:space="preserve">A clearly-labeled affordance to pull a BOS-suggested draft into the composer. It is advisory: the draft lands in the editable field, nothing sends without an explicit operator Send click. This affordance lives</w:t>
      </w:r>
      <w:r>
        <w:t xml:space="preserve"> </w:t>
      </w:r>
      <w:r>
        <w:rPr>
          <w:i/>
        </w:rPr>
        <w:t xml:space="preserve">in the composer</w:t>
      </w:r>
      <w:r>
        <w:t xml:space="preserve">, while BOS</w:t>
      </w:r>
      <w:r>
        <w:t xml:space="preserve"> </w:t>
      </w:r>
      <w:r>
        <w:rPr>
          <w:i/>
        </w:rPr>
        <w:t xml:space="preserve">cards</w:t>
      </w:r>
      <w:r>
        <w:t xml:space="preserve"> </w:t>
      </w:r>
      <w:r>
        <w:t xml:space="preserve">remain in the shell-owned rail — the rail is never embedded into the composer.</w:t>
      </w:r>
    </w:p>
    <w:p>
      <w:pPr>
        <w:pStyle w:val="BodyText"/>
      </w:pPr>
      <w:r>
        <w:rPr>
          <w:b/>
        </w:rPr>
        <w:t xml:space="preserve">No auto-send, anywhere.</w:t>
      </w:r>
      <w:r>
        <w:t xml:space="preserve"> </w:t>
      </w:r>
      <w:r>
        <w:t xml:space="preserve">Every send is an explicit, reviewed click. This is invariant across Conversations and Announcements.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alloy-design-language-alignment"/>
      <w:r>
        <w:t xml:space="preserve">9. Alloy design-language alignment</w:t>
      </w:r>
      <w:bookmarkEnd w:id="29"/>
    </w:p>
    <w:p>
      <w:pPr>
        <w:pStyle w:val="FirstParagraph"/>
      </w:pPr>
      <w:r>
        <w:t xml:space="preserve">The goal is that Communications reads as the same product as BOS, Records, and Work Units — same spacing system, same hierarchy logic, same color semantics, same density. Four levers:</w:t>
      </w:r>
    </w:p>
    <w:p>
      <w:pPr>
        <w:pStyle w:val="BodyText"/>
      </w:pPr>
      <w:r>
        <w:rPr>
          <w:b/>
        </w:rPr>
        <w:t xml:space="preserve">Spacing.</w:t>
      </w:r>
      <w:r>
        <w:t xml:space="preserve"> </w:t>
      </w:r>
      <w:r>
        <w:t xml:space="preserve">Move from card-padding-as-default to a tighter, consistent spacing scale. Whitespace should separate</w:t>
      </w:r>
      <w:r>
        <w:t xml:space="preserve"> </w:t>
      </w:r>
      <w:r>
        <w:rPr>
          <w:i/>
        </w:rPr>
        <w:t xml:space="preserve">logical groups</w:t>
      </w:r>
      <w:r>
        <w:t xml:space="preserve">, not pad every element. Rows are compact; sections are delineated by hairline borders and small, consistent gaps — the same rhythm as work-unit lists and record drawers.</w:t>
      </w:r>
    </w:p>
    <w:p>
      <w:pPr>
        <w:pStyle w:val="BodyText"/>
      </w:pPr>
      <w:r>
        <w:rPr>
          <w:b/>
        </w:rPr>
        <w:t xml:space="preserve">Hierarchy.</w:t>
      </w:r>
      <w:r>
        <w:t xml:space="preserve"> </w:t>
      </w:r>
      <w:r>
        <w:t xml:space="preserve">A deliberate type scale: family/announcement title as primary, structured secondary metadata, and small-caps section labels (AUDIENCE, DELIVERY FORECAST, ENGAGEMENT). Weight and size carry hierarchy; color is reserved for semantics, not emphasis. Each surface has exactly one primary action, visually dominant.</w:t>
      </w:r>
    </w:p>
    <w:p>
      <w:pPr>
        <w:pStyle w:val="BodyText"/>
      </w:pPr>
      <w:r>
        <w:rPr>
          <w:b/>
        </w:rPr>
        <w:t xml:space="preserve">Color.</w:t>
      </w:r>
      <w:r>
        <w:t xml:space="preserve"> </w:t>
      </w:r>
      <w:r>
        <w:t xml:space="preserve">Color is semantic, not decorative. Green/amber/red for health and SLA; the warning/amber accent reserved for Announcements (broadcast = caution); success for delivered/sent; danger for consent blocks and opt-outs. Neutral surfaces everywhere else. This is the same semantic palette the rest of Alloy uses, so signals read identically across the product.</w:t>
      </w:r>
    </w:p>
    <w:p>
      <w:pPr>
        <w:pStyle w:val="BodyText"/>
      </w:pPr>
      <w:r>
        <w:rPr>
          <w:b/>
        </w:rPr>
        <w:t xml:space="preserve">Density.</w:t>
      </w:r>
      <w:r>
        <w:t xml:space="preserve"> </w:t>
      </w:r>
      <w:r>
        <w:t xml:space="preserve">Density is the default, calibrated to the operator. The queue shows many rows without scrolling; the workspace shows full context without hunting; the announcement funnel shows the whole audience reasoning in one band. Density is what makes it feel like operational software rather than a consumer inbox — and it is the through-line of every surface in this blueprint.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final-implementation-plan"/>
      <w:r>
        <w:t xml:space="preserve">10. Final implementation plan</w:t>
      </w:r>
      <w:bookmarkEnd w:id="30"/>
    </w:p>
    <w:p>
      <w:pPr>
        <w:pStyle w:val="FirstParagraph"/>
      </w:pPr>
      <w:r>
        <w:t xml:space="preserve">On approval of this blueprint, build proceeds under the existing bundle/gate workflow — each surface flag-gated, validated on Kelly’s run. The sizing task (UI-1) gates everything visual. No architecture, schema, provider, route, or BOS changes; composition + styling only.</w:t>
      </w:r>
    </w:p>
    <w:p>
      <w:pPr>
        <w:pStyle w:val="BodyText"/>
      </w:pPr>
      <w:r>
        <w:rPr>
          <w:b/>
        </w:rPr>
        <w:t xml:space="preserve">UI-1 — Workspace modal sizing.</w:t>
      </w:r>
      <w:r>
        <w:t xml:space="preserve"> </w:t>
      </w:r>
      <w:r>
        <w:t xml:space="preserve">Render</w:t>
      </w:r>
      <w:r>
        <w:t xml:space="preserve"> </w:t>
      </w:r>
      <w:r>
        <w:rPr>
          <w:rStyle w:val="VerbatimChar"/>
        </w:rPr>
        <w:t xml:space="preserve">CommandCenterShell</w:t>
      </w:r>
      <w:r>
        <w:t xml:space="preserve"> </w:t>
      </w:r>
      <w:r>
        <w:t xml:space="preserve">at full workspace scale inside</w:t>
      </w:r>
      <w:r>
        <w:t xml:space="preserve"> </w:t>
      </w:r>
      <w:r>
        <w:rPr>
          <w:rStyle w:val="VerbatimChar"/>
        </w:rPr>
        <w:t xml:space="preserve">AdminV2WorkspaceBosModalShell</w:t>
      </w:r>
      <w:r>
        <w:t xml:space="preserve">; 3-column</w:t>
      </w:r>
      <w:r>
        <w:t xml:space="preserve"> </w:t>
      </w:r>
      <w:r>
        <w:rPr>
          <w:rStyle w:val="VerbatimChar"/>
        </w:rPr>
        <w:t xml:space="preserve">min-h-0</w:t>
      </w:r>
      <w:r>
        <w:t xml:space="preserve"> </w:t>
      </w:r>
      <w:r>
        <w:t xml:space="preserve">layout fills it; BOS rail visible, no clipping.</w:t>
      </w:r>
      <w:r>
        <w:t xml:space="preserve"> </w:t>
      </w:r>
      <w:r>
        <w:rPr>
          <w:i/>
        </w:rPr>
        <w:t xml:space="preserve">(Fixes the current clipping symptom; gates all visual work.)</w:t>
      </w:r>
    </w:p>
    <w:p>
      <w:pPr>
        <w:pStyle w:val="BodyText"/>
      </w:pPr>
      <w:r>
        <w:rPr>
          <w:b/>
        </w:rPr>
        <w:t xml:space="preserve">UI-2 — Mode toggle.</w:t>
      </w:r>
      <w:r>
        <w:t xml:space="preserve"> </w:t>
      </w:r>
      <w:r>
        <w:t xml:space="preserve">Conversations / Announcements segmented control in the header;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state drives left + middle content; visually distinct treatments.</w:t>
      </w:r>
    </w:p>
    <w:p>
      <w:pPr>
        <w:pStyle w:val="BodyText"/>
      </w:pPr>
      <w:r>
        <w:rPr>
          <w:b/>
        </w:rPr>
        <w:t xml:space="preserve">UI-3 — Queue rows.</w:t>
      </w:r>
      <w:r>
        <w:t xml:space="preserve"> </w:t>
      </w:r>
      <w:r>
        <w:t xml:space="preserve">Work-unit row grammar; operational-state groups + counts; Mine/All + SLA-first sort; KPI ribbon.</w:t>
      </w:r>
      <w:r>
        <w:t xml:space="preserve"> </w:t>
      </w:r>
      <w:r>
        <w:rPr>
          <w:i/>
        </w:rPr>
        <w:t xml:space="preserve">Done when rows triage at a glance, no folders, no unread-first.</w:t>
      </w:r>
    </w:p>
    <w:p>
      <w:pPr>
        <w:pStyle w:val="BodyText"/>
      </w:pPr>
      <w:r>
        <w:rPr>
          <w:b/>
        </w:rPr>
        <w:t xml:space="preserve">UI-4 — Snapshot + KPIs + consent.</w:t>
      </w:r>
      <w:r>
        <w:t xml:space="preserve"> </w:t>
      </w:r>
      <w:r>
        <w:t xml:space="preserve">Identity header; KPI band; engagement-health badge with driver; consent strip shown separately.</w:t>
      </w:r>
      <w:r>
        <w:t xml:space="preserve"> </w:t>
      </w:r>
      <w:r>
        <w:rPr>
          <w:i/>
        </w:rPr>
        <w:t xml:space="preserve">Done when consent is visually distinct from health.</w:t>
      </w:r>
    </w:p>
    <w:p>
      <w:pPr>
        <w:pStyle w:val="BodyText"/>
      </w:pPr>
      <w:r>
        <w:rPr>
          <w:b/>
        </w:rPr>
        <w:t xml:space="preserve">UI-5 — Unified timeline.</w:t>
      </w:r>
      <w:r>
        <w:t xml:space="preserve"> </w:t>
      </w:r>
      <w:r>
        <w:t xml:space="preserve">One channel-laned chronological stream with inline receipts; no tabs, no two-pane reader; ~60% of the middle column.</w:t>
      </w:r>
    </w:p>
    <w:p>
      <w:pPr>
        <w:pStyle w:val="BodyText"/>
      </w:pPr>
      <w:r>
        <w:rPr>
          <w:b/>
        </w:rPr>
        <w:t xml:space="preserve">UI-6 — Composer.</w:t>
      </w:r>
      <w:r>
        <w:t xml:space="preserve"> </w:t>
      </w:r>
      <w:r>
        <w:t xml:space="preserve">Enlarge to ~40%; email-first; channel + consent always visible; BOS-assisted-draft affordance (review-first).</w:t>
      </w:r>
    </w:p>
    <w:p>
      <w:pPr>
        <w:pStyle w:val="BodyText"/>
      </w:pPr>
      <w:r>
        <w:rPr>
          <w:b/>
        </w:rPr>
        <w:t xml:space="preserve">UI-7 — Announcements mode.</w:t>
      </w:r>
      <w:r>
        <w:t xml:space="preserve"> </w:t>
      </w:r>
      <w:r>
        <w:t xml:space="preserve">List (Draft/Scheduled/Sent); criteria builder; Matched→Eligible→Will-receive funnel with Excluded/Opted-out; consent impact; delivery forecast; review-first send.</w:t>
      </w:r>
      <w:r>
        <w:t xml:space="preserve"> </w:t>
      </w:r>
      <w:r>
        <w:rPr>
          <w:i/>
        </w:rPr>
        <w:t xml:space="preserve">Done when it’s unmistakably distinct from Conversations.</w:t>
      </w:r>
    </w:p>
    <w:p>
      <w:pPr>
        <w:pStyle w:val="BodyText"/>
      </w:pPr>
      <w:r>
        <w:rPr>
          <w:b/>
        </w:rPr>
        <w:t xml:space="preserve">UI-8 — Empty &amp; loading states.</w:t>
      </w:r>
      <w:r>
        <w:t xml:space="preserve"> </w:t>
      </w:r>
      <w:r>
        <w:t xml:space="preserve">Per-queue, workspace (</w:t>
      </w:r>
      <w:r>
        <w:t xml:space="preserve">“</w:t>
      </w:r>
      <w:r>
        <w:t xml:space="preserve">select a family</w:t>
      </w:r>
      <w:r>
        <w:t xml:space="preserve">”</w:t>
      </w:r>
      <w:r>
        <w:t xml:space="preserve">), timeline, and announcements empties; single reveal, no blank shells.</w:t>
      </w:r>
    </w:p>
    <w:p>
      <w:pPr>
        <w:pStyle w:val="BodyText"/>
      </w:pPr>
      <w:r>
        <w:rPr>
          <w:b/>
        </w:rPr>
        <w:t xml:space="preserve">UI-9 — Responsive sizing validation.</w:t>
      </w:r>
      <w:r>
        <w:t xml:space="preserve"> </w:t>
      </w:r>
      <w:r>
        <w:t xml:space="preserve">3-column + rail hold at common widths; graceful narrow behavior; BOS rail never clipped.</w:t>
      </w:r>
    </w:p>
    <w:p>
      <w:pPr>
        <w:pStyle w:val="BodyText"/>
      </w:pPr>
      <w:r>
        <w:rPr>
          <w:b/>
        </w:rPr>
        <w:t xml:space="preserve">UI-10 — Screenshot walkthrough.</w:t>
      </w:r>
      <w:r>
        <w:t xml:space="preserve"> </w:t>
      </w:r>
      <w:r>
        <w:t xml:space="preserve">Capture each surface from a running instance and confirm parity with these mockups.</w:t>
      </w:r>
    </w:p>
    <w:p>
      <w:pPr>
        <w:pStyle w:val="BodyText"/>
      </w:pPr>
      <w:r>
        <w:rPr>
          <w:b/>
        </w:rPr>
        <w:t xml:space="preserve">Guardrails (carried from doctrine, unchanged).</w:t>
      </w:r>
      <w:r>
        <w:t xml:space="preserve"> </w:t>
      </w:r>
      <w:r>
        <w:t xml:space="preserve">BOS rail shell-owned, pinned, no second panel, no embed. No folders, no unread-first, no two-pane reader, no completion/stage chrome, no nested modals, no auto-send, no campaign automation. Consent ≠ health (separate). Consent + channel always visible at the point of sending. Drawer reuses the same shared components. No architecture/schema/provider/route/BOS changes.</w:t>
      </w:r>
    </w:p>
    <w:p>
      <w:pPr>
        <w:pStyle w:val="BodyText"/>
      </w:pPr>
      <w:r>
        <w:rPr>
          <w:b/>
        </w:rPr>
        <w:t xml:space="preserve">What needs approval before any polish.</w:t>
      </w:r>
      <w:r>
        <w:t xml:space="preserve"> </w:t>
      </w:r>
      <w:r>
        <w:t xml:space="preserve">The four annotated mockups (delivered in chat) + this blueprint. On approval, build runs UI-1 → UI-10 under the existing gate cadence, each surface flag-gated and validated on your run. Outcome: Communications reads as a first-class Alloy workspace beside Forms, Work Units, Records, and BOS — operational software, not wireframes.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Communications Workspace V1 — Visual Redesign Blueprint</dc:title>
  <dc:creator>Premium / operator-experience pass. No code, no architecture, no schema, no backend changes.</dc:creator>
  <cp:keywords/>
  <dcterms:created xsi:type="dcterms:W3CDTF">2026-06-13T02:57:06Z</dcterms:created>
  <dcterms:modified xsi:type="dcterms:W3CDTF">2026-06-13T02:57:06Z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Alloy · Communications Command Center · June 2026</vt:lpwstr>
  </property>
</Properties>
</file>