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DD77" w14:textId="616FC4BD" w:rsidR="00C2222F" w:rsidRPr="00017EDF" w:rsidRDefault="00C2222F" w:rsidP="00C2222F">
      <w:pPr>
        <w:pStyle w:val="Heading1"/>
      </w:pPr>
      <w:bookmarkStart w:id="0" w:name="_Toc83849786"/>
      <w:r w:rsidRPr="00017EDF">
        <w:t>Introduction</w:t>
      </w:r>
      <w:bookmarkEnd w:id="0"/>
    </w:p>
    <w:p w14:paraId="3DB413E4" w14:textId="53083AC8" w:rsidR="00DA0175" w:rsidRDefault="00B212B6" w:rsidP="00DA0175">
      <w:r>
        <w:t xml:space="preserve">This report </w:t>
      </w:r>
      <w:r w:rsidR="00EC5C0A">
        <w:t>examine</w:t>
      </w:r>
      <w:r w:rsidR="00A32622">
        <w:t>s</w:t>
      </w:r>
      <w:r w:rsidR="00EC5C0A">
        <w:t xml:space="preserve"> the economy and trade of </w:t>
      </w:r>
      <w:r w:rsidR="00F94AAC">
        <w:t>Kazakhstan</w:t>
      </w:r>
      <w:r w:rsidR="00EC5C0A">
        <w:t xml:space="preserve"> in the context of global value chains (GVCs)</w:t>
      </w:r>
      <w:r w:rsidR="0033287E">
        <w:t xml:space="preserve">, a form of fragmented production that </w:t>
      </w:r>
      <w:r w:rsidR="00E11748">
        <w:t xml:space="preserve">has </w:t>
      </w:r>
      <w:r w:rsidR="0033287E">
        <w:t>affect</w:t>
      </w:r>
      <w:r w:rsidR="00E11748">
        <w:t>ed</w:t>
      </w:r>
      <w:r w:rsidR="0033287E">
        <w:t xml:space="preserve"> everything from automobiles</w:t>
      </w:r>
      <w:r w:rsidR="00076620">
        <w:t xml:space="preserve"> </w:t>
      </w:r>
      <w:r w:rsidR="0033287E">
        <w:t xml:space="preserve">to </w:t>
      </w:r>
      <w:r w:rsidR="00D27353">
        <w:t>vaccines</w:t>
      </w:r>
      <w:r w:rsidR="003B2F12" w:rsidRPr="00B212B6">
        <w:t>.</w:t>
      </w:r>
      <w:r w:rsidR="00BD4D87">
        <w:t xml:space="preserve"> It combines </w:t>
      </w:r>
      <w:r w:rsidR="00BC6563">
        <w:t>innovative</w:t>
      </w:r>
      <w:r w:rsidR="00BD4D87">
        <w:t xml:space="preserve"> analytical tools with the latest available </w:t>
      </w:r>
      <w:r w:rsidR="004570D6">
        <w:t xml:space="preserve">data </w:t>
      </w:r>
      <w:r w:rsidR="00BD4D87">
        <w:t xml:space="preserve">to produce indicators that describe </w:t>
      </w:r>
      <w:r w:rsidR="00F94AAC">
        <w:t>Kazakhstan</w:t>
      </w:r>
      <w:r w:rsidR="00BD4D87">
        <w:t xml:space="preserve">’s </w:t>
      </w:r>
      <w:r w:rsidR="00D662FD">
        <w:t xml:space="preserve">rate of </w:t>
      </w:r>
      <w:r w:rsidR="00BD4D87">
        <w:t xml:space="preserve">GVC participation, </w:t>
      </w:r>
      <w:r w:rsidR="00D662FD">
        <w:t xml:space="preserve">the lengths of its </w:t>
      </w:r>
      <w:r w:rsidR="00BD4D87">
        <w:t xml:space="preserve">GVC production, </w:t>
      </w:r>
      <w:r w:rsidR="00F06562">
        <w:t xml:space="preserve">its </w:t>
      </w:r>
      <w:r w:rsidR="00BD4D87">
        <w:t xml:space="preserve">patterns of specialization, </w:t>
      </w:r>
      <w:r w:rsidR="00A814D0">
        <w:t xml:space="preserve">and the price competitiveness of its </w:t>
      </w:r>
      <w:r w:rsidR="00A259B3">
        <w:t>exports—</w:t>
      </w:r>
      <w:r w:rsidR="00BD4D87">
        <w:t xml:space="preserve">among </w:t>
      </w:r>
      <w:r w:rsidR="00A814D0">
        <w:t xml:space="preserve">many </w:t>
      </w:r>
      <w:r w:rsidR="00BD4D87">
        <w:t xml:space="preserve">others. </w:t>
      </w:r>
      <w:r w:rsidR="008B3664">
        <w:t>This report’s key data source is the Asian Development Bank</w:t>
      </w:r>
      <w:r w:rsidR="003457FB">
        <w:t>’s</w:t>
      </w:r>
      <w:r w:rsidR="008B3664">
        <w:t xml:space="preserve"> (ADB) Multiregional Input–Output (MRIO) Database</w:t>
      </w:r>
      <w:r w:rsidR="006F5B1F">
        <w:t xml:space="preserve">, </w:t>
      </w:r>
      <w:r w:rsidR="004C1D1F">
        <w:t>the only</w:t>
      </w:r>
      <w:r w:rsidR="00767E30">
        <w:t xml:space="preserve"> time series of</w:t>
      </w:r>
      <w:r w:rsidR="004C1D1F">
        <w:t xml:space="preserve"> intercountry input–output table</w:t>
      </w:r>
      <w:r w:rsidR="00767E30">
        <w:t>s</w:t>
      </w:r>
      <w:r w:rsidR="004C1D1F">
        <w:t xml:space="preserve"> </w:t>
      </w:r>
      <w:r w:rsidR="00E63F3F">
        <w:t xml:space="preserve">to-date </w:t>
      </w:r>
      <w:r w:rsidR="004C1D1F">
        <w:t xml:space="preserve">that includes </w:t>
      </w:r>
      <w:r w:rsidR="00F94AAC">
        <w:t>Kazakhstan</w:t>
      </w:r>
      <w:r w:rsidR="004C1D1F">
        <w:t>.</w:t>
      </w:r>
      <w:r w:rsidR="00FD1BD1">
        <w:t xml:space="preserve"> </w:t>
      </w:r>
      <w:fldSimple w:instr=" REF _Ref82529671 ">
        <w:r w:rsidR="00D57A44">
          <w:t xml:space="preserve">Box </w:t>
        </w:r>
        <w:r w:rsidR="00D57A44">
          <w:rPr>
            <w:noProof/>
          </w:rPr>
          <w:t>1</w:t>
        </w:r>
      </w:fldSimple>
      <w:r w:rsidR="00767E30">
        <w:t xml:space="preserve"> </w:t>
      </w:r>
      <w:r w:rsidR="00FD1BD1">
        <w:t xml:space="preserve">provides </w:t>
      </w:r>
      <w:r w:rsidR="00767E30">
        <w:t>more</w:t>
      </w:r>
      <w:r w:rsidR="00FD1BD1">
        <w:t xml:space="preserve"> information on this dataset.</w:t>
      </w:r>
      <w:r w:rsidR="00E11748">
        <w:t xml:space="preserve"> It is hoped that the insights </w:t>
      </w:r>
      <w:r w:rsidR="00767E30">
        <w:t>this report</w:t>
      </w:r>
      <w:r w:rsidR="00E11748">
        <w:t xml:space="preserve"> presents will </w:t>
      </w:r>
      <w:r w:rsidR="00E565D4">
        <w:t xml:space="preserve">prove </w:t>
      </w:r>
      <w:r w:rsidR="00386093">
        <w:t>useful</w:t>
      </w:r>
      <w:r w:rsidR="00E11748">
        <w:t xml:space="preserve"> for policymakers and the general public alike.</w:t>
      </w:r>
    </w:p>
    <w:tbl>
      <w:tblPr>
        <w:tblStyle w:val="TableGrid"/>
        <w:tblW w:w="0" w:type="auto"/>
        <w:tblLook w:val="04A0" w:firstRow="1" w:lastRow="0" w:firstColumn="1" w:lastColumn="0" w:noHBand="0" w:noVBand="1"/>
      </w:tblPr>
      <w:tblGrid>
        <w:gridCol w:w="9016"/>
      </w:tblGrid>
      <w:tr w:rsidR="00FD1BD1" w14:paraId="16D09453" w14:textId="77777777" w:rsidTr="00FD1BD1">
        <w:tc>
          <w:tcPr>
            <w:tcW w:w="9016" w:type="dxa"/>
          </w:tcPr>
          <w:p w14:paraId="00F16DB8" w14:textId="2AF7C3D9" w:rsidR="00FD1BD1" w:rsidRPr="00B212B6" w:rsidRDefault="00FD1BD1" w:rsidP="00FD1BD1">
            <w:pPr>
              <w:pStyle w:val="Caption"/>
            </w:pPr>
            <w:bookmarkStart w:id="1" w:name="_Ref82529671"/>
            <w:bookmarkStart w:id="2" w:name="_Toc83849822"/>
            <w:r>
              <w:t xml:space="preserve">Box </w:t>
            </w:r>
            <w:fldSimple w:instr=" SEQ Box \* ARABIC ">
              <w:r w:rsidR="00937E53">
                <w:rPr>
                  <w:noProof/>
                </w:rPr>
                <w:t>1</w:t>
              </w:r>
            </w:fldSimple>
            <w:bookmarkEnd w:id="1"/>
            <w:r>
              <w:t>: The Asian Development Bank Multiregional Input–Output Database</w:t>
            </w:r>
            <w:bookmarkEnd w:id="2"/>
          </w:p>
          <w:p w14:paraId="151D2366" w14:textId="337F4E6D" w:rsidR="00FD1BD1" w:rsidRDefault="003B09F4" w:rsidP="00FD1BD1">
            <w:pPr>
              <w:pStyle w:val="Box"/>
            </w:pPr>
            <w:r>
              <w:t xml:space="preserve">The Asian Development Bank (ADB) Multiregional Input–Output (MRIO) Database is </w:t>
            </w:r>
            <w:r w:rsidR="008541C5">
              <w:t>a time series of</w:t>
            </w:r>
            <w:r>
              <w:t xml:space="preserve"> intercountry input–output </w:t>
            </w:r>
            <w:r w:rsidR="008541C5">
              <w:t xml:space="preserve">tables </w:t>
            </w:r>
            <w:r>
              <w:t xml:space="preserve">maintained by </w:t>
            </w:r>
            <w:r w:rsidR="00EB3041">
              <w:t xml:space="preserve">a dedicated team in </w:t>
            </w:r>
            <w:r w:rsidR="008541C5">
              <w:t>ADB</w:t>
            </w:r>
            <w:r w:rsidR="00EB3041">
              <w:t>.</w:t>
            </w:r>
            <w:r w:rsidR="008541C5">
              <w:t xml:space="preserve"> </w:t>
            </w:r>
            <w:r w:rsidR="00EB3041">
              <w:t xml:space="preserve">It is </w:t>
            </w:r>
            <w:r w:rsidR="008541C5">
              <w:t xml:space="preserve">freely available at </w:t>
            </w:r>
            <w:r w:rsidR="008541C5" w:rsidRPr="008541C5">
              <w:t>https://mrio.adbx.online</w:t>
            </w:r>
            <w:r w:rsidR="008541C5">
              <w:t>.</w:t>
            </w:r>
            <w:r w:rsidR="00AA1EF5">
              <w:t xml:space="preserve"> </w:t>
            </w:r>
            <w:r w:rsidR="00296246">
              <w:t xml:space="preserve">Information on </w:t>
            </w:r>
            <w:r w:rsidR="00AA1EF5">
              <w:t xml:space="preserve">cross-sectoral linkages are </w:t>
            </w:r>
            <w:r w:rsidR="00296246">
              <w:t>provided for 62 countries and economies. A residua</w:t>
            </w:r>
            <w:r w:rsidR="00FB178C">
              <w:t>l</w:t>
            </w:r>
            <w:r w:rsidR="00296246">
              <w:t xml:space="preserve"> “Rest of the world” entity is also included, allowing the table to capture </w:t>
            </w:r>
            <w:r w:rsidR="000D1163">
              <w:t xml:space="preserve">the entirety of </w:t>
            </w:r>
            <w:r w:rsidR="00296246">
              <w:t>global flows.</w:t>
            </w:r>
          </w:p>
          <w:p w14:paraId="63309F1C" w14:textId="4B572906" w:rsidR="002E663F" w:rsidRDefault="00F44D43" w:rsidP="00C93B4E">
            <w:pPr>
              <w:pStyle w:val="Box"/>
            </w:pPr>
            <w:r>
              <w:t>The ADB MRIO Database is an extended version of the World Input–Output Database, 2013 release</w:t>
            </w:r>
            <w:r w:rsidR="00652163">
              <w:t>. Each country or economy is divided into 35 sectors, based on Table A2 of</w:t>
            </w:r>
            <w:r w:rsidR="00085541">
              <w:t xml:space="preserve"> Timmer, et al. </w:t>
            </w:r>
            <w:r w:rsidR="00652163">
              <w:t>(</w:t>
            </w:r>
            <w:r w:rsidR="00085541">
              <w:t>201</w:t>
            </w:r>
            <w:r w:rsidR="00652163">
              <w:t>5)</w:t>
            </w:r>
            <w:r>
              <w:t xml:space="preserve">. </w:t>
            </w:r>
            <w:r w:rsidR="002E663F">
              <w:t xml:space="preserve">There are five final demand categories: </w:t>
            </w:r>
            <w:r w:rsidR="002E663F" w:rsidRPr="00CA45CF">
              <w:t>household final consumption expenditure</w:t>
            </w:r>
            <w:r w:rsidR="002E663F">
              <w:t xml:space="preserve"> (FCE)</w:t>
            </w:r>
            <w:r w:rsidR="002E663F" w:rsidRPr="00CA45CF">
              <w:t>, non-profit institutions serving households FCE, government FCE, gross fixed capital formation, and changes in inventories.</w:t>
            </w:r>
          </w:p>
          <w:p w14:paraId="6C48C2BA" w14:textId="0BB93CF8" w:rsidR="005D3CFB" w:rsidRDefault="00E119F4" w:rsidP="007B2CA0">
            <w:pPr>
              <w:pStyle w:val="Box"/>
            </w:pPr>
            <w:r>
              <w:t>Officially published national supply–use tables (SUTs) and/or input–output tables (IOTs) serve as benchmarks in the construction of the ADB MRIO. In each national SUT or IOT, sectoral and product classifications were harmonized to follow the 35 sectors, and whenever necessary, SUTs were transformed into IOTs following the industry technology transformation assumption discussed in European Commission (2008).</w:t>
            </w:r>
            <w:r w:rsidR="007B2CA0">
              <w:t xml:space="preserve"> </w:t>
            </w:r>
          </w:p>
          <w:p w14:paraId="69CDB20E" w14:textId="6769B226" w:rsidR="00E119F4" w:rsidRDefault="00E119F4" w:rsidP="007B2CA0">
            <w:pPr>
              <w:pStyle w:val="Box"/>
            </w:pPr>
            <w:r>
              <w:t xml:space="preserve">Benchmark IOTs also serve as the base structure for producing time-series of the ADB MRIO tables using published estimates on gross output, gross value added, taxes less subsidies on products, imports, and exports sourced from national statistical agencies and central bank databases as control totals. The structure of imports and exports are based on bilateral trade data extracted from </w:t>
            </w:r>
            <w:r w:rsidR="005D3CFB">
              <w:t>the United Nations</w:t>
            </w:r>
            <w:r>
              <w:t xml:space="preserve"> COMTRADE </w:t>
            </w:r>
            <w:r w:rsidR="005D3CFB">
              <w:t xml:space="preserve">Database </w:t>
            </w:r>
            <w:r>
              <w:t xml:space="preserve">and government trade and balance of payments statistics. Once the national IOTs are integrated into the </w:t>
            </w:r>
            <w:r w:rsidR="00234F9A">
              <w:t>MRIO</w:t>
            </w:r>
            <w:r>
              <w:t xml:space="preserve">, accounts for the sectors of “rest of the world” are manually and systematically adjusted to ensure consistency with economy–sector totals in the </w:t>
            </w:r>
            <w:r w:rsidR="00234F9A">
              <w:t>MRIO</w:t>
            </w:r>
            <w:r>
              <w:t>.</w:t>
            </w:r>
          </w:p>
          <w:p w14:paraId="7FEC0BAA" w14:textId="20754605" w:rsidR="00D24641" w:rsidRDefault="00C93B4E" w:rsidP="00D24641">
            <w:pPr>
              <w:pStyle w:val="Box"/>
            </w:pPr>
            <w:r>
              <w:t xml:space="preserve">The basic structure of each of </w:t>
            </w:r>
            <w:r w:rsidR="0088085A">
              <w:t>MRIO</w:t>
            </w:r>
            <w:r>
              <w:t xml:space="preserve"> table</w:t>
            </w:r>
            <w:r w:rsidR="0088085A">
              <w:t xml:space="preserve"> </w:t>
            </w:r>
            <w:r>
              <w:t xml:space="preserve">is </w:t>
            </w:r>
            <w:r w:rsidR="00D24641">
              <w:t>given below</w:t>
            </w:r>
            <w:r>
              <w:t xml:space="preserve">. </w:t>
            </w:r>
            <w:r w:rsidR="00D24641" w:rsidRPr="00C93B4E">
              <w:t xml:space="preserve">It is composed of </w:t>
            </w:r>
            <w:r w:rsidR="00D24641" w:rsidRPr="00767BAE">
              <w:rPr>
                <w:b/>
                <w:bCs/>
              </w:rPr>
              <w:t>Z</w:t>
            </w:r>
            <w:r w:rsidR="00D24641" w:rsidRPr="00C93B4E">
              <w:t>, a matrix of intermediates</w:t>
            </w:r>
            <w:r w:rsidR="00D24641">
              <w:t xml:space="preserve"> use</w:t>
            </w:r>
            <w:r w:rsidR="00D24641" w:rsidRPr="00C93B4E">
              <w:t xml:space="preserve">; </w:t>
            </w:r>
            <w:r w:rsidR="00D24641" w:rsidRPr="00767BAE">
              <w:rPr>
                <w:b/>
                <w:bCs/>
              </w:rPr>
              <w:t>Y</w:t>
            </w:r>
            <w:r w:rsidR="00D24641" w:rsidRPr="00C93B4E">
              <w:t xml:space="preserve">, a matrix of final </w:t>
            </w:r>
            <w:r w:rsidR="00D24641">
              <w:t>demand</w:t>
            </w:r>
            <w:r w:rsidR="00D24641" w:rsidRPr="00C93B4E">
              <w:t xml:space="preserve">; </w:t>
            </w:r>
            <w:proofErr w:type="spellStart"/>
            <w:r w:rsidR="00D24641" w:rsidRPr="00767BAE">
              <w:rPr>
                <w:b/>
                <w:bCs/>
              </w:rPr>
              <w:t>va</w:t>
            </w:r>
            <w:proofErr w:type="spellEnd"/>
            <w:r w:rsidR="00D24641" w:rsidRPr="00C93B4E">
              <w:t xml:space="preserve">, a vector of </w:t>
            </w:r>
            <w:r w:rsidR="00D24641">
              <w:t>country-</w:t>
            </w:r>
            <w:r w:rsidR="00D24641" w:rsidRPr="00C93B4E">
              <w:t xml:space="preserve">sector value added; and </w:t>
            </w:r>
            <w:r w:rsidR="00D24641" w:rsidRPr="00767BAE">
              <w:rPr>
                <w:b/>
                <w:bCs/>
              </w:rPr>
              <w:t>x</w:t>
            </w:r>
            <w:r w:rsidR="00D24641" w:rsidRPr="00C93B4E">
              <w:t xml:space="preserve">, a vector of output. Read vertically, the table shows the purchases of each </w:t>
            </w:r>
            <w:r w:rsidR="00D24641">
              <w:t>country-</w:t>
            </w:r>
            <w:r w:rsidR="00D24641" w:rsidRPr="00C93B4E">
              <w:t xml:space="preserve">sector, distinguished between intermediate inputs and primary inputs, the latter also called value added. Read horizontally, it shows the sales of each </w:t>
            </w:r>
            <w:r w:rsidR="00D24641">
              <w:t>country-</w:t>
            </w:r>
            <w:r w:rsidR="00D24641" w:rsidRPr="00C93B4E">
              <w:t xml:space="preserve">sector, distinguished between intermediate sales and final sales. The market-clearing condition stipulates that total purchases and total sales for each </w:t>
            </w:r>
            <w:r w:rsidR="00D24641">
              <w:t>country-</w:t>
            </w:r>
            <w:r w:rsidR="00D24641" w:rsidRPr="00C93B4E">
              <w:t>sector must equal. This amount is total output.</w:t>
            </w:r>
          </w:p>
          <w:p w14:paraId="6C137744" w14:textId="1D886BB3" w:rsidR="00C93B4E" w:rsidRDefault="00C93B4E" w:rsidP="00C93B4E">
            <w:pPr>
              <w:pStyle w:val="Box"/>
            </w:pPr>
          </w:p>
          <w:p w14:paraId="7D73C6E9" w14:textId="5DA2C5D0" w:rsidR="00C93B4E" w:rsidRPr="00C93B4E" w:rsidRDefault="00C93B4E" w:rsidP="00C93B4E">
            <w:pPr>
              <w:pStyle w:val="Box"/>
              <w:jc w:val="center"/>
              <w:rPr>
                <w:b/>
                <w:bCs/>
              </w:rPr>
            </w:pPr>
            <w:r w:rsidRPr="00C93B4E">
              <w:rPr>
                <w:b/>
                <w:bCs/>
              </w:rPr>
              <w:lastRenderedPageBreak/>
              <w:t>A Schematic Representation of the ADB MRIO</w:t>
            </w:r>
          </w:p>
          <w:tbl>
            <w:tblPr>
              <w:tblStyle w:val="TableGrid"/>
              <w:tblW w:w="7265" w:type="dxa"/>
              <w:jc w:val="center"/>
              <w:tblLook w:val="04A0" w:firstRow="1" w:lastRow="0" w:firstColumn="1" w:lastColumn="0" w:noHBand="0" w:noVBand="1"/>
            </w:tblPr>
            <w:tblGrid>
              <w:gridCol w:w="861"/>
              <w:gridCol w:w="389"/>
              <w:gridCol w:w="1082"/>
              <w:gridCol w:w="556"/>
              <w:gridCol w:w="1085"/>
              <w:gridCol w:w="1042"/>
              <w:gridCol w:w="562"/>
              <w:gridCol w:w="1121"/>
              <w:gridCol w:w="567"/>
            </w:tblGrid>
            <w:tr w:rsidR="00C93B4E" w:rsidRPr="00481831" w14:paraId="4A082A5F" w14:textId="77777777" w:rsidTr="00767BAE">
              <w:trPr>
                <w:trHeight w:val="271"/>
                <w:jc w:val="center"/>
              </w:trPr>
              <w:tc>
                <w:tcPr>
                  <w:tcW w:w="867" w:type="dxa"/>
                  <w:tcBorders>
                    <w:top w:val="nil"/>
                    <w:left w:val="nil"/>
                    <w:bottom w:val="nil"/>
                    <w:right w:val="nil"/>
                  </w:tcBorders>
                </w:tcPr>
                <w:p w14:paraId="41D36623" w14:textId="77777777" w:rsidR="00C93B4E" w:rsidRPr="00481831" w:rsidRDefault="00C93B4E" w:rsidP="00C93B4E">
                  <w:pPr>
                    <w:spacing w:after="0" w:line="240" w:lineRule="auto"/>
                    <w:rPr>
                      <w:rFonts w:ascii="Calibri" w:hAnsi="Calibri" w:cs="Calibri"/>
                      <w:sz w:val="12"/>
                      <w:szCs w:val="12"/>
                    </w:rPr>
                  </w:pPr>
                </w:p>
              </w:tc>
              <w:tc>
                <w:tcPr>
                  <w:tcW w:w="328" w:type="dxa"/>
                  <w:tcBorders>
                    <w:top w:val="nil"/>
                    <w:left w:val="nil"/>
                    <w:bottom w:val="nil"/>
                    <w:right w:val="single" w:sz="4" w:space="0" w:color="auto"/>
                  </w:tcBorders>
                </w:tcPr>
                <w:p w14:paraId="66021F0F" w14:textId="77777777" w:rsidR="00C93B4E" w:rsidRPr="00481831" w:rsidRDefault="00C93B4E" w:rsidP="00C93B4E">
                  <w:pPr>
                    <w:spacing w:after="0" w:line="240" w:lineRule="auto"/>
                    <w:jc w:val="center"/>
                    <w:rPr>
                      <w:rFonts w:ascii="Calibri" w:hAnsi="Calibri" w:cs="Calibri"/>
                      <w:sz w:val="12"/>
                      <w:szCs w:val="12"/>
                    </w:rPr>
                  </w:pPr>
                </w:p>
              </w:tc>
              <w:tc>
                <w:tcPr>
                  <w:tcW w:w="1093" w:type="dxa"/>
                  <w:tcBorders>
                    <w:left w:val="single" w:sz="4" w:space="0" w:color="auto"/>
                  </w:tcBorders>
                  <w:shd w:val="clear" w:color="auto" w:fill="FFFFFF" w:themeFill="background1"/>
                  <w:vAlign w:val="center"/>
                </w:tcPr>
                <w:p w14:paraId="7A6E7430" w14:textId="0D44F76A" w:rsidR="00C93B4E" w:rsidRPr="00CB02BA" w:rsidRDefault="00767BAE" w:rsidP="00C93B4E">
                  <w:pPr>
                    <w:spacing w:after="0" w:line="240" w:lineRule="auto"/>
                    <w:jc w:val="center"/>
                    <w:rPr>
                      <w:rFonts w:ascii="Calibri" w:hAnsi="Calibri" w:cs="Calibri"/>
                      <w:b/>
                      <w:bCs/>
                      <w:sz w:val="12"/>
                      <w:szCs w:val="12"/>
                    </w:rPr>
                  </w:pPr>
                  <w:r>
                    <w:rPr>
                      <w:rFonts w:ascii="Calibri" w:hAnsi="Calibri" w:cs="Calibri"/>
                      <w:b/>
                      <w:bCs/>
                      <w:sz w:val="12"/>
                      <w:szCs w:val="12"/>
                    </w:rPr>
                    <w:t>Country</w:t>
                  </w:r>
                  <w:r w:rsidR="00C93B4E" w:rsidRPr="00CB02BA">
                    <w:rPr>
                      <w:rFonts w:ascii="Calibri" w:hAnsi="Calibri" w:cs="Calibri"/>
                      <w:b/>
                      <w:bCs/>
                      <w:sz w:val="12"/>
                      <w:szCs w:val="12"/>
                    </w:rPr>
                    <w:t xml:space="preserve"> A</w:t>
                  </w:r>
                </w:p>
              </w:tc>
              <w:tc>
                <w:tcPr>
                  <w:tcW w:w="561" w:type="dxa"/>
                  <w:shd w:val="clear" w:color="auto" w:fill="FFFFFF" w:themeFill="background1"/>
                  <w:vAlign w:val="center"/>
                </w:tcPr>
                <w:p w14:paraId="7A6C4B4C" w14:textId="77777777" w:rsidR="00C93B4E" w:rsidRPr="00CB02BA" w:rsidRDefault="00C93B4E" w:rsidP="00C93B4E">
                  <w:pPr>
                    <w:spacing w:after="0" w:line="240" w:lineRule="auto"/>
                    <w:jc w:val="center"/>
                    <w:rPr>
                      <w:rFonts w:ascii="Calibri" w:hAnsi="Calibri" w:cs="Calibri"/>
                      <w:b/>
                      <w:bCs/>
                      <w:sz w:val="12"/>
                      <w:szCs w:val="12"/>
                    </w:rPr>
                  </w:pPr>
                  <m:oMathPara>
                    <m:oMath>
                      <m:r>
                        <m:rPr>
                          <m:sty m:val="bi"/>
                        </m:rPr>
                        <w:rPr>
                          <w:rFonts w:ascii="Cambria Math" w:hAnsi="Cambria Math" w:cs="Calibri"/>
                          <w:sz w:val="12"/>
                          <w:szCs w:val="12"/>
                        </w:rPr>
                        <m:t>⋯</m:t>
                      </m:r>
                    </m:oMath>
                  </m:oMathPara>
                </w:p>
              </w:tc>
              <w:tc>
                <w:tcPr>
                  <w:tcW w:w="1097" w:type="dxa"/>
                  <w:shd w:val="clear" w:color="auto" w:fill="FFFFFF" w:themeFill="background1"/>
                  <w:vAlign w:val="center"/>
                </w:tcPr>
                <w:p w14:paraId="2791982C" w14:textId="77777777" w:rsidR="00C93B4E" w:rsidRPr="00CB02BA" w:rsidRDefault="00C93B4E" w:rsidP="00C93B4E">
                  <w:pPr>
                    <w:spacing w:after="0" w:line="240" w:lineRule="auto"/>
                    <w:jc w:val="center"/>
                    <w:rPr>
                      <w:rFonts w:ascii="Calibri" w:hAnsi="Calibri" w:cs="Calibri"/>
                      <w:b/>
                      <w:bCs/>
                      <w:sz w:val="12"/>
                      <w:szCs w:val="12"/>
                    </w:rPr>
                  </w:pPr>
                  <w:r w:rsidRPr="00CB02BA">
                    <w:rPr>
                      <w:rFonts w:ascii="Calibri" w:hAnsi="Calibri" w:cs="Calibri"/>
                      <w:b/>
                      <w:bCs/>
                      <w:sz w:val="12"/>
                      <w:szCs w:val="12"/>
                    </w:rPr>
                    <w:t>Rest of the world</w:t>
                  </w:r>
                </w:p>
              </w:tc>
              <w:tc>
                <w:tcPr>
                  <w:tcW w:w="1051" w:type="dxa"/>
                  <w:shd w:val="clear" w:color="auto" w:fill="FFFFFF" w:themeFill="background1"/>
                  <w:vAlign w:val="center"/>
                </w:tcPr>
                <w:p w14:paraId="1787A9AD" w14:textId="5DEA4128" w:rsidR="00C93B4E" w:rsidRPr="00CB02BA" w:rsidRDefault="00767BAE" w:rsidP="00C93B4E">
                  <w:pPr>
                    <w:spacing w:after="0" w:line="240" w:lineRule="auto"/>
                    <w:jc w:val="center"/>
                    <w:rPr>
                      <w:rFonts w:ascii="Calibri" w:hAnsi="Calibri" w:cs="Calibri"/>
                      <w:b/>
                      <w:bCs/>
                      <w:sz w:val="12"/>
                      <w:szCs w:val="12"/>
                    </w:rPr>
                  </w:pPr>
                  <w:r>
                    <w:rPr>
                      <w:rFonts w:ascii="Calibri" w:hAnsi="Calibri" w:cs="Calibri"/>
                      <w:b/>
                      <w:bCs/>
                      <w:sz w:val="12"/>
                      <w:szCs w:val="12"/>
                    </w:rPr>
                    <w:t>Country</w:t>
                  </w:r>
                  <w:r w:rsidRPr="00CB02BA">
                    <w:rPr>
                      <w:rFonts w:ascii="Calibri" w:hAnsi="Calibri" w:cs="Calibri"/>
                      <w:b/>
                      <w:bCs/>
                      <w:sz w:val="12"/>
                      <w:szCs w:val="12"/>
                    </w:rPr>
                    <w:t xml:space="preserve"> </w:t>
                  </w:r>
                  <w:r w:rsidR="00C93B4E" w:rsidRPr="00CB02BA">
                    <w:rPr>
                      <w:rFonts w:ascii="Calibri" w:hAnsi="Calibri" w:cs="Calibri"/>
                      <w:b/>
                      <w:bCs/>
                      <w:sz w:val="12"/>
                      <w:szCs w:val="12"/>
                    </w:rPr>
                    <w:t>A</w:t>
                  </w:r>
                </w:p>
              </w:tc>
              <w:tc>
                <w:tcPr>
                  <w:tcW w:w="567" w:type="dxa"/>
                  <w:shd w:val="clear" w:color="auto" w:fill="FFFFFF" w:themeFill="background1"/>
                  <w:vAlign w:val="center"/>
                </w:tcPr>
                <w:p w14:paraId="4A851595" w14:textId="77777777" w:rsidR="00C93B4E" w:rsidRPr="00CB02BA" w:rsidRDefault="00C93B4E" w:rsidP="00C93B4E">
                  <w:pPr>
                    <w:spacing w:after="0" w:line="240" w:lineRule="auto"/>
                    <w:jc w:val="center"/>
                    <w:rPr>
                      <w:rFonts w:ascii="Calibri" w:hAnsi="Calibri" w:cs="Calibri"/>
                      <w:b/>
                      <w:bCs/>
                      <w:sz w:val="12"/>
                      <w:szCs w:val="12"/>
                    </w:rPr>
                  </w:pPr>
                  <m:oMathPara>
                    <m:oMath>
                      <m:r>
                        <m:rPr>
                          <m:sty m:val="bi"/>
                        </m:rPr>
                        <w:rPr>
                          <w:rFonts w:ascii="Cambria Math" w:hAnsi="Cambria Math" w:cs="Calibri"/>
                          <w:sz w:val="12"/>
                          <w:szCs w:val="12"/>
                        </w:rPr>
                        <m:t>⋯</m:t>
                      </m:r>
                    </m:oMath>
                  </m:oMathPara>
                </w:p>
              </w:tc>
              <w:tc>
                <w:tcPr>
                  <w:tcW w:w="1134" w:type="dxa"/>
                  <w:shd w:val="clear" w:color="auto" w:fill="FFFFFF" w:themeFill="background1"/>
                  <w:vAlign w:val="center"/>
                </w:tcPr>
                <w:p w14:paraId="6E99D6C2" w14:textId="77777777" w:rsidR="00C93B4E" w:rsidRPr="00CB02BA" w:rsidRDefault="00C93B4E" w:rsidP="00C93B4E">
                  <w:pPr>
                    <w:spacing w:after="0" w:line="240" w:lineRule="auto"/>
                    <w:jc w:val="center"/>
                    <w:rPr>
                      <w:rFonts w:ascii="Calibri" w:hAnsi="Calibri" w:cs="Calibri"/>
                      <w:b/>
                      <w:bCs/>
                      <w:sz w:val="12"/>
                      <w:szCs w:val="12"/>
                    </w:rPr>
                  </w:pPr>
                  <w:r w:rsidRPr="00CB02BA">
                    <w:rPr>
                      <w:rFonts w:ascii="Calibri" w:hAnsi="Calibri" w:cs="Calibri"/>
                      <w:b/>
                      <w:bCs/>
                      <w:sz w:val="12"/>
                      <w:szCs w:val="12"/>
                    </w:rPr>
                    <w:t>Rest of the world</w:t>
                  </w:r>
                </w:p>
              </w:tc>
              <w:tc>
                <w:tcPr>
                  <w:tcW w:w="567" w:type="dxa"/>
                  <w:vMerge w:val="restart"/>
                  <w:shd w:val="clear" w:color="auto" w:fill="FFFFFF" w:themeFill="background1"/>
                  <w:vAlign w:val="center"/>
                </w:tcPr>
                <w:p w14:paraId="1ED0C451" w14:textId="77777777" w:rsidR="00C93B4E" w:rsidRPr="00CB02BA" w:rsidRDefault="00C93B4E" w:rsidP="00C93B4E">
                  <w:pPr>
                    <w:spacing w:after="0" w:line="240" w:lineRule="auto"/>
                    <w:jc w:val="center"/>
                    <w:rPr>
                      <w:rFonts w:ascii="Calibri" w:hAnsi="Calibri" w:cs="Calibri"/>
                      <w:b/>
                      <w:bCs/>
                      <w:sz w:val="12"/>
                      <w:szCs w:val="12"/>
                    </w:rPr>
                  </w:pPr>
                  <w:r w:rsidRPr="00CB02BA">
                    <w:rPr>
                      <w:rFonts w:ascii="Calibri" w:hAnsi="Calibri" w:cs="Calibri"/>
                      <w:b/>
                      <w:bCs/>
                      <w:sz w:val="12"/>
                      <w:szCs w:val="12"/>
                    </w:rPr>
                    <w:t>Total output</w:t>
                  </w:r>
                </w:p>
              </w:tc>
            </w:tr>
            <w:tr w:rsidR="00C93B4E" w:rsidRPr="00481831" w14:paraId="46AF1D89" w14:textId="77777777" w:rsidTr="00767BAE">
              <w:trPr>
                <w:trHeight w:val="261"/>
                <w:jc w:val="center"/>
              </w:trPr>
              <w:tc>
                <w:tcPr>
                  <w:tcW w:w="867" w:type="dxa"/>
                  <w:tcBorders>
                    <w:top w:val="nil"/>
                    <w:left w:val="nil"/>
                    <w:bottom w:val="single" w:sz="4" w:space="0" w:color="auto"/>
                    <w:right w:val="nil"/>
                  </w:tcBorders>
                  <w:vAlign w:val="center"/>
                </w:tcPr>
                <w:p w14:paraId="364E5B46" w14:textId="77777777" w:rsidR="00C93B4E" w:rsidRPr="00481831" w:rsidRDefault="00C93B4E" w:rsidP="00C93B4E">
                  <w:pPr>
                    <w:spacing w:after="0" w:line="240" w:lineRule="auto"/>
                    <w:jc w:val="center"/>
                    <w:rPr>
                      <w:rFonts w:ascii="Calibri" w:hAnsi="Calibri" w:cs="Calibri"/>
                      <w:sz w:val="12"/>
                      <w:szCs w:val="12"/>
                    </w:rPr>
                  </w:pPr>
                </w:p>
              </w:tc>
              <w:tc>
                <w:tcPr>
                  <w:tcW w:w="328" w:type="dxa"/>
                  <w:tcBorders>
                    <w:top w:val="nil"/>
                    <w:left w:val="nil"/>
                    <w:bottom w:val="single" w:sz="4" w:space="0" w:color="auto"/>
                    <w:right w:val="single" w:sz="4" w:space="0" w:color="auto"/>
                  </w:tcBorders>
                  <w:vAlign w:val="center"/>
                </w:tcPr>
                <w:p w14:paraId="77106152" w14:textId="77777777" w:rsidR="00C93B4E" w:rsidRPr="00481831" w:rsidRDefault="00C93B4E" w:rsidP="00C93B4E">
                  <w:pPr>
                    <w:spacing w:after="0" w:line="240" w:lineRule="auto"/>
                    <w:jc w:val="center"/>
                    <w:rPr>
                      <w:rFonts w:ascii="Calibri" w:hAnsi="Calibri" w:cs="Calibri"/>
                      <w:sz w:val="12"/>
                      <w:szCs w:val="12"/>
                    </w:rPr>
                  </w:pPr>
                </w:p>
              </w:tc>
              <w:tc>
                <w:tcPr>
                  <w:tcW w:w="1093" w:type="dxa"/>
                  <w:tcBorders>
                    <w:left w:val="single" w:sz="4" w:space="0" w:color="auto"/>
                  </w:tcBorders>
                  <w:shd w:val="clear" w:color="auto" w:fill="FFFFFF" w:themeFill="background1"/>
                  <w:vAlign w:val="center"/>
                </w:tcPr>
                <w:p w14:paraId="4A727F46"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c1 </w:t>
                  </w:r>
                  <m:oMath>
                    <m:r>
                      <w:rPr>
                        <w:rFonts w:ascii="Cambria Math" w:hAnsi="Cambria Math" w:cs="Calibri"/>
                        <w:sz w:val="12"/>
                        <w:szCs w:val="12"/>
                      </w:rPr>
                      <m:t>⋯</m:t>
                    </m:r>
                  </m:oMath>
                  <w:r w:rsidRPr="00481831">
                    <w:rPr>
                      <w:rFonts w:ascii="Calibri" w:hAnsi="Calibri" w:cs="Calibri"/>
                      <w:sz w:val="12"/>
                      <w:szCs w:val="12"/>
                    </w:rPr>
                    <w:t xml:space="preserve"> c35</w:t>
                  </w:r>
                </w:p>
              </w:tc>
              <w:tc>
                <w:tcPr>
                  <w:tcW w:w="561" w:type="dxa"/>
                  <w:shd w:val="clear" w:color="auto" w:fill="FFFFFF" w:themeFill="background1"/>
                  <w:vAlign w:val="center"/>
                </w:tcPr>
                <w:p w14:paraId="25897D45"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tc>
              <w:tc>
                <w:tcPr>
                  <w:tcW w:w="1097" w:type="dxa"/>
                  <w:shd w:val="clear" w:color="auto" w:fill="FFFFFF" w:themeFill="background1"/>
                  <w:vAlign w:val="center"/>
                </w:tcPr>
                <w:p w14:paraId="26977591"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c1 </w:t>
                  </w:r>
                  <m:oMath>
                    <m:r>
                      <w:rPr>
                        <w:rFonts w:ascii="Cambria Math" w:hAnsi="Cambria Math" w:cs="Calibri"/>
                        <w:sz w:val="12"/>
                        <w:szCs w:val="12"/>
                      </w:rPr>
                      <m:t>⋯</m:t>
                    </m:r>
                  </m:oMath>
                  <w:r w:rsidRPr="00481831">
                    <w:rPr>
                      <w:rFonts w:ascii="Calibri" w:hAnsi="Calibri" w:cs="Calibri"/>
                      <w:sz w:val="12"/>
                      <w:szCs w:val="12"/>
                    </w:rPr>
                    <w:t xml:space="preserve"> c35</w:t>
                  </w:r>
                </w:p>
              </w:tc>
              <w:tc>
                <w:tcPr>
                  <w:tcW w:w="1051" w:type="dxa"/>
                  <w:shd w:val="clear" w:color="auto" w:fill="FFFFFF" w:themeFill="background1"/>
                  <w:vAlign w:val="center"/>
                </w:tcPr>
                <w:p w14:paraId="1B8609AE"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f1 </w:t>
                  </w:r>
                  <m:oMath>
                    <m:r>
                      <w:rPr>
                        <w:rFonts w:ascii="Cambria Math" w:hAnsi="Cambria Math" w:cs="Calibri"/>
                        <w:sz w:val="12"/>
                        <w:szCs w:val="12"/>
                      </w:rPr>
                      <m:t>⋯</m:t>
                    </m:r>
                  </m:oMath>
                  <w:r w:rsidRPr="00481831">
                    <w:rPr>
                      <w:rFonts w:ascii="Calibri" w:hAnsi="Calibri" w:cs="Calibri"/>
                      <w:sz w:val="12"/>
                      <w:szCs w:val="12"/>
                    </w:rPr>
                    <w:t xml:space="preserve"> f5</w:t>
                  </w:r>
                </w:p>
              </w:tc>
              <w:tc>
                <w:tcPr>
                  <w:tcW w:w="567" w:type="dxa"/>
                  <w:shd w:val="clear" w:color="auto" w:fill="FFFFFF" w:themeFill="background1"/>
                  <w:vAlign w:val="center"/>
                </w:tcPr>
                <w:p w14:paraId="002E0F10"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tc>
              <w:tc>
                <w:tcPr>
                  <w:tcW w:w="1134" w:type="dxa"/>
                  <w:shd w:val="clear" w:color="auto" w:fill="FFFFFF" w:themeFill="background1"/>
                  <w:vAlign w:val="center"/>
                </w:tcPr>
                <w:p w14:paraId="02048ACB"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f1 </w:t>
                  </w:r>
                  <m:oMath>
                    <m:r>
                      <w:rPr>
                        <w:rFonts w:ascii="Cambria Math" w:hAnsi="Cambria Math" w:cs="Calibri"/>
                        <w:sz w:val="12"/>
                        <w:szCs w:val="12"/>
                      </w:rPr>
                      <m:t>⋯</m:t>
                    </m:r>
                  </m:oMath>
                  <w:r w:rsidRPr="00481831">
                    <w:rPr>
                      <w:rFonts w:ascii="Calibri" w:hAnsi="Calibri" w:cs="Calibri"/>
                      <w:sz w:val="12"/>
                      <w:szCs w:val="12"/>
                    </w:rPr>
                    <w:t xml:space="preserve"> f5</w:t>
                  </w:r>
                </w:p>
              </w:tc>
              <w:tc>
                <w:tcPr>
                  <w:tcW w:w="567" w:type="dxa"/>
                  <w:vMerge/>
                </w:tcPr>
                <w:p w14:paraId="034D4726"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7E4411AA" w14:textId="77777777" w:rsidTr="00767BAE">
              <w:trPr>
                <w:trHeight w:val="578"/>
                <w:jc w:val="center"/>
              </w:trPr>
              <w:tc>
                <w:tcPr>
                  <w:tcW w:w="867" w:type="dxa"/>
                  <w:tcBorders>
                    <w:top w:val="single" w:sz="4" w:space="0" w:color="auto"/>
                  </w:tcBorders>
                  <w:shd w:val="clear" w:color="auto" w:fill="FFFFFF" w:themeFill="background1"/>
                  <w:vAlign w:val="center"/>
                </w:tcPr>
                <w:p w14:paraId="470CF92F" w14:textId="6E3AA929" w:rsidR="00C93B4E" w:rsidRPr="00CB02BA" w:rsidRDefault="00767BAE" w:rsidP="00C93B4E">
                  <w:pPr>
                    <w:spacing w:after="0" w:line="240" w:lineRule="auto"/>
                    <w:rPr>
                      <w:rFonts w:ascii="Calibri" w:hAnsi="Calibri" w:cs="Calibri"/>
                      <w:b/>
                      <w:bCs/>
                      <w:sz w:val="12"/>
                      <w:szCs w:val="12"/>
                    </w:rPr>
                  </w:pPr>
                  <w:r>
                    <w:rPr>
                      <w:rFonts w:ascii="Calibri" w:hAnsi="Calibri" w:cs="Calibri"/>
                      <w:b/>
                      <w:bCs/>
                      <w:sz w:val="12"/>
                      <w:szCs w:val="12"/>
                    </w:rPr>
                    <w:t>Country</w:t>
                  </w:r>
                  <w:r w:rsidRPr="00CB02BA">
                    <w:rPr>
                      <w:rFonts w:ascii="Calibri" w:hAnsi="Calibri" w:cs="Calibri"/>
                      <w:b/>
                      <w:bCs/>
                      <w:sz w:val="12"/>
                      <w:szCs w:val="12"/>
                    </w:rPr>
                    <w:t xml:space="preserve"> </w:t>
                  </w:r>
                  <w:r w:rsidR="00C93B4E" w:rsidRPr="00CB02BA">
                    <w:rPr>
                      <w:rFonts w:ascii="Calibri" w:hAnsi="Calibri" w:cs="Calibri"/>
                      <w:b/>
                      <w:bCs/>
                      <w:sz w:val="12"/>
                      <w:szCs w:val="12"/>
                    </w:rPr>
                    <w:t>A</w:t>
                  </w:r>
                </w:p>
              </w:tc>
              <w:tc>
                <w:tcPr>
                  <w:tcW w:w="328" w:type="dxa"/>
                  <w:tcBorders>
                    <w:top w:val="single" w:sz="4" w:space="0" w:color="auto"/>
                  </w:tcBorders>
                  <w:shd w:val="clear" w:color="auto" w:fill="FFFFFF" w:themeFill="background1"/>
                  <w:vAlign w:val="center"/>
                </w:tcPr>
                <w:p w14:paraId="57C04B27"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c1</w:t>
                  </w:r>
                </w:p>
                <w:p w14:paraId="070FF129"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p w14:paraId="09A36B25" w14:textId="327D0C9F"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w:t>
                  </w:r>
                  <w:r w:rsidR="00CF2D35">
                    <w:rPr>
                      <w:rFonts w:ascii="Calibri" w:hAnsi="Calibri" w:cs="Calibri"/>
                      <w:sz w:val="12"/>
                      <w:szCs w:val="12"/>
                    </w:rPr>
                    <w:t>3</w:t>
                  </w:r>
                  <w:r w:rsidRPr="00481831">
                    <w:rPr>
                      <w:rFonts w:ascii="Calibri" w:hAnsi="Calibri" w:cs="Calibri"/>
                      <w:sz w:val="12"/>
                      <w:szCs w:val="12"/>
                    </w:rPr>
                    <w:t>5</w:t>
                  </w:r>
                </w:p>
              </w:tc>
              <w:tc>
                <w:tcPr>
                  <w:tcW w:w="2751" w:type="dxa"/>
                  <w:gridSpan w:val="3"/>
                  <w:vMerge w:val="restart"/>
                  <w:shd w:val="clear" w:color="auto" w:fill="B4C6E7" w:themeFill="accent1" w:themeFillTint="66"/>
                  <w:vAlign w:val="center"/>
                </w:tcPr>
                <w:p w14:paraId="5D521539" w14:textId="77777777" w:rsidR="00C93B4E" w:rsidRPr="00481831" w:rsidRDefault="00C93B4E" w:rsidP="00C93B4E">
                  <w:pPr>
                    <w:spacing w:after="0" w:line="240" w:lineRule="auto"/>
                    <w:jc w:val="center"/>
                    <w:rPr>
                      <w:rFonts w:ascii="Calibri" w:hAnsi="Calibri" w:cs="Calibri"/>
                      <w:b/>
                      <w:bCs/>
                      <w:sz w:val="12"/>
                      <w:szCs w:val="12"/>
                    </w:rPr>
                  </w:pPr>
                  <w:r w:rsidRPr="00481831">
                    <w:rPr>
                      <w:rFonts w:ascii="Calibri" w:hAnsi="Calibri" w:cs="Calibri"/>
                      <w:b/>
                      <w:bCs/>
                      <w:sz w:val="12"/>
                      <w:szCs w:val="12"/>
                    </w:rPr>
                    <w:t>Z</w:t>
                  </w:r>
                </w:p>
              </w:tc>
              <w:tc>
                <w:tcPr>
                  <w:tcW w:w="2752" w:type="dxa"/>
                  <w:gridSpan w:val="3"/>
                  <w:vMerge w:val="restart"/>
                  <w:shd w:val="clear" w:color="auto" w:fill="F7CAAC" w:themeFill="accent2" w:themeFillTint="66"/>
                  <w:vAlign w:val="center"/>
                </w:tcPr>
                <w:p w14:paraId="3105210C" w14:textId="0FCCBAF3" w:rsidR="00C93B4E" w:rsidRPr="00481831" w:rsidRDefault="00C93B4E" w:rsidP="00C93B4E">
                  <w:pPr>
                    <w:spacing w:after="0" w:line="240" w:lineRule="auto"/>
                    <w:jc w:val="center"/>
                    <w:rPr>
                      <w:rFonts w:ascii="Calibri" w:hAnsi="Calibri" w:cs="Calibri"/>
                      <w:b/>
                      <w:bCs/>
                      <w:sz w:val="12"/>
                      <w:szCs w:val="12"/>
                    </w:rPr>
                  </w:pPr>
                  <w:r>
                    <w:rPr>
                      <w:rFonts w:ascii="Calibri" w:hAnsi="Calibri" w:cs="Calibri"/>
                      <w:b/>
                      <w:bCs/>
                      <w:sz w:val="12"/>
                      <w:szCs w:val="12"/>
                    </w:rPr>
                    <w:t>Y</w:t>
                  </w:r>
                </w:p>
              </w:tc>
              <w:tc>
                <w:tcPr>
                  <w:tcW w:w="567" w:type="dxa"/>
                  <w:vMerge w:val="restart"/>
                  <w:shd w:val="clear" w:color="auto" w:fill="C5E0B3" w:themeFill="accent6" w:themeFillTint="66"/>
                  <w:vAlign w:val="center"/>
                </w:tcPr>
                <w:p w14:paraId="2CD18E12" w14:textId="77777777" w:rsidR="00C93B4E" w:rsidRPr="00481831" w:rsidRDefault="00C93B4E" w:rsidP="00C93B4E">
                  <w:pPr>
                    <w:spacing w:after="0" w:line="240" w:lineRule="auto"/>
                    <w:jc w:val="center"/>
                    <w:rPr>
                      <w:rFonts w:ascii="Calibri" w:hAnsi="Calibri" w:cs="Calibri"/>
                      <w:b/>
                      <w:bCs/>
                      <w:sz w:val="12"/>
                      <w:szCs w:val="12"/>
                    </w:rPr>
                  </w:pPr>
                  <w:r>
                    <w:rPr>
                      <w:rFonts w:ascii="Calibri" w:hAnsi="Calibri" w:cs="Calibri"/>
                      <w:b/>
                      <w:bCs/>
                      <w:sz w:val="12"/>
                      <w:szCs w:val="12"/>
                    </w:rPr>
                    <w:t>x</w:t>
                  </w:r>
                </w:p>
              </w:tc>
            </w:tr>
            <w:tr w:rsidR="00C93B4E" w:rsidRPr="00481831" w14:paraId="545BA8A4" w14:textId="77777777" w:rsidTr="00767BAE">
              <w:trPr>
                <w:trHeight w:val="253"/>
                <w:jc w:val="center"/>
              </w:trPr>
              <w:tc>
                <w:tcPr>
                  <w:tcW w:w="867" w:type="dxa"/>
                  <w:shd w:val="clear" w:color="auto" w:fill="FFFFFF" w:themeFill="background1"/>
                  <w:vAlign w:val="center"/>
                </w:tcPr>
                <w:p w14:paraId="1466B1C1" w14:textId="77777777" w:rsidR="00C93B4E" w:rsidRPr="00CB02BA" w:rsidRDefault="00C93B4E" w:rsidP="00C93B4E">
                  <w:pPr>
                    <w:spacing w:after="0" w:line="240" w:lineRule="auto"/>
                    <w:rPr>
                      <w:rFonts w:ascii="Calibri" w:hAnsi="Calibri" w:cs="Calibri"/>
                      <w:b/>
                      <w:bCs/>
                      <w:sz w:val="12"/>
                      <w:szCs w:val="12"/>
                    </w:rPr>
                  </w:pPr>
                  <m:oMathPara>
                    <m:oMath>
                      <m:r>
                        <m:rPr>
                          <m:sty m:val="bi"/>
                        </m:rPr>
                        <w:rPr>
                          <w:rFonts w:ascii="Cambria Math" w:hAnsi="Cambria Math" w:cs="Calibri"/>
                          <w:sz w:val="12"/>
                          <w:szCs w:val="12"/>
                        </w:rPr>
                        <m:t>⋮</m:t>
                      </m:r>
                    </m:oMath>
                  </m:oMathPara>
                </w:p>
              </w:tc>
              <w:tc>
                <w:tcPr>
                  <w:tcW w:w="328" w:type="dxa"/>
                  <w:shd w:val="clear" w:color="auto" w:fill="FFFFFF" w:themeFill="background1"/>
                  <w:vAlign w:val="center"/>
                </w:tcPr>
                <w:p w14:paraId="42BDEA7E"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tc>
              <w:tc>
                <w:tcPr>
                  <w:tcW w:w="2751" w:type="dxa"/>
                  <w:gridSpan w:val="3"/>
                  <w:vMerge/>
                  <w:shd w:val="clear" w:color="auto" w:fill="B4C6E7" w:themeFill="accent1" w:themeFillTint="66"/>
                  <w:vAlign w:val="center"/>
                </w:tcPr>
                <w:p w14:paraId="0AD9B227" w14:textId="77777777" w:rsidR="00C93B4E" w:rsidRPr="00481831" w:rsidRDefault="00C93B4E" w:rsidP="00C93B4E">
                  <w:pPr>
                    <w:spacing w:after="0" w:line="240" w:lineRule="auto"/>
                    <w:jc w:val="center"/>
                    <w:rPr>
                      <w:rFonts w:ascii="Calibri" w:hAnsi="Calibri" w:cs="Calibri"/>
                      <w:sz w:val="12"/>
                      <w:szCs w:val="12"/>
                    </w:rPr>
                  </w:pPr>
                </w:p>
              </w:tc>
              <w:tc>
                <w:tcPr>
                  <w:tcW w:w="2752" w:type="dxa"/>
                  <w:gridSpan w:val="3"/>
                  <w:vMerge/>
                  <w:shd w:val="clear" w:color="auto" w:fill="F7CAAC" w:themeFill="accent2" w:themeFillTint="66"/>
                  <w:vAlign w:val="center"/>
                </w:tcPr>
                <w:p w14:paraId="5C94357E" w14:textId="77777777" w:rsidR="00C93B4E" w:rsidRPr="00481831" w:rsidRDefault="00C93B4E" w:rsidP="00C93B4E">
                  <w:pPr>
                    <w:spacing w:after="0" w:line="240" w:lineRule="auto"/>
                    <w:jc w:val="center"/>
                    <w:rPr>
                      <w:rFonts w:ascii="Calibri" w:hAnsi="Calibri" w:cs="Calibri"/>
                      <w:sz w:val="12"/>
                      <w:szCs w:val="12"/>
                    </w:rPr>
                  </w:pPr>
                </w:p>
              </w:tc>
              <w:tc>
                <w:tcPr>
                  <w:tcW w:w="567" w:type="dxa"/>
                  <w:vMerge/>
                  <w:shd w:val="clear" w:color="auto" w:fill="C5E0B3" w:themeFill="accent6" w:themeFillTint="66"/>
                  <w:vAlign w:val="center"/>
                </w:tcPr>
                <w:p w14:paraId="3CD50CDF"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02EA3881" w14:textId="77777777" w:rsidTr="00767BAE">
              <w:trPr>
                <w:trHeight w:val="563"/>
                <w:jc w:val="center"/>
              </w:trPr>
              <w:tc>
                <w:tcPr>
                  <w:tcW w:w="867" w:type="dxa"/>
                  <w:shd w:val="clear" w:color="auto" w:fill="FFFFFF" w:themeFill="background1"/>
                  <w:vAlign w:val="center"/>
                </w:tcPr>
                <w:p w14:paraId="5B618F6A" w14:textId="77777777" w:rsidR="00C93B4E" w:rsidRPr="00CB02BA" w:rsidRDefault="00C93B4E" w:rsidP="00C93B4E">
                  <w:pPr>
                    <w:spacing w:after="0" w:line="240" w:lineRule="auto"/>
                    <w:rPr>
                      <w:rFonts w:ascii="Calibri" w:hAnsi="Calibri" w:cs="Calibri"/>
                      <w:b/>
                      <w:bCs/>
                      <w:sz w:val="12"/>
                      <w:szCs w:val="12"/>
                    </w:rPr>
                  </w:pPr>
                  <w:r w:rsidRPr="00CB02BA">
                    <w:rPr>
                      <w:rFonts w:ascii="Calibri" w:hAnsi="Calibri" w:cs="Calibri"/>
                      <w:b/>
                      <w:bCs/>
                      <w:sz w:val="12"/>
                      <w:szCs w:val="12"/>
                    </w:rPr>
                    <w:t>Rest of the world</w:t>
                  </w:r>
                </w:p>
              </w:tc>
              <w:tc>
                <w:tcPr>
                  <w:tcW w:w="328" w:type="dxa"/>
                  <w:shd w:val="clear" w:color="auto" w:fill="FFFFFF" w:themeFill="background1"/>
                  <w:vAlign w:val="center"/>
                </w:tcPr>
                <w:p w14:paraId="48C7CEAB"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c1</w:t>
                  </w:r>
                </w:p>
                <w:p w14:paraId="345044F2"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p w14:paraId="0671D50E" w14:textId="0259F094"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w:t>
                  </w:r>
                  <w:r w:rsidR="00CF2D35">
                    <w:rPr>
                      <w:rFonts w:ascii="Calibri" w:hAnsi="Calibri" w:cs="Calibri"/>
                      <w:sz w:val="12"/>
                      <w:szCs w:val="12"/>
                    </w:rPr>
                    <w:t>3</w:t>
                  </w:r>
                  <w:r w:rsidRPr="00481831">
                    <w:rPr>
                      <w:rFonts w:ascii="Calibri" w:hAnsi="Calibri" w:cs="Calibri"/>
                      <w:sz w:val="12"/>
                      <w:szCs w:val="12"/>
                    </w:rPr>
                    <w:t>5</w:t>
                  </w:r>
                </w:p>
              </w:tc>
              <w:tc>
                <w:tcPr>
                  <w:tcW w:w="2751" w:type="dxa"/>
                  <w:gridSpan w:val="3"/>
                  <w:vMerge/>
                  <w:shd w:val="clear" w:color="auto" w:fill="B4C6E7" w:themeFill="accent1" w:themeFillTint="66"/>
                  <w:vAlign w:val="center"/>
                </w:tcPr>
                <w:p w14:paraId="58072518" w14:textId="77777777" w:rsidR="00C93B4E" w:rsidRPr="00481831" w:rsidRDefault="00C93B4E" w:rsidP="00C93B4E">
                  <w:pPr>
                    <w:spacing w:after="0" w:line="240" w:lineRule="auto"/>
                    <w:jc w:val="center"/>
                    <w:rPr>
                      <w:rFonts w:ascii="Calibri" w:hAnsi="Calibri" w:cs="Calibri"/>
                      <w:sz w:val="12"/>
                      <w:szCs w:val="12"/>
                    </w:rPr>
                  </w:pPr>
                </w:p>
              </w:tc>
              <w:tc>
                <w:tcPr>
                  <w:tcW w:w="2752" w:type="dxa"/>
                  <w:gridSpan w:val="3"/>
                  <w:vMerge/>
                  <w:tcBorders>
                    <w:bottom w:val="single" w:sz="4" w:space="0" w:color="auto"/>
                  </w:tcBorders>
                  <w:shd w:val="clear" w:color="auto" w:fill="F7CAAC" w:themeFill="accent2" w:themeFillTint="66"/>
                  <w:vAlign w:val="center"/>
                </w:tcPr>
                <w:p w14:paraId="2526ED9A" w14:textId="77777777" w:rsidR="00C93B4E" w:rsidRPr="00481831" w:rsidRDefault="00C93B4E" w:rsidP="00C93B4E">
                  <w:pPr>
                    <w:spacing w:after="0" w:line="240" w:lineRule="auto"/>
                    <w:jc w:val="center"/>
                    <w:rPr>
                      <w:rFonts w:ascii="Calibri" w:hAnsi="Calibri" w:cs="Calibri"/>
                      <w:sz w:val="12"/>
                      <w:szCs w:val="12"/>
                    </w:rPr>
                  </w:pPr>
                </w:p>
              </w:tc>
              <w:tc>
                <w:tcPr>
                  <w:tcW w:w="567" w:type="dxa"/>
                  <w:vMerge/>
                  <w:tcBorders>
                    <w:bottom w:val="single" w:sz="4" w:space="0" w:color="auto"/>
                  </w:tcBorders>
                  <w:shd w:val="clear" w:color="auto" w:fill="C5E0B3" w:themeFill="accent6" w:themeFillTint="66"/>
                  <w:vAlign w:val="center"/>
                </w:tcPr>
                <w:p w14:paraId="6175E54A"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6A8CBE7D" w14:textId="77777777" w:rsidTr="00767BAE">
              <w:trPr>
                <w:trHeight w:val="283"/>
                <w:jc w:val="center"/>
              </w:trPr>
              <w:tc>
                <w:tcPr>
                  <w:tcW w:w="1195" w:type="dxa"/>
                  <w:gridSpan w:val="2"/>
                  <w:shd w:val="clear" w:color="auto" w:fill="FFFFFF" w:themeFill="background1"/>
                  <w:vAlign w:val="center"/>
                </w:tcPr>
                <w:p w14:paraId="6E866090" w14:textId="77777777" w:rsidR="00C93B4E" w:rsidRPr="00CB02BA" w:rsidRDefault="00C93B4E" w:rsidP="00C93B4E">
                  <w:pPr>
                    <w:spacing w:after="0" w:line="240" w:lineRule="auto"/>
                    <w:rPr>
                      <w:rFonts w:ascii="Calibri" w:hAnsi="Calibri" w:cs="Calibri"/>
                      <w:b/>
                      <w:bCs/>
                      <w:sz w:val="12"/>
                      <w:szCs w:val="12"/>
                    </w:rPr>
                  </w:pPr>
                  <w:r>
                    <w:rPr>
                      <w:rFonts w:ascii="Calibri" w:hAnsi="Calibri" w:cs="Calibri"/>
                      <w:b/>
                      <w:bCs/>
                      <w:sz w:val="12"/>
                      <w:szCs w:val="12"/>
                    </w:rPr>
                    <w:t>V</w:t>
                  </w:r>
                  <w:r w:rsidRPr="00CB02BA">
                    <w:rPr>
                      <w:rFonts w:ascii="Calibri" w:hAnsi="Calibri" w:cs="Calibri"/>
                      <w:b/>
                      <w:bCs/>
                      <w:sz w:val="12"/>
                      <w:szCs w:val="12"/>
                    </w:rPr>
                    <w:t>alue added</w:t>
                  </w:r>
                </w:p>
              </w:tc>
              <w:tc>
                <w:tcPr>
                  <w:tcW w:w="2751" w:type="dxa"/>
                  <w:gridSpan w:val="3"/>
                  <w:tcBorders>
                    <w:right w:val="single" w:sz="4" w:space="0" w:color="auto"/>
                  </w:tcBorders>
                  <w:shd w:val="clear" w:color="auto" w:fill="FFD966" w:themeFill="accent4" w:themeFillTint="99"/>
                  <w:vAlign w:val="center"/>
                </w:tcPr>
                <w:p w14:paraId="34335AE5" w14:textId="3C2CAF87" w:rsidR="00C93B4E" w:rsidRPr="00481831" w:rsidRDefault="00C93B4E" w:rsidP="00C93B4E">
                  <w:pPr>
                    <w:spacing w:after="0" w:line="240" w:lineRule="auto"/>
                    <w:jc w:val="center"/>
                    <w:rPr>
                      <w:rFonts w:ascii="Calibri" w:hAnsi="Calibri" w:cs="Calibri"/>
                      <w:b/>
                      <w:bCs/>
                      <w:sz w:val="12"/>
                      <w:szCs w:val="12"/>
                    </w:rPr>
                  </w:pPr>
                  <w:proofErr w:type="spellStart"/>
                  <w:r>
                    <w:rPr>
                      <w:rFonts w:ascii="Calibri" w:hAnsi="Calibri" w:cs="Calibri"/>
                      <w:b/>
                      <w:bCs/>
                      <w:sz w:val="12"/>
                      <w:szCs w:val="12"/>
                    </w:rPr>
                    <w:t>v</w:t>
                  </w:r>
                  <w:r w:rsidRPr="00481831">
                    <w:rPr>
                      <w:rFonts w:ascii="Calibri" w:hAnsi="Calibri" w:cs="Calibri"/>
                      <w:b/>
                      <w:bCs/>
                      <w:sz w:val="12"/>
                      <w:szCs w:val="12"/>
                    </w:rPr>
                    <w:t>a</w:t>
                  </w:r>
                  <w:proofErr w:type="spellEnd"/>
                </w:p>
              </w:tc>
              <w:tc>
                <w:tcPr>
                  <w:tcW w:w="1051" w:type="dxa"/>
                  <w:tcBorders>
                    <w:top w:val="single" w:sz="4" w:space="0" w:color="auto"/>
                    <w:left w:val="single" w:sz="4" w:space="0" w:color="auto"/>
                    <w:bottom w:val="nil"/>
                    <w:right w:val="nil"/>
                  </w:tcBorders>
                  <w:vAlign w:val="center"/>
                </w:tcPr>
                <w:p w14:paraId="3132C0DC"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single" w:sz="4" w:space="0" w:color="auto"/>
                    <w:left w:val="nil"/>
                    <w:bottom w:val="nil"/>
                    <w:right w:val="nil"/>
                  </w:tcBorders>
                  <w:vAlign w:val="center"/>
                </w:tcPr>
                <w:p w14:paraId="031D7E35" w14:textId="77777777" w:rsidR="00C93B4E" w:rsidRPr="00481831" w:rsidRDefault="00C93B4E" w:rsidP="00C93B4E">
                  <w:pPr>
                    <w:spacing w:after="0" w:line="240" w:lineRule="auto"/>
                    <w:jc w:val="center"/>
                    <w:rPr>
                      <w:rFonts w:ascii="Calibri" w:hAnsi="Calibri" w:cs="Calibri"/>
                      <w:sz w:val="12"/>
                      <w:szCs w:val="12"/>
                    </w:rPr>
                  </w:pPr>
                </w:p>
              </w:tc>
              <w:tc>
                <w:tcPr>
                  <w:tcW w:w="1134" w:type="dxa"/>
                  <w:tcBorders>
                    <w:top w:val="single" w:sz="4" w:space="0" w:color="auto"/>
                    <w:left w:val="nil"/>
                    <w:bottom w:val="nil"/>
                    <w:right w:val="nil"/>
                  </w:tcBorders>
                  <w:vAlign w:val="center"/>
                </w:tcPr>
                <w:p w14:paraId="1D7F7945"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single" w:sz="4" w:space="0" w:color="auto"/>
                    <w:left w:val="nil"/>
                    <w:bottom w:val="nil"/>
                    <w:right w:val="nil"/>
                  </w:tcBorders>
                  <w:vAlign w:val="center"/>
                </w:tcPr>
                <w:p w14:paraId="3E5C0085"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35A71DCF" w14:textId="77777777" w:rsidTr="00767BAE">
              <w:trPr>
                <w:trHeight w:val="259"/>
                <w:jc w:val="center"/>
              </w:trPr>
              <w:tc>
                <w:tcPr>
                  <w:tcW w:w="1195" w:type="dxa"/>
                  <w:gridSpan w:val="2"/>
                  <w:shd w:val="clear" w:color="auto" w:fill="FFFFFF" w:themeFill="background1"/>
                  <w:vAlign w:val="center"/>
                </w:tcPr>
                <w:p w14:paraId="3474A8E3" w14:textId="77777777" w:rsidR="00C93B4E" w:rsidRPr="00CB02BA" w:rsidRDefault="00C93B4E" w:rsidP="00C93B4E">
                  <w:pPr>
                    <w:spacing w:after="0" w:line="240" w:lineRule="auto"/>
                    <w:rPr>
                      <w:rFonts w:ascii="Calibri" w:hAnsi="Calibri" w:cs="Calibri"/>
                      <w:b/>
                      <w:bCs/>
                      <w:sz w:val="12"/>
                      <w:szCs w:val="12"/>
                    </w:rPr>
                  </w:pPr>
                  <w:r w:rsidRPr="00CB02BA">
                    <w:rPr>
                      <w:rFonts w:ascii="Calibri" w:hAnsi="Calibri" w:cs="Calibri"/>
                      <w:b/>
                      <w:bCs/>
                      <w:sz w:val="12"/>
                      <w:szCs w:val="12"/>
                    </w:rPr>
                    <w:t>Total output</w:t>
                  </w:r>
                </w:p>
              </w:tc>
              <w:tc>
                <w:tcPr>
                  <w:tcW w:w="2751" w:type="dxa"/>
                  <w:gridSpan w:val="3"/>
                  <w:tcBorders>
                    <w:right w:val="single" w:sz="4" w:space="0" w:color="auto"/>
                  </w:tcBorders>
                  <w:shd w:val="clear" w:color="auto" w:fill="C5E0B3" w:themeFill="accent6" w:themeFillTint="66"/>
                  <w:vAlign w:val="center"/>
                </w:tcPr>
                <w:p w14:paraId="7A7FE062" w14:textId="1956B12D" w:rsidR="00C93B4E" w:rsidRPr="00481831" w:rsidRDefault="00C93B4E" w:rsidP="00C93B4E">
                  <w:pPr>
                    <w:spacing w:after="0" w:line="240" w:lineRule="auto"/>
                    <w:jc w:val="center"/>
                    <w:rPr>
                      <w:rFonts w:ascii="Calibri" w:hAnsi="Calibri" w:cs="Calibri"/>
                      <w:b/>
                      <w:bCs/>
                      <w:sz w:val="12"/>
                      <w:szCs w:val="12"/>
                    </w:rPr>
                  </w:pPr>
                  <w:r>
                    <w:rPr>
                      <w:rFonts w:ascii="Calibri" w:hAnsi="Calibri" w:cs="Calibri"/>
                      <w:b/>
                      <w:bCs/>
                      <w:sz w:val="12"/>
                      <w:szCs w:val="12"/>
                    </w:rPr>
                    <w:t>x</w:t>
                  </w:r>
                </w:p>
              </w:tc>
              <w:tc>
                <w:tcPr>
                  <w:tcW w:w="1051" w:type="dxa"/>
                  <w:tcBorders>
                    <w:top w:val="nil"/>
                    <w:left w:val="single" w:sz="4" w:space="0" w:color="auto"/>
                    <w:bottom w:val="single" w:sz="4" w:space="0" w:color="FFF2CC" w:themeColor="accent4" w:themeTint="33"/>
                    <w:right w:val="nil"/>
                  </w:tcBorders>
                  <w:vAlign w:val="center"/>
                </w:tcPr>
                <w:p w14:paraId="16CFFA3A"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nil"/>
                    <w:left w:val="nil"/>
                    <w:bottom w:val="single" w:sz="4" w:space="0" w:color="FFF2CC" w:themeColor="accent4" w:themeTint="33"/>
                    <w:right w:val="nil"/>
                  </w:tcBorders>
                  <w:vAlign w:val="center"/>
                </w:tcPr>
                <w:p w14:paraId="43BF48D4" w14:textId="77777777" w:rsidR="00C93B4E" w:rsidRPr="00481831" w:rsidRDefault="00C93B4E" w:rsidP="00C93B4E">
                  <w:pPr>
                    <w:spacing w:after="0" w:line="240" w:lineRule="auto"/>
                    <w:jc w:val="center"/>
                    <w:rPr>
                      <w:rFonts w:ascii="Calibri" w:hAnsi="Calibri" w:cs="Calibri"/>
                      <w:sz w:val="12"/>
                      <w:szCs w:val="12"/>
                    </w:rPr>
                  </w:pPr>
                </w:p>
              </w:tc>
              <w:tc>
                <w:tcPr>
                  <w:tcW w:w="1134" w:type="dxa"/>
                  <w:tcBorders>
                    <w:top w:val="nil"/>
                    <w:left w:val="nil"/>
                    <w:bottom w:val="single" w:sz="4" w:space="0" w:color="FFF2CC" w:themeColor="accent4" w:themeTint="33"/>
                    <w:right w:val="nil"/>
                  </w:tcBorders>
                  <w:vAlign w:val="center"/>
                </w:tcPr>
                <w:p w14:paraId="1C59CAFA"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nil"/>
                    <w:left w:val="nil"/>
                    <w:bottom w:val="single" w:sz="4" w:space="0" w:color="FFF2CC" w:themeColor="accent4" w:themeTint="33"/>
                    <w:right w:val="nil"/>
                  </w:tcBorders>
                  <w:vAlign w:val="center"/>
                </w:tcPr>
                <w:p w14:paraId="3BCCAA1E" w14:textId="77777777" w:rsidR="00C93B4E" w:rsidRPr="00481831" w:rsidRDefault="00C93B4E" w:rsidP="00C93B4E">
                  <w:pPr>
                    <w:spacing w:after="0" w:line="240" w:lineRule="auto"/>
                    <w:jc w:val="center"/>
                    <w:rPr>
                      <w:rFonts w:ascii="Calibri" w:hAnsi="Calibri" w:cs="Calibri"/>
                      <w:sz w:val="12"/>
                      <w:szCs w:val="12"/>
                    </w:rPr>
                  </w:pPr>
                </w:p>
              </w:tc>
            </w:tr>
          </w:tbl>
          <w:p w14:paraId="74ABF724" w14:textId="77777777" w:rsidR="00767BAE" w:rsidRDefault="00767BAE" w:rsidP="00767BAE">
            <w:pPr>
              <w:pStyle w:val="NotesAbbreviations"/>
            </w:pPr>
          </w:p>
          <w:p w14:paraId="434B8695" w14:textId="3225748D" w:rsidR="00DC0383" w:rsidRDefault="00C93B4E" w:rsidP="002F6BD3">
            <w:pPr>
              <w:pStyle w:val="NotesBottom"/>
            </w:pPr>
            <w:r>
              <w:t>Source:</w:t>
            </w:r>
            <w:r>
              <w:tab/>
              <w:t>Asian Development Bank. Multiregional Input–Output Database.</w:t>
            </w:r>
          </w:p>
          <w:p w14:paraId="63DF3638" w14:textId="1997E21A" w:rsidR="00DC0383" w:rsidRPr="00DC0383" w:rsidRDefault="00DC0383" w:rsidP="00DC0383">
            <w:pPr>
              <w:pStyle w:val="Box"/>
              <w:rPr>
                <w:b/>
                <w:bCs/>
              </w:rPr>
            </w:pPr>
            <w:r w:rsidRPr="00DC0383">
              <w:rPr>
                <w:b/>
                <w:bCs/>
              </w:rPr>
              <w:t>References</w:t>
            </w:r>
          </w:p>
          <w:p w14:paraId="674D9854" w14:textId="32B500C3" w:rsidR="00806E9A" w:rsidRDefault="00806E9A" w:rsidP="00806E9A">
            <w:pPr>
              <w:pStyle w:val="BoxReferences"/>
            </w:pPr>
            <w:r>
              <w:t xml:space="preserve">European Commission. 2008. </w:t>
            </w:r>
            <w:r w:rsidRPr="00806E9A">
              <w:rPr>
                <w:i/>
                <w:iCs/>
              </w:rPr>
              <w:t>Eurostat Manual of Supply, Use and Input-Output Tables</w:t>
            </w:r>
            <w:r>
              <w:t>. Luxembourg: European Commission. Retrieved from https://ec.europa.eu/eurostat/web/products-manuals-and-guidelines/-/KS-RA-07-013.</w:t>
            </w:r>
          </w:p>
          <w:p w14:paraId="4649C327" w14:textId="64CB5375" w:rsidR="00DC0383" w:rsidRPr="00DC0383" w:rsidRDefault="00DC0383" w:rsidP="00DC0383">
            <w:pPr>
              <w:pStyle w:val="BoxReferences"/>
            </w:pPr>
            <w:r w:rsidRPr="00DC0383">
              <w:t xml:space="preserve">M. P. Timmer, E. </w:t>
            </w:r>
            <w:proofErr w:type="spellStart"/>
            <w:r w:rsidRPr="00DC0383">
              <w:t>Dietzenbacher</w:t>
            </w:r>
            <w:proofErr w:type="spellEnd"/>
            <w:r w:rsidRPr="00DC0383">
              <w:t xml:space="preserve">, B. Los, R. </w:t>
            </w:r>
            <w:proofErr w:type="spellStart"/>
            <w:r w:rsidRPr="00DC0383">
              <w:t>Stehrer</w:t>
            </w:r>
            <w:proofErr w:type="spellEnd"/>
            <w:r w:rsidRPr="00DC0383">
              <w:t xml:space="preserve">, and G. J. de Vries. 2015. An Illustrated User Guide to the World Input-Output Database: The Case of Global Automotive Production. </w:t>
            </w:r>
            <w:r w:rsidRPr="00C4761F">
              <w:rPr>
                <w:i/>
                <w:iCs/>
              </w:rPr>
              <w:t>Review of International Economics</w:t>
            </w:r>
            <w:r w:rsidR="00C4761F" w:rsidRPr="00C4761F">
              <w:t>.</w:t>
            </w:r>
            <w:r w:rsidRPr="00DC0383">
              <w:t xml:space="preserve"> 23(3)</w:t>
            </w:r>
            <w:r w:rsidR="00C4761F">
              <w:t>.</w:t>
            </w:r>
            <w:r w:rsidRPr="00DC0383">
              <w:t xml:space="preserve"> pp. 575–605.</w:t>
            </w:r>
          </w:p>
        </w:tc>
      </w:tr>
    </w:tbl>
    <w:p w14:paraId="3D8DC105" w14:textId="77777777" w:rsidR="00FD1BD1" w:rsidRDefault="00FD1BD1" w:rsidP="00DA0175"/>
    <w:p w14:paraId="6BDDA2D2" w14:textId="443A5D3A" w:rsidR="00EA10DB" w:rsidRDefault="00F94AAC" w:rsidP="0069584D">
      <w:r>
        <w:t>Kazakhstan is a vast, land-locked country that sits at the heart of the Eurasian landmass</w:t>
      </w:r>
      <w:r w:rsidR="00EA10DB">
        <w:t>. Migrants, traders, armies, and</w:t>
      </w:r>
      <w:r>
        <w:t xml:space="preserve"> </w:t>
      </w:r>
      <w:r w:rsidR="00EA10DB">
        <w:t xml:space="preserve">pastoral nomads </w:t>
      </w:r>
      <w:r>
        <w:t xml:space="preserve">have </w:t>
      </w:r>
      <w:r w:rsidR="00EA10DB">
        <w:t xml:space="preserve">crossed its steppes </w:t>
      </w:r>
      <w:r>
        <w:t xml:space="preserve">for centuries. Historians date the emergence of a </w:t>
      </w:r>
      <w:r w:rsidR="00EA10DB">
        <w:t xml:space="preserve">distinct </w:t>
      </w:r>
      <w:r>
        <w:t xml:space="preserve">Kazakh identity in the 16th century, when tribes sharing a common culture formed a loose federation known as the Kazakh Khanate. It fell under increasing Russian influence in the 18th century, culminating in its incorporation into the Union of Soviet Socialist Republics in the 20th century. Upon the dissolution of that body in 1991, the modern state of Kazakhstan was born (Pavlović 2003). </w:t>
      </w:r>
    </w:p>
    <w:p w14:paraId="69ABE215" w14:textId="7317DA94" w:rsidR="00CE20DF" w:rsidRDefault="00EA10DB" w:rsidP="0069584D">
      <w:r>
        <w:t>Following independence, t</w:t>
      </w:r>
      <w:r w:rsidR="00934481">
        <w:t xml:space="preserve">he exploitation of </w:t>
      </w:r>
      <w:r>
        <w:t>Kazakhstan's</w:t>
      </w:r>
      <w:r w:rsidR="00934481">
        <w:t xml:space="preserve"> </w:t>
      </w:r>
      <w:r w:rsidR="00F94AAC">
        <w:t xml:space="preserve">sizable oil reserves led to rapid growth, </w:t>
      </w:r>
      <w:r>
        <w:t xml:space="preserve">particularly during the 2000s boom in oil prices. It transitioned from lower-middle </w:t>
      </w:r>
      <w:r w:rsidR="00F94AAC">
        <w:t>to upper-middle income status by 2006</w:t>
      </w:r>
      <w:r>
        <w:t xml:space="preserve"> according to the World Bank</w:t>
      </w:r>
      <w:r w:rsidR="00F94AAC">
        <w:t>.</w:t>
      </w:r>
      <w:r w:rsidR="0069584D">
        <w:rPr>
          <w:rStyle w:val="FootnoteReference"/>
        </w:rPr>
        <w:footnoteReference w:id="2"/>
      </w:r>
      <w:r w:rsidR="00F94AAC">
        <w:t xml:space="preserve"> </w:t>
      </w:r>
      <w:r w:rsidR="00B1011E">
        <w:t>It has the highest Human Development Index among the states of the former Soviet Union.</w:t>
      </w:r>
      <w:r w:rsidR="00B1011E">
        <w:rPr>
          <w:rStyle w:val="FootnoteReference"/>
        </w:rPr>
        <w:footnoteReference w:id="3"/>
      </w:r>
      <w:r w:rsidR="00B1011E">
        <w:t xml:space="preserve"> </w:t>
      </w:r>
      <w:r w:rsidR="0069584D">
        <w:t xml:space="preserve">However, </w:t>
      </w:r>
      <w:r>
        <w:t>over</w:t>
      </w:r>
      <w:r w:rsidR="0069584D">
        <w:t xml:space="preserve">dependence on </w:t>
      </w:r>
      <w:r w:rsidR="00B1011E">
        <w:t>an</w:t>
      </w:r>
      <w:r>
        <w:t xml:space="preserve"> extractive resource sector</w:t>
      </w:r>
      <w:r w:rsidR="0069584D">
        <w:t xml:space="preserve"> naturally poses risks, making </w:t>
      </w:r>
      <w:r w:rsidR="0069584D">
        <w:lastRenderedPageBreak/>
        <w:t>diversification crucial to Kazakhstan's long-term economic health (</w:t>
      </w:r>
      <w:proofErr w:type="spellStart"/>
      <w:r w:rsidR="0069584D">
        <w:t>Azretbergenova</w:t>
      </w:r>
      <w:proofErr w:type="spellEnd"/>
      <w:r w:rsidR="0069584D">
        <w:t xml:space="preserve"> and </w:t>
      </w:r>
      <w:proofErr w:type="spellStart"/>
      <w:r w:rsidR="0069584D">
        <w:t>Syzdykova</w:t>
      </w:r>
      <w:proofErr w:type="spellEnd"/>
      <w:r w:rsidR="0069584D">
        <w:t xml:space="preserve"> 2020).</w:t>
      </w:r>
    </w:p>
    <w:p w14:paraId="18BAF79B" w14:textId="4F7C3D14" w:rsidR="00C2222F" w:rsidRDefault="004F3505" w:rsidP="00B212B6">
      <w:r>
        <w:t>The next chapter</w:t>
      </w:r>
      <w:r w:rsidR="002F7FD7" w:rsidRPr="00935841">
        <w:t xml:space="preserve"> </w:t>
      </w:r>
      <w:r>
        <w:t xml:space="preserve">examines Kazakhstan's economy and trade in more detail. </w:t>
      </w:r>
      <w:r w:rsidRPr="004F3505">
        <w:rPr>
          <w:color w:val="FF0000"/>
        </w:rPr>
        <w:t>C</w:t>
      </w:r>
      <w:r w:rsidR="00220707" w:rsidRPr="004F3505">
        <w:rPr>
          <w:color w:val="FF0000"/>
        </w:rPr>
        <w:t xml:space="preserve">hapter 3 </w:t>
      </w:r>
      <w:r w:rsidR="00B6366A" w:rsidRPr="004F3505">
        <w:rPr>
          <w:color w:val="FF0000"/>
        </w:rPr>
        <w:t xml:space="preserve">introduces </w:t>
      </w:r>
      <w:r w:rsidR="00220707" w:rsidRPr="004F3505">
        <w:rPr>
          <w:color w:val="FF0000"/>
        </w:rPr>
        <w:t>an array of indicators obtained from the literature</w:t>
      </w:r>
      <w:r w:rsidR="00B6366A" w:rsidRPr="004F3505">
        <w:rPr>
          <w:color w:val="FF0000"/>
        </w:rPr>
        <w:t xml:space="preserve"> that characterizes Pakistan’s </w:t>
      </w:r>
      <w:r w:rsidR="00E90708" w:rsidRPr="004F3505">
        <w:rPr>
          <w:color w:val="FF0000"/>
        </w:rPr>
        <w:t>place in</w:t>
      </w:r>
      <w:r w:rsidR="00B6366A" w:rsidRPr="004F3505">
        <w:rPr>
          <w:color w:val="FF0000"/>
        </w:rPr>
        <w:t xml:space="preserve"> </w:t>
      </w:r>
      <w:r w:rsidR="00935841" w:rsidRPr="004F3505">
        <w:rPr>
          <w:color w:val="FF0000"/>
        </w:rPr>
        <w:t>international production sharing</w:t>
      </w:r>
      <w:r w:rsidR="00220707" w:rsidRPr="004F3505">
        <w:rPr>
          <w:color w:val="FF0000"/>
        </w:rPr>
        <w:t xml:space="preserve">. Chapter 4 </w:t>
      </w:r>
      <w:r w:rsidR="00B6366A" w:rsidRPr="004F3505">
        <w:rPr>
          <w:color w:val="FF0000"/>
        </w:rPr>
        <w:t xml:space="preserve">draws further insights into its specialization and competitiveness by refining </w:t>
      </w:r>
      <w:r w:rsidR="00220707" w:rsidRPr="004F3505">
        <w:rPr>
          <w:color w:val="FF0000"/>
        </w:rPr>
        <w:t xml:space="preserve">two classic trade indicators to account for GVCs. </w:t>
      </w:r>
      <w:r w:rsidR="00935841" w:rsidRPr="004F3505">
        <w:rPr>
          <w:color w:val="FF0000"/>
        </w:rPr>
        <w:t>A number of special topics are discussed in c</w:t>
      </w:r>
      <w:r w:rsidR="00220707" w:rsidRPr="004F3505">
        <w:rPr>
          <w:color w:val="FF0000"/>
        </w:rPr>
        <w:t>hapter 5</w:t>
      </w:r>
      <w:r w:rsidR="00E90708" w:rsidRPr="004F3505">
        <w:rPr>
          <w:color w:val="FF0000"/>
        </w:rPr>
        <w:t>,</w:t>
      </w:r>
      <w:r w:rsidR="00220707" w:rsidRPr="004F3505">
        <w:rPr>
          <w:color w:val="FF0000"/>
        </w:rPr>
        <w:t xml:space="preserve"> </w:t>
      </w:r>
      <w:r w:rsidR="00E90708" w:rsidRPr="004F3505">
        <w:rPr>
          <w:color w:val="FF0000"/>
        </w:rPr>
        <w:t>including its membership in the South Asian Association for Regional Cooperation</w:t>
      </w:r>
      <w:r w:rsidR="00767E30" w:rsidRPr="004F3505">
        <w:rPr>
          <w:color w:val="FF0000"/>
        </w:rPr>
        <w:t>, its patterns of domestic agglomeration,</w:t>
      </w:r>
      <w:r w:rsidR="00E90708" w:rsidRPr="004F3505">
        <w:rPr>
          <w:color w:val="FF0000"/>
        </w:rPr>
        <w:t xml:space="preserve"> </w:t>
      </w:r>
      <w:r w:rsidR="00220707" w:rsidRPr="004F3505">
        <w:rPr>
          <w:color w:val="FF0000"/>
        </w:rPr>
        <w:t xml:space="preserve">and </w:t>
      </w:r>
      <w:r w:rsidR="00E90708" w:rsidRPr="004F3505">
        <w:rPr>
          <w:color w:val="FF0000"/>
        </w:rPr>
        <w:t xml:space="preserve">its economic performance under the </w:t>
      </w:r>
      <w:r w:rsidR="001B02CE" w:rsidRPr="004F3505">
        <w:rPr>
          <w:color w:val="FF0000"/>
        </w:rPr>
        <w:t>c</w:t>
      </w:r>
      <w:r w:rsidR="00E90708" w:rsidRPr="004F3505">
        <w:rPr>
          <w:color w:val="FF0000"/>
        </w:rPr>
        <w:t>oronavirus pandemic</w:t>
      </w:r>
      <w:r w:rsidR="001B02CE" w:rsidRPr="004F3505">
        <w:rPr>
          <w:color w:val="FF0000"/>
        </w:rPr>
        <w:t xml:space="preserve"> of 2020</w:t>
      </w:r>
      <w:r w:rsidR="00220707" w:rsidRPr="004F3505">
        <w:rPr>
          <w:color w:val="FF0000"/>
        </w:rPr>
        <w:t>.</w:t>
      </w:r>
      <w:r w:rsidR="00B212B6" w:rsidRPr="004F3505">
        <w:rPr>
          <w:color w:val="FF0000"/>
        </w:rPr>
        <w:t xml:space="preserve"> Chapter 6 concludes</w:t>
      </w:r>
      <w:r w:rsidR="00767E30" w:rsidRPr="004F3505">
        <w:rPr>
          <w:color w:val="FF0000"/>
        </w:rPr>
        <w:t xml:space="preserve"> with recommendations for maximizing the benefits of GVCs and minimizing their </w:t>
      </w:r>
      <w:r w:rsidR="003C69CE" w:rsidRPr="004F3505">
        <w:rPr>
          <w:color w:val="FF0000"/>
        </w:rPr>
        <w:t>risks</w:t>
      </w:r>
      <w:r w:rsidR="00B212B6" w:rsidRPr="004F3505">
        <w:rPr>
          <w:color w:val="FF0000"/>
        </w:rPr>
        <w:t>.</w:t>
      </w:r>
      <w:r w:rsidR="00C2222F">
        <w:br w:type="page"/>
      </w:r>
    </w:p>
    <w:p w14:paraId="1412CD6E" w14:textId="6681B9F9" w:rsidR="00C2222F" w:rsidRPr="00017EDF" w:rsidRDefault="00C2222F" w:rsidP="00C2222F">
      <w:pPr>
        <w:pStyle w:val="Heading1"/>
      </w:pPr>
      <w:bookmarkStart w:id="3" w:name="_Toc83849787"/>
      <w:r>
        <w:lastRenderedPageBreak/>
        <w:t>Overview</w:t>
      </w:r>
      <w:r w:rsidR="00E55159">
        <w:t xml:space="preserve"> of Economy and Trade</w:t>
      </w:r>
      <w:bookmarkEnd w:id="3"/>
    </w:p>
    <w:p w14:paraId="305FA7EA" w14:textId="143DB9A9" w:rsidR="00C2222F" w:rsidRPr="00B1011E" w:rsidRDefault="003435C3" w:rsidP="00C2222F">
      <w:pPr>
        <w:rPr>
          <w:color w:val="FF0000"/>
        </w:rPr>
      </w:pPr>
      <w:r w:rsidRPr="00B1011E">
        <w:rPr>
          <w:color w:val="FF0000"/>
        </w:rPr>
        <w:t>Summary</w:t>
      </w:r>
    </w:p>
    <w:p w14:paraId="1468FE5F" w14:textId="278AC911" w:rsidR="003435C3" w:rsidRDefault="002F176A" w:rsidP="002F176A">
      <w:pPr>
        <w:rPr>
          <w:rFonts w:eastAsia="Calibri" w:cstheme="minorHAnsi"/>
          <w:color w:val="000000" w:themeColor="text1"/>
          <w:szCs w:val="22"/>
        </w:rPr>
      </w:pPr>
      <w:r>
        <w:rPr>
          <w:rFonts w:eastAsia="Calibri" w:cstheme="minorHAnsi"/>
          <w:color w:val="000000" w:themeColor="text1"/>
          <w:szCs w:val="22"/>
        </w:rPr>
        <w:t>Throughout the 1990s, Kazakhstan, along with the other states of the former Soviet Union,</w:t>
      </w:r>
      <w:r w:rsidR="003435C3">
        <w:rPr>
          <w:rFonts w:eastAsia="Calibri" w:cstheme="minorHAnsi"/>
          <w:color w:val="000000" w:themeColor="text1"/>
          <w:szCs w:val="22"/>
        </w:rPr>
        <w:t xml:space="preserve"> faced severe economic dislocation </w:t>
      </w:r>
      <w:r>
        <w:rPr>
          <w:rFonts w:eastAsia="Calibri" w:cstheme="minorHAnsi"/>
          <w:color w:val="000000" w:themeColor="text1"/>
          <w:szCs w:val="22"/>
        </w:rPr>
        <w:t xml:space="preserve">as they </w:t>
      </w:r>
      <w:r w:rsidR="003435C3">
        <w:rPr>
          <w:rFonts w:eastAsia="Calibri" w:cstheme="minorHAnsi"/>
          <w:color w:val="000000" w:themeColor="text1"/>
          <w:szCs w:val="22"/>
        </w:rPr>
        <w:t>transition</w:t>
      </w:r>
      <w:r>
        <w:rPr>
          <w:rFonts w:eastAsia="Calibri" w:cstheme="minorHAnsi"/>
          <w:color w:val="000000" w:themeColor="text1"/>
          <w:szCs w:val="22"/>
        </w:rPr>
        <w:t>ed</w:t>
      </w:r>
      <w:r w:rsidR="003435C3">
        <w:rPr>
          <w:rFonts w:eastAsia="Calibri" w:cstheme="minorHAnsi"/>
          <w:color w:val="000000" w:themeColor="text1"/>
          <w:szCs w:val="22"/>
        </w:rPr>
        <w:t xml:space="preserve"> </w:t>
      </w:r>
      <w:r>
        <w:rPr>
          <w:rFonts w:eastAsia="Calibri" w:cstheme="minorHAnsi"/>
          <w:color w:val="000000" w:themeColor="text1"/>
          <w:szCs w:val="22"/>
        </w:rPr>
        <w:t>in</w:t>
      </w:r>
      <w:r w:rsidR="003435C3">
        <w:rPr>
          <w:rFonts w:eastAsia="Calibri" w:cstheme="minorHAnsi"/>
          <w:color w:val="000000" w:themeColor="text1"/>
          <w:szCs w:val="22"/>
        </w:rPr>
        <w:t>to</w:t>
      </w:r>
      <w:r>
        <w:rPr>
          <w:rFonts w:eastAsia="Calibri" w:cstheme="minorHAnsi"/>
          <w:color w:val="000000" w:themeColor="text1"/>
          <w:szCs w:val="22"/>
        </w:rPr>
        <w:t xml:space="preserve"> independent,</w:t>
      </w:r>
      <w:r w:rsidR="003435C3">
        <w:rPr>
          <w:rFonts w:eastAsia="Calibri" w:cstheme="minorHAnsi"/>
          <w:color w:val="000000" w:themeColor="text1"/>
          <w:szCs w:val="22"/>
        </w:rPr>
        <w:t xml:space="preserve"> market-based econom</w:t>
      </w:r>
      <w:r>
        <w:rPr>
          <w:rFonts w:eastAsia="Calibri" w:cstheme="minorHAnsi"/>
          <w:color w:val="000000" w:themeColor="text1"/>
          <w:szCs w:val="22"/>
        </w:rPr>
        <w:t>ies</w:t>
      </w:r>
      <w:r w:rsidR="003435C3">
        <w:rPr>
          <w:rFonts w:eastAsia="Calibri" w:cstheme="minorHAnsi"/>
          <w:color w:val="000000" w:themeColor="text1"/>
          <w:szCs w:val="22"/>
        </w:rPr>
        <w:t xml:space="preserve">. </w:t>
      </w:r>
      <w:r>
        <w:rPr>
          <w:rFonts w:eastAsia="Calibri" w:cstheme="minorHAnsi"/>
          <w:color w:val="000000" w:themeColor="text1"/>
          <w:szCs w:val="22"/>
        </w:rPr>
        <w:t>H</w:t>
      </w:r>
      <w:r w:rsidR="003435C3">
        <w:rPr>
          <w:rFonts w:eastAsia="Calibri" w:cstheme="minorHAnsi"/>
          <w:color w:val="000000" w:themeColor="text1"/>
          <w:szCs w:val="22"/>
        </w:rPr>
        <w:t>yperinflation</w:t>
      </w:r>
      <w:r>
        <w:rPr>
          <w:rFonts w:eastAsia="Calibri" w:cstheme="minorHAnsi"/>
          <w:color w:val="000000" w:themeColor="text1"/>
          <w:szCs w:val="22"/>
        </w:rPr>
        <w:t xml:space="preserve"> struck the region after price controls were lifted in January 1992. Though Kazakhstan replaced the Russian ruble with its own currency, the tenge, in 1993, it was not until 1996 when monthly inflation fell below 50%. Some 1 million people, mostly ethnic Russians, would go on to emigrate (Pomfret 2019). Coal production, once a major industry, fell from 138 million tons in 1989 to 58 million tons in 1999.</w:t>
      </w:r>
      <w:r>
        <w:rPr>
          <w:rStyle w:val="FootnoteReference"/>
          <w:rFonts w:eastAsia="Calibri" w:cstheme="minorHAnsi"/>
          <w:color w:val="000000" w:themeColor="text1"/>
          <w:szCs w:val="22"/>
        </w:rPr>
        <w:footnoteReference w:id="4"/>
      </w:r>
      <w:r>
        <w:rPr>
          <w:rFonts w:eastAsia="Calibri" w:cstheme="minorHAnsi"/>
          <w:color w:val="000000" w:themeColor="text1"/>
          <w:szCs w:val="22"/>
        </w:rPr>
        <w:t xml:space="preserve"> In real terms, the economy in 1999 was just 63% of its size in 1990.</w:t>
      </w:r>
      <w:r>
        <w:rPr>
          <w:rStyle w:val="FootnoteReference"/>
          <w:rFonts w:eastAsia="Calibri" w:cstheme="minorHAnsi"/>
          <w:color w:val="000000" w:themeColor="text1"/>
          <w:szCs w:val="22"/>
        </w:rPr>
        <w:footnoteReference w:id="5"/>
      </w:r>
      <w:r>
        <w:rPr>
          <w:rFonts w:eastAsia="Calibri" w:cstheme="minorHAnsi"/>
          <w:color w:val="000000" w:themeColor="text1"/>
          <w:szCs w:val="22"/>
        </w:rPr>
        <w:t xml:space="preserve"> </w:t>
      </w:r>
    </w:p>
    <w:p w14:paraId="47ED9794" w14:textId="1CF65E9E" w:rsidR="00C2222F" w:rsidRDefault="005B72B7" w:rsidP="005B72B7">
      <w:pPr>
        <w:pStyle w:val="Caption"/>
        <w:rPr>
          <w:rFonts w:eastAsia="Calibri" w:cstheme="minorHAnsi"/>
          <w:szCs w:val="22"/>
        </w:rPr>
      </w:pPr>
      <w:bookmarkStart w:id="4" w:name="_Ref81223415"/>
      <w:bookmarkStart w:id="5" w:name="_Toc83849799"/>
      <w:r>
        <w:t xml:space="preserve">Figure </w:t>
      </w:r>
      <w:fldSimple w:instr=" STYLEREF 1 \s ">
        <w:r w:rsidR="00D57A44">
          <w:rPr>
            <w:noProof/>
            <w:cs/>
          </w:rPr>
          <w:t>‎</w:t>
        </w:r>
        <w:r w:rsidR="00D57A44">
          <w:rPr>
            <w:noProof/>
          </w:rPr>
          <w:t>2</w:t>
        </w:r>
      </w:fldSimple>
      <w:r w:rsidR="003F26C2">
        <w:t>.</w:t>
      </w:r>
      <w:fldSimple w:instr=" SEQ Figure \* ARABIC \s 1 ">
        <w:r w:rsidR="00D57A44">
          <w:rPr>
            <w:noProof/>
          </w:rPr>
          <w:t>1</w:t>
        </w:r>
      </w:fldSimple>
      <w:bookmarkEnd w:id="4"/>
      <w:r>
        <w:t>:</w:t>
      </w:r>
      <w:r w:rsidR="00AE73B7">
        <w:t xml:space="preserve"> </w:t>
      </w:r>
      <w:r w:rsidR="00C2222F">
        <w:t xml:space="preserve">Real </w:t>
      </w:r>
      <w:r w:rsidR="00887009">
        <w:t>Gross Domestic Product</w:t>
      </w:r>
      <w:r w:rsidR="00C2222F">
        <w:t xml:space="preserve"> Growth Rate</w:t>
      </w:r>
      <w:r w:rsidR="00A829A6">
        <w:t xml:space="preserve"> and Brent Crude Prices</w:t>
      </w:r>
      <w:r w:rsidR="00C2222F">
        <w:t xml:space="preserve">, </w:t>
      </w:r>
      <w:r w:rsidR="00A829A6">
        <w:t>1990</w:t>
      </w:r>
      <w:r w:rsidR="00C2222F">
        <w:t>–202</w:t>
      </w:r>
      <w:bookmarkEnd w:id="5"/>
      <w:r w:rsidR="00A829A6">
        <w:t>8</w:t>
      </w:r>
      <w:r w:rsidR="00A829A6">
        <w:rPr>
          <w:rFonts w:eastAsia="Calibri" w:cstheme="minorHAnsi"/>
          <w:noProof/>
          <w:szCs w:val="22"/>
        </w:rPr>
        <w:drawing>
          <wp:anchor distT="0" distB="0" distL="114300" distR="114300" simplePos="0" relativeHeight="251713536" behindDoc="0" locked="0" layoutInCell="1" allowOverlap="1" wp14:anchorId="5D81550C" wp14:editId="36BB2652">
            <wp:simplePos x="0" y="0"/>
            <wp:positionH relativeFrom="column">
              <wp:posOffset>0</wp:posOffset>
            </wp:positionH>
            <wp:positionV relativeFrom="paragraph">
              <wp:posOffset>215265</wp:posOffset>
            </wp:positionV>
            <wp:extent cx="5731510" cy="3580765"/>
            <wp:effectExtent l="0" t="0" r="0" b="635"/>
            <wp:wrapSquare wrapText="bothSides"/>
            <wp:docPr id="1913089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89870" name="Picture 1913089870"/>
                    <pic:cNvPicPr/>
                  </pic:nvPicPr>
                  <pic:blipFill>
                    <a:blip r:embed="rId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14:sizeRelH relativeFrom="page">
              <wp14:pctWidth>0</wp14:pctWidth>
            </wp14:sizeRelH>
            <wp14:sizeRelV relativeFrom="page">
              <wp14:pctHeight>0</wp14:pctHeight>
            </wp14:sizeRelV>
          </wp:anchor>
        </w:drawing>
      </w:r>
    </w:p>
    <w:p w14:paraId="7D37C16C" w14:textId="0C2EE33F" w:rsidR="003B5167" w:rsidRDefault="003B5167" w:rsidP="00601F5B">
      <w:pPr>
        <w:pStyle w:val="Notes"/>
      </w:pPr>
      <w:r w:rsidRPr="00D3295D">
        <w:t xml:space="preserve">GDP = gross domestic product </w:t>
      </w:r>
    </w:p>
    <w:p w14:paraId="32CBFE8E" w14:textId="0DCC99DF" w:rsidR="00C2222F" w:rsidRDefault="00C2222F" w:rsidP="00601F5B">
      <w:pPr>
        <w:pStyle w:val="Notes"/>
      </w:pPr>
      <w:r>
        <w:t xml:space="preserve">Notes: </w:t>
      </w:r>
      <w:r>
        <w:tab/>
        <w:t>Forecasts are by the International Monetary Fund as of April 202</w:t>
      </w:r>
      <w:r w:rsidR="00A829A6">
        <w:t>3</w:t>
      </w:r>
      <w:r>
        <w:t>.</w:t>
      </w:r>
    </w:p>
    <w:p w14:paraId="1250603A" w14:textId="0EB9557C" w:rsidR="002F176A" w:rsidRPr="002F176A" w:rsidRDefault="00C2222F" w:rsidP="002F176A">
      <w:pPr>
        <w:pStyle w:val="NotesBottom"/>
      </w:pPr>
      <w:r>
        <w:t>Source</w:t>
      </w:r>
      <w:r w:rsidR="00A829A6">
        <w:t>s</w:t>
      </w:r>
      <w:r>
        <w:t xml:space="preserve">: </w:t>
      </w:r>
      <w:r>
        <w:tab/>
        <w:t>International Monetary Fund</w:t>
      </w:r>
      <w:r w:rsidR="00211F7E">
        <w:t>.</w:t>
      </w:r>
      <w:r>
        <w:t xml:space="preserve"> </w:t>
      </w:r>
      <w:r w:rsidRPr="00B3428A">
        <w:t>World Economic Outlook</w:t>
      </w:r>
      <w:r>
        <w:t xml:space="preserve"> Database</w:t>
      </w:r>
      <w:r w:rsidR="006C21D2">
        <w:t xml:space="preserve"> (</w:t>
      </w:r>
      <w:r>
        <w:t>April 202</w:t>
      </w:r>
      <w:r w:rsidR="00A829A6">
        <w:t>3</w:t>
      </w:r>
      <w:r w:rsidR="006C21D2">
        <w:t>)</w:t>
      </w:r>
      <w:r>
        <w:t>.</w:t>
      </w:r>
      <w:r w:rsidR="006C21D2">
        <w:t xml:space="preserve"> </w:t>
      </w:r>
      <w:r w:rsidR="006C21D2" w:rsidRPr="006C21D2">
        <w:t>https://www.imf.org/en/Publications/WEO/weo-database/202</w:t>
      </w:r>
      <w:r w:rsidR="00A829A6">
        <w:t>3</w:t>
      </w:r>
      <w:r w:rsidR="006C21D2" w:rsidRPr="006C21D2">
        <w:t>/April</w:t>
      </w:r>
      <w:r w:rsidR="006C21D2">
        <w:t xml:space="preserve"> (accessed </w:t>
      </w:r>
      <w:r w:rsidR="00A829A6">
        <w:t>19 June 2023</w:t>
      </w:r>
      <w:r w:rsidR="006C21D2">
        <w:t>)</w:t>
      </w:r>
      <w:r w:rsidR="00A829A6">
        <w:t xml:space="preserve">; U.S. Energy Information Administration. </w:t>
      </w:r>
      <w:r w:rsidR="00A829A6" w:rsidRPr="00A829A6">
        <w:t>https://www.eia.gov/dnav/pet/hist/LeafHandler.ashx?n=PET&amp;s=RBRTE&amp;f=M</w:t>
      </w:r>
      <w:r w:rsidR="00A829A6">
        <w:t xml:space="preserve"> (accessed 19 June 2023).</w:t>
      </w:r>
    </w:p>
    <w:p w14:paraId="33883E51" w14:textId="1ECF7D2B" w:rsidR="00B17B9D" w:rsidRDefault="00B1011E" w:rsidP="000E5A72">
      <w:pPr>
        <w:rPr>
          <w:rFonts w:eastAsia="Calibri" w:cstheme="minorHAnsi"/>
          <w:color w:val="000000" w:themeColor="text1"/>
          <w:szCs w:val="22"/>
        </w:rPr>
      </w:pPr>
      <w:r>
        <w:rPr>
          <w:rFonts w:eastAsia="Calibri" w:cstheme="minorHAnsi"/>
          <w:color w:val="000000" w:themeColor="text1"/>
          <w:szCs w:val="22"/>
        </w:rPr>
        <w:lastRenderedPageBreak/>
        <w:t>The economy eventually</w:t>
      </w:r>
      <w:r w:rsidR="002F176A">
        <w:rPr>
          <w:rFonts w:eastAsia="Calibri" w:cstheme="minorHAnsi"/>
          <w:color w:val="000000" w:themeColor="text1"/>
          <w:szCs w:val="22"/>
        </w:rPr>
        <w:t xml:space="preserve"> </w:t>
      </w:r>
      <w:r w:rsidR="007B267D">
        <w:rPr>
          <w:rFonts w:eastAsia="Calibri" w:cstheme="minorHAnsi"/>
          <w:color w:val="000000" w:themeColor="text1"/>
          <w:szCs w:val="22"/>
        </w:rPr>
        <w:t>stabilize</w:t>
      </w:r>
      <w:r>
        <w:rPr>
          <w:rFonts w:eastAsia="Calibri" w:cstheme="minorHAnsi"/>
          <w:color w:val="000000" w:themeColor="text1"/>
          <w:szCs w:val="22"/>
        </w:rPr>
        <w:t>d</w:t>
      </w:r>
      <w:r w:rsidR="007B267D">
        <w:rPr>
          <w:rFonts w:eastAsia="Calibri" w:cstheme="minorHAnsi"/>
          <w:color w:val="000000" w:themeColor="text1"/>
          <w:szCs w:val="22"/>
        </w:rPr>
        <w:t xml:space="preserve"> and then thrive</w:t>
      </w:r>
      <w:r>
        <w:rPr>
          <w:rFonts w:eastAsia="Calibri" w:cstheme="minorHAnsi"/>
          <w:color w:val="000000" w:themeColor="text1"/>
          <w:szCs w:val="22"/>
        </w:rPr>
        <w:t>d</w:t>
      </w:r>
      <w:r w:rsidR="007B267D">
        <w:rPr>
          <w:rFonts w:eastAsia="Calibri" w:cstheme="minorHAnsi"/>
          <w:color w:val="000000" w:themeColor="text1"/>
          <w:szCs w:val="22"/>
        </w:rPr>
        <w:t xml:space="preserve"> </w:t>
      </w:r>
      <w:r w:rsidR="002F176A">
        <w:rPr>
          <w:rFonts w:eastAsia="Calibri" w:cstheme="minorHAnsi"/>
          <w:color w:val="000000" w:themeColor="text1"/>
          <w:szCs w:val="22"/>
        </w:rPr>
        <w:t xml:space="preserve">by </w:t>
      </w:r>
      <w:r w:rsidR="000E5A72">
        <w:rPr>
          <w:rFonts w:eastAsia="Calibri" w:cstheme="minorHAnsi"/>
          <w:color w:val="000000" w:themeColor="text1"/>
          <w:szCs w:val="22"/>
        </w:rPr>
        <w:t>1999</w:t>
      </w:r>
      <w:r>
        <w:rPr>
          <w:rFonts w:eastAsia="Calibri" w:cstheme="minorHAnsi"/>
          <w:color w:val="000000" w:themeColor="text1"/>
          <w:szCs w:val="22"/>
        </w:rPr>
        <w:t xml:space="preserve">, </w:t>
      </w:r>
      <w:r w:rsidR="002F176A">
        <w:rPr>
          <w:rFonts w:eastAsia="Calibri" w:cstheme="minorHAnsi"/>
          <w:color w:val="000000" w:themeColor="text1"/>
          <w:szCs w:val="22"/>
        </w:rPr>
        <w:t>due mainly to a prolonged period of rising oil prices</w:t>
      </w:r>
      <w:r>
        <w:rPr>
          <w:rFonts w:eastAsia="Calibri" w:cstheme="minorHAnsi"/>
          <w:color w:val="000000" w:themeColor="text1"/>
          <w:szCs w:val="22"/>
        </w:rPr>
        <w:t>.</w:t>
      </w:r>
      <w:r w:rsidR="002F176A">
        <w:rPr>
          <w:rFonts w:eastAsia="Calibri" w:cstheme="minorHAnsi"/>
          <w:color w:val="000000" w:themeColor="text1"/>
          <w:szCs w:val="22"/>
        </w:rPr>
        <w:t xml:space="preserve"> </w:t>
      </w:r>
      <w:r>
        <w:rPr>
          <w:rFonts w:eastAsia="Calibri" w:cstheme="minorHAnsi"/>
          <w:color w:val="000000" w:themeColor="text1"/>
          <w:szCs w:val="22"/>
        </w:rPr>
        <w:t xml:space="preserve">This </w:t>
      </w:r>
      <w:r w:rsidR="002F176A">
        <w:rPr>
          <w:rFonts w:eastAsia="Calibri" w:cstheme="minorHAnsi"/>
          <w:color w:val="000000" w:themeColor="text1"/>
          <w:szCs w:val="22"/>
        </w:rPr>
        <w:t>enticed foreign capital to invest in the exploitation of Kazakhstan's vast oil reserves</w:t>
      </w:r>
      <w:r w:rsidR="00C82416">
        <w:rPr>
          <w:rFonts w:eastAsia="Calibri" w:cstheme="minorHAnsi"/>
          <w:color w:val="000000" w:themeColor="text1"/>
          <w:szCs w:val="22"/>
        </w:rPr>
        <w:t>, which at 30 billion barrels per day is among the world's largest</w:t>
      </w:r>
      <w:r w:rsidR="002F176A">
        <w:rPr>
          <w:rFonts w:eastAsia="Calibri" w:cstheme="minorHAnsi"/>
          <w:color w:val="000000" w:themeColor="text1"/>
          <w:szCs w:val="22"/>
        </w:rPr>
        <w:t>.</w:t>
      </w:r>
      <w:r w:rsidR="00C82416">
        <w:rPr>
          <w:rStyle w:val="FootnoteReference"/>
          <w:rFonts w:eastAsia="Calibri" w:cstheme="minorHAnsi"/>
          <w:color w:val="000000" w:themeColor="text1"/>
          <w:szCs w:val="22"/>
        </w:rPr>
        <w:footnoteReference w:id="6"/>
      </w:r>
      <w:r w:rsidR="000E5A72">
        <w:rPr>
          <w:rFonts w:eastAsia="Calibri" w:cstheme="minorHAnsi"/>
          <w:color w:val="000000" w:themeColor="text1"/>
          <w:szCs w:val="22"/>
        </w:rPr>
        <w:t xml:space="preserve"> </w:t>
      </w:r>
      <w:r w:rsidR="003B049C">
        <w:rPr>
          <w:rFonts w:eastAsia="Calibri" w:cstheme="minorHAnsi"/>
          <w:color w:val="000000" w:themeColor="text1"/>
          <w:szCs w:val="22"/>
        </w:rPr>
        <w:t>For instance, t</w:t>
      </w:r>
      <w:r w:rsidR="003B049C" w:rsidRPr="003B049C">
        <w:rPr>
          <w:rFonts w:eastAsia="Calibri" w:cstheme="minorHAnsi"/>
          <w:color w:val="000000" w:themeColor="text1"/>
          <w:szCs w:val="22"/>
        </w:rPr>
        <w:t>he offshore Kashagan oil field,</w:t>
      </w:r>
      <w:r w:rsidR="003B049C">
        <w:rPr>
          <w:rFonts w:eastAsia="Calibri" w:cstheme="minorHAnsi"/>
          <w:color w:val="000000" w:themeColor="text1"/>
          <w:szCs w:val="22"/>
        </w:rPr>
        <w:t xml:space="preserve"> discovered in 2000,</w:t>
      </w:r>
      <w:r w:rsidR="003B049C" w:rsidRPr="003B049C">
        <w:rPr>
          <w:rFonts w:eastAsia="Calibri" w:cstheme="minorHAnsi"/>
          <w:color w:val="000000" w:themeColor="text1"/>
          <w:szCs w:val="22"/>
        </w:rPr>
        <w:t xml:space="preserve"> was developed by a consortium of European, American, Chinese, and Japanese firms. </w:t>
      </w:r>
      <w:r w:rsidR="003B049C">
        <w:rPr>
          <w:rFonts w:eastAsia="Calibri" w:cstheme="minorHAnsi"/>
          <w:color w:val="000000" w:themeColor="text1"/>
          <w:szCs w:val="22"/>
        </w:rPr>
        <w:t>N</w:t>
      </w:r>
      <w:r w:rsidR="000E5A72">
        <w:rPr>
          <w:rFonts w:eastAsia="Calibri" w:cstheme="minorHAnsi"/>
          <w:color w:val="000000" w:themeColor="text1"/>
          <w:szCs w:val="22"/>
        </w:rPr>
        <w:t xml:space="preserve">ew modes of transport </w:t>
      </w:r>
      <w:r w:rsidR="003B049C">
        <w:rPr>
          <w:rFonts w:eastAsia="Calibri" w:cstheme="minorHAnsi"/>
          <w:color w:val="000000" w:themeColor="text1"/>
          <w:szCs w:val="22"/>
        </w:rPr>
        <w:t xml:space="preserve">were also constructed to </w:t>
      </w:r>
      <w:r w:rsidR="000E5A72">
        <w:rPr>
          <w:rFonts w:eastAsia="Calibri" w:cstheme="minorHAnsi"/>
          <w:color w:val="000000" w:themeColor="text1"/>
          <w:szCs w:val="22"/>
        </w:rPr>
        <w:t>complement the Russian</w:t>
      </w:r>
      <w:r w:rsidR="007B267D">
        <w:rPr>
          <w:rFonts w:eastAsia="Calibri" w:cstheme="minorHAnsi"/>
          <w:color w:val="000000" w:themeColor="text1"/>
          <w:szCs w:val="22"/>
        </w:rPr>
        <w:t xml:space="preserve"> state</w:t>
      </w:r>
      <w:r w:rsidR="000E5A72">
        <w:rPr>
          <w:rFonts w:eastAsia="Calibri" w:cstheme="minorHAnsi"/>
          <w:color w:val="000000" w:themeColor="text1"/>
          <w:szCs w:val="22"/>
        </w:rPr>
        <w:t xml:space="preserve">-owned </w:t>
      </w:r>
      <w:proofErr w:type="spellStart"/>
      <w:r w:rsidR="000E5A72">
        <w:rPr>
          <w:rFonts w:eastAsia="Calibri" w:cstheme="minorHAnsi"/>
          <w:color w:val="000000" w:themeColor="text1"/>
          <w:szCs w:val="22"/>
        </w:rPr>
        <w:t>Transneft</w:t>
      </w:r>
      <w:proofErr w:type="spellEnd"/>
      <w:r w:rsidR="000E5A72">
        <w:rPr>
          <w:rFonts w:eastAsia="Calibri" w:cstheme="minorHAnsi"/>
          <w:color w:val="000000" w:themeColor="text1"/>
          <w:szCs w:val="22"/>
        </w:rPr>
        <w:t xml:space="preserve"> pipeline</w:t>
      </w:r>
      <w:r w:rsidR="00065C42">
        <w:rPr>
          <w:rFonts w:eastAsia="Calibri" w:cstheme="minorHAnsi"/>
          <w:color w:val="000000" w:themeColor="text1"/>
          <w:szCs w:val="22"/>
        </w:rPr>
        <w:t xml:space="preserve">, connecting Kazakhstan to broader markets </w:t>
      </w:r>
      <w:r w:rsidR="003B049C">
        <w:rPr>
          <w:rFonts w:eastAsia="Calibri" w:cstheme="minorHAnsi"/>
          <w:color w:val="000000" w:themeColor="text1"/>
          <w:szCs w:val="22"/>
        </w:rPr>
        <w:t>(Pomfret 2019).</w:t>
      </w:r>
      <w:r w:rsidR="00065C42">
        <w:rPr>
          <w:rFonts w:eastAsia="Calibri" w:cstheme="minorHAnsi"/>
          <w:color w:val="000000" w:themeColor="text1"/>
          <w:szCs w:val="22"/>
        </w:rPr>
        <w:t xml:space="preserve"> </w:t>
      </w:r>
      <w:r w:rsidR="003B049C">
        <w:rPr>
          <w:rFonts w:eastAsia="Calibri" w:cstheme="minorHAnsi"/>
          <w:color w:val="000000" w:themeColor="text1"/>
          <w:szCs w:val="22"/>
        </w:rPr>
        <w:t>Consequently, oil production rose steadily from 558,000 barrels per day in 1998 to a peak of 1.7 million barrels per day by 2013.</w:t>
      </w:r>
      <w:r w:rsidR="003B049C">
        <w:rPr>
          <w:rStyle w:val="FootnoteReference"/>
          <w:rFonts w:eastAsia="Calibri" w:cstheme="minorHAnsi"/>
          <w:color w:val="000000" w:themeColor="text1"/>
          <w:szCs w:val="22"/>
        </w:rPr>
        <w:footnoteReference w:id="7"/>
      </w:r>
      <w:r w:rsidR="003B049C">
        <w:rPr>
          <w:rFonts w:eastAsia="Calibri" w:cstheme="minorHAnsi"/>
          <w:color w:val="000000" w:themeColor="text1"/>
          <w:szCs w:val="22"/>
        </w:rPr>
        <w:t xml:space="preserve"> </w:t>
      </w:r>
      <w:r w:rsidR="00C82416">
        <w:rPr>
          <w:rFonts w:eastAsia="Calibri" w:cstheme="minorHAnsi"/>
          <w:color w:val="000000" w:themeColor="text1"/>
          <w:szCs w:val="22"/>
        </w:rPr>
        <w:t xml:space="preserve">At the height of the boom years in 2000–2007, average annual </w:t>
      </w:r>
      <w:r w:rsidR="003B049C">
        <w:rPr>
          <w:rFonts w:eastAsia="Calibri" w:cstheme="minorHAnsi"/>
          <w:color w:val="000000" w:themeColor="text1"/>
          <w:szCs w:val="22"/>
        </w:rPr>
        <w:t xml:space="preserve">GDP growth </w:t>
      </w:r>
      <w:r w:rsidR="00C82416">
        <w:rPr>
          <w:rFonts w:eastAsia="Calibri" w:cstheme="minorHAnsi"/>
          <w:color w:val="000000" w:themeColor="text1"/>
          <w:szCs w:val="22"/>
        </w:rPr>
        <w:t xml:space="preserve">was at </w:t>
      </w:r>
      <w:r w:rsidR="003B049C">
        <w:rPr>
          <w:rFonts w:eastAsia="Calibri" w:cstheme="minorHAnsi"/>
          <w:color w:val="000000" w:themeColor="text1"/>
          <w:szCs w:val="22"/>
        </w:rPr>
        <w:t xml:space="preserve">10% (see </w:t>
      </w:r>
      <w:r w:rsidR="003B049C">
        <w:rPr>
          <w:rFonts w:eastAsia="Calibri" w:cstheme="minorHAnsi"/>
          <w:color w:val="000000" w:themeColor="text1"/>
          <w:szCs w:val="22"/>
        </w:rPr>
        <w:fldChar w:fldCharType="begin"/>
      </w:r>
      <w:r w:rsidR="003B049C">
        <w:rPr>
          <w:rFonts w:eastAsia="Calibri" w:cstheme="minorHAnsi"/>
          <w:color w:val="000000" w:themeColor="text1"/>
          <w:szCs w:val="22"/>
        </w:rPr>
        <w:instrText xml:space="preserve"> REF _Ref81223415 </w:instrText>
      </w:r>
      <w:r w:rsidR="003B049C">
        <w:rPr>
          <w:rFonts w:eastAsia="Calibri" w:cstheme="minorHAnsi"/>
          <w:color w:val="000000" w:themeColor="text1"/>
          <w:szCs w:val="22"/>
        </w:rPr>
        <w:fldChar w:fldCharType="separate"/>
      </w:r>
      <w:r w:rsidR="003B049C">
        <w:t xml:space="preserve">Figure </w:t>
      </w:r>
      <w:r w:rsidR="003B049C">
        <w:rPr>
          <w:noProof/>
          <w:cs/>
        </w:rPr>
        <w:t>‎</w:t>
      </w:r>
      <w:r w:rsidR="003B049C">
        <w:rPr>
          <w:noProof/>
        </w:rPr>
        <w:t>2</w:t>
      </w:r>
      <w:r w:rsidR="003B049C">
        <w:t>.</w:t>
      </w:r>
      <w:r w:rsidR="003B049C">
        <w:rPr>
          <w:noProof/>
        </w:rPr>
        <w:t>1</w:t>
      </w:r>
      <w:r w:rsidR="003B049C">
        <w:rPr>
          <w:rFonts w:eastAsia="Calibri" w:cstheme="minorHAnsi"/>
          <w:color w:val="000000" w:themeColor="text1"/>
          <w:szCs w:val="22"/>
        </w:rPr>
        <w:fldChar w:fldCharType="end"/>
      </w:r>
      <w:r w:rsidR="003B049C">
        <w:rPr>
          <w:rFonts w:eastAsia="Calibri" w:cstheme="minorHAnsi"/>
          <w:color w:val="000000" w:themeColor="text1"/>
          <w:szCs w:val="22"/>
        </w:rPr>
        <w:t xml:space="preserve">). </w:t>
      </w:r>
    </w:p>
    <w:p w14:paraId="64F5BD26" w14:textId="77777777" w:rsidR="00B770F6" w:rsidRDefault="00B17B9D" w:rsidP="000E5A72">
      <w:pPr>
        <w:rPr>
          <w:rFonts w:eastAsia="Calibri" w:cstheme="minorHAnsi"/>
          <w:color w:val="000000" w:themeColor="text1"/>
          <w:szCs w:val="22"/>
        </w:rPr>
      </w:pPr>
      <w:r>
        <w:rPr>
          <w:rFonts w:eastAsia="Calibri" w:cstheme="minorHAnsi"/>
          <w:color w:val="000000" w:themeColor="text1"/>
          <w:szCs w:val="22"/>
        </w:rPr>
        <w:t>Oil prices retreat</w:t>
      </w:r>
      <w:r w:rsidR="00B1011E">
        <w:rPr>
          <w:rFonts w:eastAsia="Calibri" w:cstheme="minorHAnsi"/>
          <w:color w:val="000000" w:themeColor="text1"/>
          <w:szCs w:val="22"/>
        </w:rPr>
        <w:t>ed</w:t>
      </w:r>
      <w:r>
        <w:rPr>
          <w:rFonts w:eastAsia="Calibri" w:cstheme="minorHAnsi"/>
          <w:color w:val="000000" w:themeColor="text1"/>
          <w:szCs w:val="22"/>
        </w:rPr>
        <w:t xml:space="preserve"> in 2014 </w:t>
      </w:r>
      <w:r w:rsidR="00B1011E">
        <w:rPr>
          <w:rFonts w:eastAsia="Calibri" w:cstheme="minorHAnsi"/>
          <w:color w:val="000000" w:themeColor="text1"/>
          <w:szCs w:val="22"/>
        </w:rPr>
        <w:t xml:space="preserve">and </w:t>
      </w:r>
      <w:r>
        <w:rPr>
          <w:rFonts w:eastAsia="Calibri" w:cstheme="minorHAnsi"/>
          <w:color w:val="000000" w:themeColor="text1"/>
          <w:szCs w:val="22"/>
        </w:rPr>
        <w:t>remain</w:t>
      </w:r>
      <w:r w:rsidR="00B1011E">
        <w:rPr>
          <w:rFonts w:eastAsia="Calibri" w:cstheme="minorHAnsi"/>
          <w:color w:val="000000" w:themeColor="text1"/>
          <w:szCs w:val="22"/>
        </w:rPr>
        <w:t>ed</w:t>
      </w:r>
      <w:r>
        <w:rPr>
          <w:rFonts w:eastAsia="Calibri" w:cstheme="minorHAnsi"/>
          <w:color w:val="000000" w:themeColor="text1"/>
          <w:szCs w:val="22"/>
        </w:rPr>
        <w:t xml:space="preserve"> relatively subdued until the 2022 Russian invasion of Ukraine. Kazakhstan</w:t>
      </w:r>
      <w:r w:rsidR="00B770F6">
        <w:rPr>
          <w:rFonts w:eastAsia="Calibri" w:cstheme="minorHAnsi"/>
          <w:color w:val="000000" w:themeColor="text1"/>
          <w:szCs w:val="22"/>
        </w:rPr>
        <w:t xml:space="preserve"> saw more moderate</w:t>
      </w:r>
      <w:r>
        <w:rPr>
          <w:rFonts w:eastAsia="Calibri" w:cstheme="minorHAnsi"/>
          <w:color w:val="000000" w:themeColor="text1"/>
          <w:szCs w:val="22"/>
        </w:rPr>
        <w:t xml:space="preserve"> GDP growth </w:t>
      </w:r>
      <w:r w:rsidR="00B770F6">
        <w:rPr>
          <w:rFonts w:eastAsia="Calibri" w:cstheme="minorHAnsi"/>
          <w:color w:val="000000" w:themeColor="text1"/>
          <w:szCs w:val="22"/>
        </w:rPr>
        <w:t xml:space="preserve">during this time — an average of </w:t>
      </w:r>
      <w:r>
        <w:rPr>
          <w:rFonts w:eastAsia="Calibri" w:cstheme="minorHAnsi"/>
          <w:color w:val="000000" w:themeColor="text1"/>
          <w:szCs w:val="22"/>
        </w:rPr>
        <w:t>3.1% in 2013–2019. It weathered the COVID-19 pandemic fairly well, suffering a 2.6% contraction before bouncing back in 2021 with a 4.1% growth rate. The International Monetary Fund forecasts its growth to average 3.3% until 2028.</w:t>
      </w:r>
    </w:p>
    <w:p w14:paraId="0A97273A" w14:textId="479E9255" w:rsidR="00D5648B" w:rsidRDefault="00937E53" w:rsidP="00937E53">
      <w:pPr>
        <w:rPr>
          <w:rFonts w:eastAsia="Calibri" w:cstheme="minorHAnsi"/>
          <w:color w:val="000000" w:themeColor="text1"/>
          <w:szCs w:val="22"/>
        </w:rPr>
      </w:pPr>
      <w:r>
        <w:rPr>
          <w:rFonts w:eastAsia="Calibri" w:cstheme="minorHAnsi"/>
          <w:color w:val="000000" w:themeColor="text1"/>
          <w:szCs w:val="22"/>
        </w:rPr>
        <w:t xml:space="preserve">Kazakhstan's </w:t>
      </w:r>
      <w:r w:rsidR="00523AE1">
        <w:rPr>
          <w:rFonts w:eastAsia="Calibri" w:cstheme="minorHAnsi"/>
          <w:color w:val="000000" w:themeColor="text1"/>
          <w:szCs w:val="22"/>
        </w:rPr>
        <w:t>reliance</w:t>
      </w:r>
      <w:r>
        <w:rPr>
          <w:rFonts w:eastAsia="Calibri" w:cstheme="minorHAnsi"/>
          <w:color w:val="000000" w:themeColor="text1"/>
          <w:szCs w:val="22"/>
        </w:rPr>
        <w:t xml:space="preserve"> </w:t>
      </w:r>
      <w:r w:rsidR="00523AE1">
        <w:rPr>
          <w:rFonts w:eastAsia="Calibri" w:cstheme="minorHAnsi"/>
          <w:color w:val="000000" w:themeColor="text1"/>
          <w:szCs w:val="22"/>
        </w:rPr>
        <w:t xml:space="preserve">on </w:t>
      </w:r>
      <w:r>
        <w:rPr>
          <w:rFonts w:eastAsia="Calibri" w:cstheme="minorHAnsi"/>
          <w:color w:val="000000" w:themeColor="text1"/>
          <w:szCs w:val="22"/>
        </w:rPr>
        <w:t xml:space="preserve">oil </w:t>
      </w:r>
      <w:r w:rsidR="00D5648B">
        <w:rPr>
          <w:rFonts w:eastAsia="Calibri" w:cstheme="minorHAnsi"/>
          <w:color w:val="000000" w:themeColor="text1"/>
          <w:szCs w:val="22"/>
        </w:rPr>
        <w:t>put</w:t>
      </w:r>
      <w:r w:rsidR="000160FD">
        <w:rPr>
          <w:rFonts w:eastAsia="Calibri" w:cstheme="minorHAnsi"/>
          <w:color w:val="000000" w:themeColor="text1"/>
          <w:szCs w:val="22"/>
        </w:rPr>
        <w:t>s</w:t>
      </w:r>
      <w:r w:rsidR="00D5648B">
        <w:rPr>
          <w:rFonts w:eastAsia="Calibri" w:cstheme="minorHAnsi"/>
          <w:color w:val="000000" w:themeColor="text1"/>
          <w:szCs w:val="22"/>
        </w:rPr>
        <w:t xml:space="preserve"> it in danger of </w:t>
      </w:r>
      <w:r w:rsidR="000160FD">
        <w:rPr>
          <w:rFonts w:eastAsia="Calibri" w:cstheme="minorHAnsi"/>
          <w:color w:val="000000" w:themeColor="text1"/>
          <w:szCs w:val="22"/>
        </w:rPr>
        <w:t>adverse economic outcomes</w:t>
      </w:r>
      <w:r>
        <w:rPr>
          <w:rFonts w:eastAsia="Calibri" w:cstheme="minorHAnsi"/>
          <w:color w:val="000000" w:themeColor="text1"/>
          <w:szCs w:val="22"/>
        </w:rPr>
        <w:t xml:space="preserve"> (ADB 2018)</w:t>
      </w:r>
      <w:r w:rsidR="00B770F6">
        <w:rPr>
          <w:rFonts w:eastAsia="Calibri" w:cstheme="minorHAnsi"/>
          <w:color w:val="000000" w:themeColor="text1"/>
          <w:szCs w:val="22"/>
        </w:rPr>
        <w:t>.</w:t>
      </w:r>
      <w:r>
        <w:rPr>
          <w:rFonts w:eastAsia="Calibri" w:cstheme="minorHAnsi"/>
          <w:color w:val="000000" w:themeColor="text1"/>
          <w:szCs w:val="22"/>
        </w:rPr>
        <w:t xml:space="preserve"> </w:t>
      </w:r>
      <w:r w:rsidR="00514E07">
        <w:rPr>
          <w:rFonts w:eastAsia="Calibri" w:cstheme="minorHAnsi"/>
          <w:color w:val="000000" w:themeColor="text1"/>
          <w:szCs w:val="22"/>
        </w:rPr>
        <w:t xml:space="preserve">As </w:t>
      </w:r>
      <w:r w:rsidR="00514E07">
        <w:rPr>
          <w:rFonts w:eastAsia="Calibri" w:cstheme="minorHAnsi"/>
          <w:color w:val="000000" w:themeColor="text1"/>
          <w:szCs w:val="22"/>
        </w:rPr>
        <w:fldChar w:fldCharType="begin"/>
      </w:r>
      <w:r w:rsidR="00514E07">
        <w:rPr>
          <w:rFonts w:eastAsia="Calibri" w:cstheme="minorHAnsi"/>
          <w:color w:val="000000" w:themeColor="text1"/>
          <w:szCs w:val="22"/>
        </w:rPr>
        <w:instrText xml:space="preserve"> REF _Ref138335270 \h </w:instrText>
      </w:r>
      <w:r w:rsidR="00514E07">
        <w:rPr>
          <w:rFonts w:eastAsia="Calibri" w:cstheme="minorHAnsi"/>
          <w:color w:val="000000" w:themeColor="text1"/>
          <w:szCs w:val="22"/>
        </w:rPr>
      </w:r>
      <w:r w:rsidR="00514E07">
        <w:rPr>
          <w:rFonts w:eastAsia="Calibri" w:cstheme="minorHAnsi"/>
          <w:color w:val="000000" w:themeColor="text1"/>
          <w:szCs w:val="22"/>
        </w:rPr>
        <w:fldChar w:fldCharType="separate"/>
      </w:r>
      <w:r w:rsidR="00514E07" w:rsidRPr="001508A2">
        <w:t xml:space="preserve">Box </w:t>
      </w:r>
      <w:r w:rsidR="00514E07">
        <w:rPr>
          <w:noProof/>
        </w:rPr>
        <w:t>2</w:t>
      </w:r>
      <w:r w:rsidR="00514E07">
        <w:rPr>
          <w:rFonts w:eastAsia="Calibri" w:cstheme="minorHAnsi"/>
          <w:color w:val="000000" w:themeColor="text1"/>
          <w:szCs w:val="22"/>
        </w:rPr>
        <w:fldChar w:fldCharType="end"/>
      </w:r>
      <w:r w:rsidR="00514E07">
        <w:rPr>
          <w:rFonts w:eastAsia="Calibri" w:cstheme="minorHAnsi"/>
          <w:color w:val="000000" w:themeColor="text1"/>
          <w:szCs w:val="22"/>
        </w:rPr>
        <w:t xml:space="preserve"> explains, </w:t>
      </w:r>
      <w:r w:rsidR="00D5648B">
        <w:rPr>
          <w:rFonts w:eastAsia="Calibri" w:cstheme="minorHAnsi"/>
          <w:color w:val="000000" w:themeColor="text1"/>
          <w:szCs w:val="22"/>
        </w:rPr>
        <w:t xml:space="preserve">the </w:t>
      </w:r>
      <w:r w:rsidR="000160FD">
        <w:rPr>
          <w:rFonts w:eastAsia="Calibri" w:cstheme="minorHAnsi"/>
          <w:color w:val="000000" w:themeColor="text1"/>
          <w:szCs w:val="22"/>
        </w:rPr>
        <w:t xml:space="preserve">resource curse </w:t>
      </w:r>
      <w:r w:rsidR="00523AE1">
        <w:rPr>
          <w:rFonts w:eastAsia="Calibri" w:cstheme="minorHAnsi"/>
          <w:color w:val="000000" w:themeColor="text1"/>
          <w:szCs w:val="22"/>
        </w:rPr>
        <w:t>refers to</w:t>
      </w:r>
      <w:r w:rsidR="000160FD">
        <w:rPr>
          <w:rFonts w:eastAsia="Calibri" w:cstheme="minorHAnsi"/>
          <w:color w:val="000000" w:themeColor="text1"/>
          <w:szCs w:val="22"/>
        </w:rPr>
        <w:t xml:space="preserve"> how </w:t>
      </w:r>
      <w:r w:rsidR="00D5648B">
        <w:rPr>
          <w:rFonts w:eastAsia="Calibri" w:cstheme="minorHAnsi"/>
          <w:color w:val="000000" w:themeColor="text1"/>
          <w:szCs w:val="22"/>
        </w:rPr>
        <w:t xml:space="preserve">countries with rich extractive resource endowments tend to grow slower than their resource-scarce counterparts. </w:t>
      </w:r>
      <w:r w:rsidR="00523AE1">
        <w:rPr>
          <w:rFonts w:eastAsia="Calibri" w:cstheme="minorHAnsi"/>
          <w:color w:val="000000" w:themeColor="text1"/>
          <w:szCs w:val="22"/>
        </w:rPr>
        <w:t>Dutch disease may be one cause, where the resource sector crowds out investments in the non-resource sectors that hold the key to long-run sustainable growth. Indeed, e</w:t>
      </w:r>
      <w:r w:rsidR="00523AE1">
        <w:rPr>
          <w:rFonts w:eastAsia="Calibri" w:cstheme="minorHAnsi"/>
          <w:color w:val="000000" w:themeColor="text1"/>
          <w:szCs w:val="22"/>
        </w:rPr>
        <w:t xml:space="preserve">stimates </w:t>
      </w:r>
      <w:r w:rsidR="00523AE1">
        <w:rPr>
          <w:rFonts w:eastAsia="Calibri" w:cstheme="minorHAnsi"/>
          <w:color w:val="000000" w:themeColor="text1"/>
          <w:szCs w:val="22"/>
        </w:rPr>
        <w:t xml:space="preserve">suggest that Kazakhstan's oil reserves will be depleted in </w:t>
      </w:r>
      <w:r w:rsidR="00523AE1">
        <w:rPr>
          <w:rFonts w:eastAsia="Calibri" w:cstheme="minorHAnsi"/>
          <w:color w:val="000000" w:themeColor="text1"/>
          <w:szCs w:val="22"/>
        </w:rPr>
        <w:t>45 years</w:t>
      </w:r>
      <w:r w:rsidR="00523AE1">
        <w:rPr>
          <w:rStyle w:val="FootnoteReference"/>
          <w:rFonts w:eastAsia="Calibri" w:cstheme="minorHAnsi"/>
          <w:color w:val="000000" w:themeColor="text1"/>
          <w:szCs w:val="22"/>
        </w:rPr>
        <w:footnoteReference w:id="8"/>
      </w:r>
      <w:r w:rsidR="00523AE1">
        <w:rPr>
          <w:rFonts w:eastAsia="Calibri" w:cstheme="minorHAnsi"/>
          <w:color w:val="000000" w:themeColor="text1"/>
          <w:szCs w:val="22"/>
        </w:rPr>
        <w:t>, though world demand for oil may peak even before that, resulting in a plunge in prices (</w:t>
      </w:r>
      <w:proofErr w:type="spellStart"/>
      <w:r w:rsidR="00523AE1">
        <w:rPr>
          <w:rFonts w:eastAsia="Calibri" w:cstheme="minorHAnsi"/>
          <w:color w:val="000000" w:themeColor="text1"/>
          <w:szCs w:val="22"/>
        </w:rPr>
        <w:t>Fickling</w:t>
      </w:r>
      <w:proofErr w:type="spellEnd"/>
      <w:r w:rsidR="00523AE1">
        <w:rPr>
          <w:rFonts w:eastAsia="Calibri" w:cstheme="minorHAnsi"/>
          <w:color w:val="000000" w:themeColor="text1"/>
          <w:szCs w:val="22"/>
        </w:rPr>
        <w:t xml:space="preserve"> 2022). It is therefore crucial for Kazakhstan to build up its non-oil sector.</w:t>
      </w:r>
    </w:p>
    <w:p w14:paraId="00CF6C43" w14:textId="516886F9" w:rsidR="00B22BE3" w:rsidRPr="00465FCD" w:rsidRDefault="00B22BE3" w:rsidP="00B22BE3">
      <w:r>
        <w:fldChar w:fldCharType="begin"/>
      </w:r>
      <w:r>
        <w:instrText xml:space="preserve"> REF _Ref77597736 \h </w:instrText>
      </w:r>
      <w:r>
        <w:fldChar w:fldCharType="separate"/>
      </w:r>
      <w:r>
        <w:t xml:space="preserve">Figure </w:t>
      </w:r>
      <w:r>
        <w:rPr>
          <w:noProof/>
          <w:cs/>
        </w:rPr>
        <w:t>‎</w:t>
      </w:r>
      <w:r>
        <w:rPr>
          <w:noProof/>
        </w:rPr>
        <w:t>2</w:t>
      </w:r>
      <w:r>
        <w:t>.</w:t>
      </w:r>
      <w:r>
        <w:rPr>
          <w:noProof/>
        </w:rPr>
        <w:t>2</w:t>
      </w:r>
      <w:r>
        <w:fldChar w:fldCharType="end"/>
      </w:r>
      <w:r>
        <w:t xml:space="preserve"> s</w:t>
      </w:r>
      <w:r>
        <w:t xml:space="preserve">hows that it has some ways to go. </w:t>
      </w:r>
      <w:r>
        <w:rPr>
          <w:rFonts w:eastAsia="Calibri" w:cstheme="minorHAnsi"/>
          <w:color w:val="000000" w:themeColor="text1"/>
          <w:szCs w:val="22"/>
        </w:rPr>
        <w:fldChar w:fldCharType="begin"/>
      </w:r>
      <w:r>
        <w:rPr>
          <w:rFonts w:eastAsia="Calibri" w:cstheme="minorHAnsi"/>
          <w:color w:val="000000" w:themeColor="text1"/>
          <w:szCs w:val="22"/>
        </w:rPr>
        <w:instrText xml:space="preserve"> REF _Ref77593630 </w:instrText>
      </w:r>
      <w:r>
        <w:rPr>
          <w:rFonts w:eastAsia="Calibri" w:cstheme="minorHAnsi"/>
          <w:color w:val="000000" w:themeColor="text1"/>
          <w:szCs w:val="22"/>
        </w:rPr>
        <w:fldChar w:fldCharType="end"/>
      </w:r>
    </w:p>
    <w:tbl>
      <w:tblPr>
        <w:tblStyle w:val="TableGrid"/>
        <w:tblW w:w="0" w:type="auto"/>
        <w:tblLook w:val="04A0" w:firstRow="1" w:lastRow="0" w:firstColumn="1" w:lastColumn="0" w:noHBand="0" w:noVBand="1"/>
      </w:tblPr>
      <w:tblGrid>
        <w:gridCol w:w="9016"/>
      </w:tblGrid>
      <w:tr w:rsidR="00937E53" w14:paraId="57F3F9E2" w14:textId="77777777" w:rsidTr="0011081A">
        <w:tc>
          <w:tcPr>
            <w:tcW w:w="9016" w:type="dxa"/>
          </w:tcPr>
          <w:p w14:paraId="1F4D78AB" w14:textId="4584F11E" w:rsidR="00937E53" w:rsidRPr="001508A2" w:rsidRDefault="00937E53" w:rsidP="0011081A">
            <w:pPr>
              <w:pStyle w:val="Caption"/>
            </w:pPr>
            <w:bookmarkStart w:id="6" w:name="_Ref138335270"/>
            <w:r w:rsidRPr="001508A2">
              <w:t xml:space="preserve">Box </w:t>
            </w:r>
            <w:fldSimple w:instr=" SEQ Box \* ARABIC ">
              <w:r>
                <w:rPr>
                  <w:noProof/>
                </w:rPr>
                <w:t>2</w:t>
              </w:r>
            </w:fldSimple>
            <w:bookmarkEnd w:id="6"/>
            <w:r w:rsidRPr="001508A2">
              <w:t xml:space="preserve">: </w:t>
            </w:r>
            <w:r w:rsidR="00465FCD">
              <w:t>Resource Curse</w:t>
            </w:r>
          </w:p>
          <w:p w14:paraId="0009354D" w14:textId="571DEE73" w:rsidR="00465FCD" w:rsidRDefault="00465FCD" w:rsidP="0011081A">
            <w:pPr>
              <w:pStyle w:val="Box"/>
            </w:pPr>
            <w:r>
              <w:t xml:space="preserve">Intuition might hold that a country blessed with abundant natural resources is well positioned for rapid growth. </w:t>
            </w:r>
            <w:r w:rsidR="00906B83">
              <w:t xml:space="preserve">But this is not always the case: some studies actually point to </w:t>
            </w:r>
            <w:r w:rsidR="00906B83" w:rsidRPr="00906B83">
              <w:rPr>
                <w:i/>
                <w:iCs/>
              </w:rPr>
              <w:t>slower</w:t>
            </w:r>
            <w:r w:rsidR="00906B83">
              <w:t xml:space="preserve"> growth for resource-rich countries </w:t>
            </w:r>
            <w:r>
              <w:t xml:space="preserve">(Sachs and Warner 2001). Rather than a blessing, there may in fact be a </w:t>
            </w:r>
            <w:r w:rsidR="00906B83">
              <w:t>"</w:t>
            </w:r>
            <w:r>
              <w:t>resource curse" (</w:t>
            </w:r>
            <w:proofErr w:type="spellStart"/>
            <w:r>
              <w:t>Auty</w:t>
            </w:r>
            <w:proofErr w:type="spellEnd"/>
            <w:r>
              <w:t xml:space="preserve"> 1993)</w:t>
            </w:r>
            <w:r w:rsidR="009B481D">
              <w:t>, especially when the resource is of the extractive type—minerals, petroleum</w:t>
            </w:r>
          </w:p>
          <w:p w14:paraId="17FA8A26" w14:textId="1AAF6B0C" w:rsidR="00465FCD" w:rsidRDefault="00906B83" w:rsidP="0011081A">
            <w:pPr>
              <w:pStyle w:val="Box"/>
            </w:pPr>
            <w:r>
              <w:lastRenderedPageBreak/>
              <w:t>What causes this?</w:t>
            </w:r>
            <w:r w:rsidR="00880076">
              <w:t xml:space="preserve"> </w:t>
            </w:r>
            <w:r>
              <w:t>One set of explanations revolve around the Dutch disease hypothesis, which states that a booming resource sector causes the non-resource export sector (e.g. manufacturing) to shrink due to two effects. First, by making the real exchange rate appreciate, it makes non-resource exports less competitive. Second, it draws labor and capital away from the non-resource sector (</w:t>
            </w:r>
            <w:r>
              <w:t>Corden and Neary 1982</w:t>
            </w:r>
            <w:r>
              <w:t>). Since manufacturing is associated with learning by doing and other positive externalities, its demise may hamper long-run growth. Moreover, since the global prices of natural resources tend to be volatile, an economy specialized in it will also experience much volatility, hampering growth (van der Ploeg 2011).</w:t>
            </w:r>
          </w:p>
          <w:p w14:paraId="519DAB50" w14:textId="7CA2C899" w:rsidR="00880076" w:rsidRDefault="00906B83" w:rsidP="0011081A">
            <w:pPr>
              <w:pStyle w:val="Box"/>
            </w:pPr>
            <w:r>
              <w:t xml:space="preserve">Another set of explanations focus on the quality of a country's institutions. </w:t>
            </w:r>
            <w:r w:rsidR="009B481D">
              <w:t>T</w:t>
            </w:r>
            <w:r>
              <w:t xml:space="preserve">he wealth generated by natural resources may facilitate more corruption, rent-seeking, and civil conflict. </w:t>
            </w:r>
            <w:r w:rsidR="009B481D">
              <w:t xml:space="preserve">Governments may be less inclined to invest in non-resource sectors or in building up physical and human capital </w:t>
            </w:r>
            <w:r>
              <w:t>(van der Ploeg 2011).</w:t>
            </w:r>
            <w:r>
              <w:t xml:space="preserve"> </w:t>
            </w:r>
            <w:r w:rsidR="009B481D">
              <w:t>In these analyses, oil wealth appears to be particularly associated with institutional erosion (Ross 2015).</w:t>
            </w:r>
          </w:p>
          <w:p w14:paraId="0C73A99E" w14:textId="11BD2FE1" w:rsidR="006E39FD" w:rsidRDefault="00906B83" w:rsidP="009B481D">
            <w:pPr>
              <w:pStyle w:val="Box"/>
            </w:pPr>
            <w:r>
              <w:t xml:space="preserve">Because econometrically </w:t>
            </w:r>
            <w:r w:rsidR="009B481D">
              <w:t xml:space="preserve">measuring </w:t>
            </w:r>
            <w:r>
              <w:t>the impact of natural resources on growth</w:t>
            </w:r>
            <w:r w:rsidR="009B481D">
              <w:t xml:space="preserve"> is plagued by measurement and identification issues</w:t>
            </w:r>
            <w:r>
              <w:t xml:space="preserve">, the existence of a resource curse is still debated. </w:t>
            </w:r>
            <w:r w:rsidR="009B481D">
              <w:t>Resource-rich countries can therefore take heart that the curse is "</w:t>
            </w:r>
            <w:r w:rsidR="009B481D" w:rsidRPr="009B481D">
              <w:t>not cast in stone</w:t>
            </w:r>
            <w:r w:rsidR="009B481D">
              <w:t xml:space="preserve">" (van der Ploeg 2011, p. 385). </w:t>
            </w:r>
          </w:p>
          <w:p w14:paraId="60D1E51D" w14:textId="4B360C8D" w:rsidR="00937E53" w:rsidRPr="00A035EA" w:rsidRDefault="00937E53" w:rsidP="0011081A">
            <w:pPr>
              <w:pStyle w:val="BoxReferences"/>
              <w:rPr>
                <w:b/>
                <w:bCs/>
              </w:rPr>
            </w:pPr>
            <w:r w:rsidRPr="00A035EA">
              <w:rPr>
                <w:b/>
                <w:bCs/>
              </w:rPr>
              <w:t>Reference</w:t>
            </w:r>
            <w:r w:rsidR="009B481D">
              <w:rPr>
                <w:b/>
                <w:bCs/>
              </w:rPr>
              <w:t>s</w:t>
            </w:r>
          </w:p>
          <w:p w14:paraId="258F768C" w14:textId="1CEDE2D2" w:rsidR="00880076" w:rsidRDefault="00880076" w:rsidP="0011081A">
            <w:pPr>
              <w:pStyle w:val="BoxReferences"/>
            </w:pPr>
            <w:r>
              <w:t xml:space="preserve">R. M. </w:t>
            </w:r>
            <w:proofErr w:type="spellStart"/>
            <w:r w:rsidRPr="00465FCD">
              <w:t>Auty</w:t>
            </w:r>
            <w:proofErr w:type="spellEnd"/>
            <w:r>
              <w:t>.</w:t>
            </w:r>
            <w:r w:rsidRPr="00465FCD">
              <w:t xml:space="preserve"> 1993. </w:t>
            </w:r>
            <w:r w:rsidRPr="00465FCD">
              <w:rPr>
                <w:i/>
                <w:iCs/>
              </w:rPr>
              <w:t xml:space="preserve">Sustaining Development in Mineral Economies: </w:t>
            </w:r>
            <w:r>
              <w:rPr>
                <w:i/>
                <w:iCs/>
              </w:rPr>
              <w:t>T</w:t>
            </w:r>
            <w:r w:rsidRPr="00465FCD">
              <w:rPr>
                <w:i/>
                <w:iCs/>
              </w:rPr>
              <w:t>he Resource Curse Thesis</w:t>
            </w:r>
            <w:r w:rsidRPr="00465FCD">
              <w:t>. Routledge</w:t>
            </w:r>
            <w:r w:rsidR="009B481D">
              <w:t>:</w:t>
            </w:r>
            <w:r w:rsidRPr="00465FCD">
              <w:t xml:space="preserve"> London</w:t>
            </w:r>
            <w:r w:rsidR="009B481D">
              <w:t>, UK</w:t>
            </w:r>
            <w:r w:rsidRPr="00465FCD">
              <w:t>.</w:t>
            </w:r>
          </w:p>
          <w:p w14:paraId="494D44E0" w14:textId="62244C49" w:rsidR="00937E53" w:rsidRDefault="00937E53" w:rsidP="0011081A">
            <w:pPr>
              <w:pStyle w:val="BoxReferences"/>
            </w:pPr>
            <w:r>
              <w:t>W. M. Corden and J. P. Neary.</w:t>
            </w:r>
            <w:r w:rsidRPr="00601F5B">
              <w:t xml:space="preserve"> </w:t>
            </w:r>
            <w:r>
              <w:t>1982. Booming Sector and De-</w:t>
            </w:r>
            <w:proofErr w:type="spellStart"/>
            <w:r>
              <w:t>Industrialisation</w:t>
            </w:r>
            <w:proofErr w:type="spellEnd"/>
            <w:r>
              <w:t xml:space="preserve"> in a Small Open Economy. </w:t>
            </w:r>
            <w:r w:rsidRPr="00937E53">
              <w:rPr>
                <w:i/>
                <w:iCs/>
              </w:rPr>
              <w:t>Economic Journal</w:t>
            </w:r>
            <w:r>
              <w:t>. 92. pp. 825–848</w:t>
            </w:r>
            <w:r w:rsidRPr="003B1B51">
              <w:t>.</w:t>
            </w:r>
          </w:p>
          <w:p w14:paraId="4C7574E3" w14:textId="5112060D" w:rsidR="00D82F8F" w:rsidRDefault="00D82F8F" w:rsidP="0011081A">
            <w:pPr>
              <w:pStyle w:val="BoxReferences"/>
            </w:pPr>
            <w:r>
              <w:t xml:space="preserve">M. L. Ross. 2015. The Politics of the Resource Curse: A Review. In C. Lancaster and N. van de </w:t>
            </w:r>
            <w:proofErr w:type="spellStart"/>
            <w:r>
              <w:t>Walle</w:t>
            </w:r>
            <w:proofErr w:type="spellEnd"/>
            <w:r>
              <w:t xml:space="preserve"> (eds.), </w:t>
            </w:r>
            <w:r w:rsidRPr="009B481D">
              <w:rPr>
                <w:i/>
                <w:iCs/>
              </w:rPr>
              <w:t>The Oxford Handbook of the Politics of Development</w:t>
            </w:r>
            <w:r>
              <w:t>, pp. 200–223. Oxford University Press: Oxford, UK.</w:t>
            </w:r>
          </w:p>
          <w:p w14:paraId="15CEB2A6" w14:textId="77777777" w:rsidR="00465FCD" w:rsidRDefault="00465FCD" w:rsidP="0011081A">
            <w:pPr>
              <w:pStyle w:val="BoxReferences"/>
            </w:pPr>
            <w:r>
              <w:t xml:space="preserve">J. D. Sachs and A. M. Warner. 2001. The Curse of Natural Resources. </w:t>
            </w:r>
            <w:r w:rsidRPr="00465FCD">
              <w:rPr>
                <w:i/>
                <w:iCs/>
              </w:rPr>
              <w:t>European Economic Review</w:t>
            </w:r>
            <w:r>
              <w:t>. 45. pp. 827–838.</w:t>
            </w:r>
          </w:p>
          <w:p w14:paraId="6F4F8025" w14:textId="3B7EF58B" w:rsidR="00465FCD" w:rsidRDefault="009B481D" w:rsidP="0011081A">
            <w:pPr>
              <w:pStyle w:val="BoxReferences"/>
            </w:pPr>
            <w:r>
              <w:t xml:space="preserve">F. </w:t>
            </w:r>
            <w:r w:rsidR="00906B83">
              <w:t>van der Ploeg.</w:t>
            </w:r>
            <w:r>
              <w:t xml:space="preserve"> 2011.</w:t>
            </w:r>
            <w:r w:rsidR="00906B83">
              <w:t xml:space="preserve"> </w:t>
            </w:r>
            <w:r>
              <w:t xml:space="preserve">Natural Resources: Curse or Blessing? </w:t>
            </w:r>
            <w:r w:rsidRPr="009B481D">
              <w:rPr>
                <w:i/>
                <w:iCs/>
              </w:rPr>
              <w:t>Journal of Economic Literature</w:t>
            </w:r>
            <w:r>
              <w:t>. 49(2). pp. 366–420.</w:t>
            </w:r>
          </w:p>
        </w:tc>
      </w:tr>
    </w:tbl>
    <w:p w14:paraId="45C6496A" w14:textId="77777777" w:rsidR="00937E53" w:rsidRDefault="00937E53" w:rsidP="00937E53"/>
    <w:p w14:paraId="4024274B" w14:textId="170C7492" w:rsidR="00B1011E" w:rsidRDefault="00B1011E" w:rsidP="00B1011E">
      <w:pPr>
        <w:pStyle w:val="Caption"/>
      </w:pPr>
      <w:bookmarkStart w:id="7" w:name="_Ref77597736"/>
      <w:bookmarkStart w:id="8" w:name="_Toc83849800"/>
      <w:r>
        <w:lastRenderedPageBreak/>
        <w:t xml:space="preserve">Figure </w:t>
      </w:r>
      <w:fldSimple w:instr=" STYLEREF 1 \s ">
        <w:r>
          <w:rPr>
            <w:noProof/>
            <w:cs/>
          </w:rPr>
          <w:t>‎</w:t>
        </w:r>
        <w:r>
          <w:rPr>
            <w:noProof/>
          </w:rPr>
          <w:t>2</w:t>
        </w:r>
      </w:fldSimple>
      <w:r>
        <w:t>.</w:t>
      </w:r>
      <w:fldSimple w:instr=" SEQ Figure \* ARABIC \s 1 ">
        <w:r>
          <w:rPr>
            <w:noProof/>
          </w:rPr>
          <w:t>2</w:t>
        </w:r>
      </w:fldSimple>
      <w:bookmarkEnd w:id="7"/>
      <w:r>
        <w:t xml:space="preserve">: Trade Openness at Various Levels of Economic Development, </w:t>
      </w:r>
      <w:bookmarkEnd w:id="8"/>
      <w:r>
        <w:t>2021</w:t>
      </w:r>
      <w:r w:rsidR="00465FCD">
        <w:rPr>
          <w:noProof/>
        </w:rPr>
        <w:drawing>
          <wp:anchor distT="0" distB="0" distL="114300" distR="114300" simplePos="0" relativeHeight="251716608" behindDoc="0" locked="0" layoutInCell="1" allowOverlap="1" wp14:anchorId="53E0CA1F" wp14:editId="49392201">
            <wp:simplePos x="0" y="0"/>
            <wp:positionH relativeFrom="column">
              <wp:posOffset>0</wp:posOffset>
            </wp:positionH>
            <wp:positionV relativeFrom="paragraph">
              <wp:posOffset>215900</wp:posOffset>
            </wp:positionV>
            <wp:extent cx="5731510" cy="3580765"/>
            <wp:effectExtent l="0" t="0" r="0" b="635"/>
            <wp:wrapSquare wrapText="bothSides"/>
            <wp:docPr id="1570687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87117" name="Picture 1570687117"/>
                    <pic:cNvPicPr/>
                  </pic:nvPicPr>
                  <pic:blipFill>
                    <a:blip r:embed="rId9">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14:sizeRelH relativeFrom="page">
              <wp14:pctWidth>0</wp14:pctWidth>
            </wp14:sizeRelH>
            <wp14:sizeRelV relativeFrom="page">
              <wp14:pctHeight>0</wp14:pctHeight>
            </wp14:sizeRelV>
          </wp:anchor>
        </w:drawing>
      </w:r>
    </w:p>
    <w:p w14:paraId="46042EC1" w14:textId="77777777" w:rsidR="00B1011E" w:rsidRPr="00D3295D" w:rsidRDefault="00B1011E" w:rsidP="00B1011E">
      <w:pPr>
        <w:pStyle w:val="NotesAbbreviations"/>
      </w:pPr>
      <w:r w:rsidRPr="00D3295D">
        <w:t>GDP = gross domestic product, PPP = purchasing power parity, PRC = People’s Republic of China</w:t>
      </w:r>
      <w:r>
        <w:t>.</w:t>
      </w:r>
    </w:p>
    <w:p w14:paraId="29827908" w14:textId="77777777" w:rsidR="00B1011E" w:rsidRDefault="00B1011E" w:rsidP="00B1011E">
      <w:pPr>
        <w:pStyle w:val="Notes"/>
      </w:pPr>
      <w:r>
        <w:t xml:space="preserve">Notes: </w:t>
      </w:r>
      <w:r>
        <w:tab/>
        <w:t xml:space="preserve">Horizontal axis is </w:t>
      </w:r>
      <w:r w:rsidRPr="00A03315">
        <w:t xml:space="preserve">gross domestic product in current international dollars </w:t>
      </w:r>
      <w:r>
        <w:t>at</w:t>
      </w:r>
      <w:r w:rsidRPr="00A03315">
        <w:t xml:space="preserve"> purchasing power parity</w:t>
      </w:r>
      <w:r>
        <w:t xml:space="preserve">. Vertical axis is </w:t>
      </w:r>
      <w:r w:rsidRPr="0096442F">
        <w:t>the sum of exports and imports of goods and services as a share of gross domestic product</w:t>
      </w:r>
      <w:r>
        <w:t>.</w:t>
      </w:r>
    </w:p>
    <w:p w14:paraId="0D69F65C" w14:textId="77777777" w:rsidR="00B1011E" w:rsidRDefault="00B1011E" w:rsidP="00B1011E">
      <w:pPr>
        <w:pStyle w:val="NotesBottom"/>
      </w:pPr>
      <w:r>
        <w:t xml:space="preserve">Source: </w:t>
      </w:r>
      <w:r>
        <w:tab/>
        <w:t xml:space="preserve">World Bank. World Development Indicators. </w:t>
      </w:r>
      <w:r w:rsidRPr="00621D7C">
        <w:t>https://data.worldbank.org/indicator</w:t>
      </w:r>
      <w:r>
        <w:t xml:space="preserve"> (accessed 19 June 2023). </w:t>
      </w:r>
    </w:p>
    <w:p w14:paraId="03BBB1AF" w14:textId="77777777" w:rsidR="003B049C" w:rsidRDefault="003B049C" w:rsidP="000E5A72">
      <w:pPr>
        <w:rPr>
          <w:rFonts w:eastAsia="Calibri" w:cstheme="minorHAnsi"/>
          <w:color w:val="000000" w:themeColor="text1"/>
          <w:szCs w:val="22"/>
        </w:rPr>
      </w:pPr>
    </w:p>
    <w:p w14:paraId="2AFDD4C6" w14:textId="77777777" w:rsidR="00B1011E" w:rsidRDefault="00B1011E" w:rsidP="000E5A72">
      <w:pPr>
        <w:rPr>
          <w:rFonts w:eastAsia="Calibri" w:cstheme="minorHAnsi"/>
          <w:color w:val="000000" w:themeColor="text1"/>
          <w:szCs w:val="22"/>
        </w:rPr>
      </w:pPr>
    </w:p>
    <w:p w14:paraId="1BD10040" w14:textId="77777777" w:rsidR="00B1011E" w:rsidRDefault="00B1011E" w:rsidP="000E5A72">
      <w:pPr>
        <w:rPr>
          <w:rFonts w:eastAsia="Calibri" w:cstheme="minorHAnsi"/>
          <w:color w:val="000000" w:themeColor="text1"/>
          <w:szCs w:val="22"/>
        </w:rPr>
      </w:pPr>
    </w:p>
    <w:p w14:paraId="672B1E29" w14:textId="77777777" w:rsidR="00B1011E" w:rsidRDefault="00B1011E" w:rsidP="000E5A72">
      <w:pPr>
        <w:rPr>
          <w:rFonts w:eastAsia="Calibri" w:cstheme="minorHAnsi"/>
          <w:color w:val="000000" w:themeColor="text1"/>
          <w:szCs w:val="22"/>
        </w:rPr>
      </w:pPr>
    </w:p>
    <w:p w14:paraId="7D841248" w14:textId="77777777" w:rsidR="00B1011E" w:rsidRDefault="00B1011E" w:rsidP="000E5A72">
      <w:pPr>
        <w:rPr>
          <w:rFonts w:eastAsia="Calibri" w:cstheme="minorHAnsi"/>
          <w:color w:val="000000" w:themeColor="text1"/>
          <w:szCs w:val="22"/>
        </w:rPr>
      </w:pPr>
    </w:p>
    <w:p w14:paraId="74D434E4" w14:textId="77777777" w:rsidR="00B1011E" w:rsidRDefault="00B1011E" w:rsidP="000E5A72">
      <w:pPr>
        <w:rPr>
          <w:rFonts w:eastAsia="Calibri" w:cstheme="minorHAnsi"/>
          <w:color w:val="000000" w:themeColor="text1"/>
          <w:szCs w:val="22"/>
        </w:rPr>
      </w:pPr>
    </w:p>
    <w:p w14:paraId="2DD28960" w14:textId="77777777" w:rsidR="00B1011E" w:rsidRDefault="00B1011E" w:rsidP="000E5A72">
      <w:pPr>
        <w:rPr>
          <w:rFonts w:eastAsia="Calibri" w:cstheme="minorHAnsi"/>
          <w:color w:val="000000" w:themeColor="text1"/>
          <w:szCs w:val="22"/>
        </w:rPr>
      </w:pPr>
    </w:p>
    <w:p w14:paraId="1C1D610C" w14:textId="77777777" w:rsidR="00B1011E" w:rsidRDefault="00B1011E" w:rsidP="000E5A72">
      <w:pPr>
        <w:rPr>
          <w:rFonts w:eastAsia="Calibri" w:cstheme="minorHAnsi"/>
          <w:color w:val="000000" w:themeColor="text1"/>
          <w:szCs w:val="22"/>
        </w:rPr>
      </w:pPr>
    </w:p>
    <w:p w14:paraId="3BA27C44" w14:textId="77777777" w:rsidR="00B1011E" w:rsidRDefault="00B1011E" w:rsidP="000E5A72">
      <w:pPr>
        <w:rPr>
          <w:rFonts w:eastAsia="Calibri" w:cstheme="minorHAnsi"/>
          <w:color w:val="000000" w:themeColor="text1"/>
          <w:szCs w:val="22"/>
        </w:rPr>
      </w:pPr>
    </w:p>
    <w:p w14:paraId="2998DA04" w14:textId="77777777" w:rsidR="00B1011E" w:rsidRDefault="00B1011E" w:rsidP="000E5A72">
      <w:pPr>
        <w:rPr>
          <w:rFonts w:eastAsia="Calibri" w:cstheme="minorHAnsi"/>
          <w:color w:val="000000" w:themeColor="text1"/>
          <w:szCs w:val="22"/>
        </w:rPr>
      </w:pPr>
    </w:p>
    <w:p w14:paraId="14C5CE26" w14:textId="77777777" w:rsidR="00B1011E" w:rsidRDefault="00B1011E" w:rsidP="000E5A72">
      <w:pPr>
        <w:rPr>
          <w:rFonts w:eastAsia="Calibri" w:cstheme="minorHAnsi"/>
          <w:color w:val="000000" w:themeColor="text1"/>
          <w:szCs w:val="22"/>
        </w:rPr>
      </w:pPr>
    </w:p>
    <w:p w14:paraId="350997C3" w14:textId="77777777" w:rsidR="00B1011E" w:rsidRDefault="00B1011E" w:rsidP="000E5A72">
      <w:pPr>
        <w:rPr>
          <w:rFonts w:eastAsia="Calibri" w:cstheme="minorHAnsi"/>
          <w:color w:val="000000" w:themeColor="text1"/>
          <w:szCs w:val="22"/>
        </w:rPr>
      </w:pPr>
    </w:p>
    <w:p w14:paraId="4CB12A4F" w14:textId="77777777" w:rsidR="003B049C" w:rsidRDefault="003B049C" w:rsidP="000E5A72">
      <w:pPr>
        <w:rPr>
          <w:rFonts w:eastAsia="Calibri" w:cstheme="minorHAnsi"/>
          <w:color w:val="000000" w:themeColor="text1"/>
          <w:szCs w:val="22"/>
        </w:rPr>
      </w:pPr>
    </w:p>
    <w:p w14:paraId="6B673C5C" w14:textId="47D04A60" w:rsidR="0088240E" w:rsidRDefault="0088240E" w:rsidP="00C2222F">
      <w:r>
        <w:t>World Bank (2020</w:t>
      </w:r>
      <w:r w:rsidR="003C69CE">
        <w:t>a</w:t>
      </w:r>
      <w:r>
        <w:t xml:space="preserve">) notes that private consumption, fueled by population growth and remittances, accounts for about 90% of growth. As demand outstrips domestic productive </w:t>
      </w:r>
      <w:r w:rsidR="00DE1C01">
        <w:t>capacities</w:t>
      </w:r>
      <w:r>
        <w:t xml:space="preserve">, imports have persistently exceeded exports and have resulted in an unsustainable current account deficit. </w:t>
      </w:r>
      <w:r w:rsidR="00210509">
        <w:t xml:space="preserve">World Bank </w:t>
      </w:r>
      <w:r w:rsidR="003C69CE">
        <w:t xml:space="preserve">(2020a) </w:t>
      </w:r>
      <w:r w:rsidR="00210509">
        <w:t>estimates that the l</w:t>
      </w:r>
      <w:r w:rsidR="000A27AF">
        <w:t xml:space="preserve">ow </w:t>
      </w:r>
      <w:r w:rsidR="00210509">
        <w:t xml:space="preserve">rate of </w:t>
      </w:r>
      <w:r w:rsidR="000A27AF">
        <w:t xml:space="preserve">private investment in </w:t>
      </w:r>
      <w:r w:rsidR="00210509">
        <w:t xml:space="preserve">both </w:t>
      </w:r>
      <w:r w:rsidR="000A27AF">
        <w:t xml:space="preserve">physical and human capital </w:t>
      </w:r>
      <w:r w:rsidR="00210509">
        <w:t>constrains Pakistan’s growth</w:t>
      </w:r>
      <w:r w:rsidR="00DE1C01">
        <w:t xml:space="preserve"> potential</w:t>
      </w:r>
      <w:r w:rsidR="00210509">
        <w:t xml:space="preserve"> to just 2.5–3.0% per year. </w:t>
      </w:r>
      <w:r w:rsidR="0006145D">
        <w:t xml:space="preserve">Because </w:t>
      </w:r>
      <w:r w:rsidR="00423320">
        <w:t xml:space="preserve">the pace of structural transformation is sluggish, many workers remain </w:t>
      </w:r>
      <w:r w:rsidR="00137B20">
        <w:t xml:space="preserve">employed </w:t>
      </w:r>
      <w:r w:rsidR="004805F3">
        <w:t xml:space="preserve">in low-productivity </w:t>
      </w:r>
      <w:r w:rsidR="00137B20">
        <w:t xml:space="preserve">jobs in </w:t>
      </w:r>
      <w:r w:rsidR="00E37E92">
        <w:t xml:space="preserve">the </w:t>
      </w:r>
      <w:r w:rsidR="00423320">
        <w:t>agricultur</w:t>
      </w:r>
      <w:r w:rsidR="00E37E92">
        <w:t>al</w:t>
      </w:r>
      <w:r w:rsidR="00423320">
        <w:t xml:space="preserve"> </w:t>
      </w:r>
      <w:r w:rsidR="00E37E92">
        <w:t xml:space="preserve">and </w:t>
      </w:r>
      <w:r w:rsidR="00423320">
        <w:t xml:space="preserve">informal </w:t>
      </w:r>
      <w:r w:rsidR="00E37E92">
        <w:t xml:space="preserve">services </w:t>
      </w:r>
      <w:r w:rsidR="00423320">
        <w:t>sector</w:t>
      </w:r>
      <w:r w:rsidR="00E37E92">
        <w:t>s</w:t>
      </w:r>
      <w:r w:rsidR="00423320">
        <w:t xml:space="preserve">. </w:t>
      </w:r>
    </w:p>
    <w:p w14:paraId="730F103D" w14:textId="1CC22A42" w:rsidR="00C2222F" w:rsidRDefault="00C2222F" w:rsidP="00C2222F">
      <w:r>
        <w:t xml:space="preserve">Slower growth rates translate to slower improvements in the standard of living. Between 1980 and 2000, average real incomes as measured by constant-price </w:t>
      </w:r>
      <w:r w:rsidR="0026516B">
        <w:t>GDP</w:t>
      </w:r>
      <w:r>
        <w:t xml:space="preserve"> per capita increased by 64%, while between 2000 and 2020, the increase was just 45%. The average Pakistani was about 1.4 times better off in 2020 than in 1980. Adjusting for differences in price levels, Pakistan </w:t>
      </w:r>
      <w:r w:rsidR="00730959">
        <w:t>has</w:t>
      </w:r>
      <w:r>
        <w:t xml:space="preserve"> about the same </w:t>
      </w:r>
      <w:r w:rsidR="00730959">
        <w:t xml:space="preserve">living standards </w:t>
      </w:r>
      <w:r>
        <w:t xml:space="preserve">as Bangladesh and Cambodia, but </w:t>
      </w:r>
      <w:r w:rsidR="00730959">
        <w:t xml:space="preserve">is behind </w:t>
      </w:r>
      <w:r>
        <w:t xml:space="preserve">other developing </w:t>
      </w:r>
      <w:r w:rsidR="009D2641">
        <w:t>countries</w:t>
      </w:r>
      <w:r>
        <w:t xml:space="preserve"> in Asia and the Pacific like the Philippines and Viet Nam. </w:t>
      </w:r>
      <w:r w:rsidR="00C74FF8">
        <w:t xml:space="preserve">Nevertheless, it is to Pakistan’s credit that it had managed to </w:t>
      </w:r>
      <w:r w:rsidR="00730959">
        <w:t>cut</w:t>
      </w:r>
      <w:r w:rsidR="00C74FF8">
        <w:t xml:space="preserve"> poverty from 64% in 2001 to 24% in 2015 </w:t>
      </w:r>
      <w:r w:rsidR="00730959">
        <w:t>under national poverty lines</w:t>
      </w:r>
      <w:r w:rsidR="00EB588A">
        <w:t xml:space="preserve"> (World Bank 2020</w:t>
      </w:r>
      <w:r w:rsidR="00E37E92">
        <w:t>a</w:t>
      </w:r>
      <w:r w:rsidR="00EB588A">
        <w:t>)</w:t>
      </w:r>
      <w:r w:rsidR="00B42C69">
        <w:t xml:space="preserve">. </w:t>
      </w:r>
      <w:r w:rsidR="009D2641">
        <w:t xml:space="preserve">Sustained growth will carry such momentum forward. </w:t>
      </w:r>
    </w:p>
    <w:p w14:paraId="23EEF890" w14:textId="2D1F579B" w:rsidR="00C2222F" w:rsidRDefault="00C2222F" w:rsidP="00C2222F">
      <w:r>
        <w:t xml:space="preserve">One viable strategy that Pakistan can adopt to boost its growth is to further open its economy to trade. Many studies, including the classic paper by Jeffrey A. Frankel and David Romer (1999), have affirmed that </w:t>
      </w:r>
      <w:r w:rsidR="00A11901">
        <w:t>countries</w:t>
      </w:r>
      <w:r>
        <w:t xml:space="preserve"> who trade more tend to grow faster. The four Asian Tigers—Hong Kong, China; the Republic of Korea; Singapore; and </w:t>
      </w:r>
      <w:proofErr w:type="spellStart"/>
      <w:r>
        <w:t>Taipei,China</w:t>
      </w:r>
      <w:proofErr w:type="spellEnd"/>
      <w:r>
        <w:t>—had famously used an export-oriented development strategy to become advanced economies by the 1990s (Stiglitz 1996), an approach that is now being followed by Viet Nam and Cambodia, among others. Benefits to economic openness include opportunities for specialization, access to wider markets, and the inflow of investments, technology, and know-how.</w:t>
      </w:r>
      <w:r w:rsidR="00350C7C">
        <w:t xml:space="preserve"> There is </w:t>
      </w:r>
      <w:r w:rsidR="00A11901">
        <w:t xml:space="preserve">also </w:t>
      </w:r>
      <w:r w:rsidR="00350C7C">
        <w:t xml:space="preserve">evidence that trade promotes the reallocation of labor from the informal to the formal sector (McCaig and </w:t>
      </w:r>
      <w:proofErr w:type="spellStart"/>
      <w:r w:rsidR="00350C7C">
        <w:t>Pavcnik</w:t>
      </w:r>
      <w:proofErr w:type="spellEnd"/>
      <w:r w:rsidR="00350C7C">
        <w:t xml:space="preserve"> 2018).</w:t>
      </w:r>
      <w:r>
        <w:t xml:space="preserve"> And whereas it was once thought that industrialization was the primary objective of openness, the experiences of India and the Philippines point to the possibility of services trade being a catalyst for growth as well (Chatterjee </w:t>
      </w:r>
      <w:r w:rsidR="00215454">
        <w:t>and</w:t>
      </w:r>
      <w:r>
        <w:t xml:space="preserve"> Subramanian 2020; Thomas 2019). </w:t>
      </w:r>
    </w:p>
    <w:p w14:paraId="09448741" w14:textId="1EF45CC2" w:rsidR="003C5130" w:rsidRDefault="003C5130" w:rsidP="003C5130">
      <w:r>
        <w:t xml:space="preserve">In this regard, </w:t>
      </w:r>
      <w:fldSimple w:instr=" REF _Ref77597736 ">
        <w:r w:rsidR="00D57A44">
          <w:t xml:space="preserve">Figure </w:t>
        </w:r>
        <w:r w:rsidR="00D57A44">
          <w:rPr>
            <w:noProof/>
            <w:cs/>
          </w:rPr>
          <w:t>‎</w:t>
        </w:r>
        <w:r w:rsidR="00D57A44">
          <w:rPr>
            <w:noProof/>
          </w:rPr>
          <w:t>2</w:t>
        </w:r>
        <w:r w:rsidR="00D57A44">
          <w:t>.</w:t>
        </w:r>
        <w:r w:rsidR="00D57A44">
          <w:rPr>
            <w:noProof/>
          </w:rPr>
          <w:t>2</w:t>
        </w:r>
      </w:fldSimple>
      <w:r>
        <w:t xml:space="preserve"> shows that Pakistan has a lot of room for improvement. Using statistics from 2019 since 2020 was an unusual year, the scatterplot provides a snapshot of economic openness across various levels of GDP for 166 </w:t>
      </w:r>
      <w:r w:rsidR="00A11901">
        <w:t xml:space="preserve">countries and </w:t>
      </w:r>
      <w:r>
        <w:t xml:space="preserve">economies with available data. At just 30%, Pakistan exhibits one of the lowest trade-to-GDP ratios in the world, measured as the sum of exports and imports divided by GDP. It is less open than </w:t>
      </w:r>
      <w:r>
        <w:lastRenderedPageBreak/>
        <w:t xml:space="preserve">neighbors India (39%) and Bangladesh (37%). Among the sample, it is only more open than Ethiopia, Brazil, and Sudan. While its present ratio is higher than the 15–20% it registered in the 1960s–1970s, it is down from the peaks it saw in the 1990s when it reached 38%. </w:t>
      </w:r>
    </w:p>
    <w:p w14:paraId="7F52E2CC" w14:textId="51D78D9B" w:rsidR="00C2222F" w:rsidRDefault="00C2222F" w:rsidP="00C2222F">
      <w:r>
        <w:t xml:space="preserve">The scatterplot does highlight an inverse relationship between economic size and openness, with bigger </w:t>
      </w:r>
      <w:r w:rsidR="00A11901">
        <w:t>countries</w:t>
      </w:r>
      <w:r>
        <w:t xml:space="preserve"> tending to have smaller trade-to-GDP ratios. This is unsurprising since with size comes more opportunities to buy from and sell to domestic market</w:t>
      </w:r>
      <w:r w:rsidR="007E6094">
        <w:t>s</w:t>
      </w:r>
      <w:r>
        <w:t>. Sitting at the 13</w:t>
      </w:r>
      <w:r w:rsidRPr="005145DD">
        <w:rPr>
          <w:vertAlign w:val="superscript"/>
        </w:rPr>
        <w:t>th</w:t>
      </w:r>
      <w:r>
        <w:t xml:space="preserve"> percentile of the sample by size, Pakistan is a relatively large </w:t>
      </w:r>
      <w:r w:rsidR="00A11901">
        <w:t>country</w:t>
      </w:r>
      <w:r>
        <w:t xml:space="preserve">. However, even with this taken into account, its openness remains remarkably low. The GDP of the Philippines, the Netherlands, and Viet Nam are comparable to that of Pakistan, but their ratios are much higher at 69%, 156%, and 210%, respectively. India’s GDP is almost ten times larger than Pakistan’s yet trade plays a greater role in its economy. </w:t>
      </w:r>
    </w:p>
    <w:p w14:paraId="29D39948" w14:textId="5CBAC422" w:rsidR="00C2222F" w:rsidRDefault="00000000" w:rsidP="00C2222F">
      <w:fldSimple w:instr=" REF _Ref77602758 ">
        <w:r w:rsidR="00D57A44">
          <w:t xml:space="preserve">Figure </w:t>
        </w:r>
        <w:r w:rsidR="00D57A44">
          <w:rPr>
            <w:noProof/>
            <w:cs/>
          </w:rPr>
          <w:t>‎</w:t>
        </w:r>
        <w:r w:rsidR="00D57A44">
          <w:rPr>
            <w:noProof/>
          </w:rPr>
          <w:t>2</w:t>
        </w:r>
        <w:r w:rsidR="00D57A44">
          <w:t>.</w:t>
        </w:r>
        <w:r w:rsidR="00D57A44">
          <w:rPr>
            <w:noProof/>
          </w:rPr>
          <w:t>3</w:t>
        </w:r>
      </w:fldSimple>
      <w:r w:rsidR="00C2222F">
        <w:t xml:space="preserve"> visualizes international trading networks as of 2019 and Pakistan’s place in them. As it utilizes the United Nations COMTRADE Database (as processed by CEPII’s BACI International Trade Database), only merchandise trade is included. Each node is a </w:t>
      </w:r>
      <w:r w:rsidR="00A11901">
        <w:t>country or economy</w:t>
      </w:r>
      <w:r w:rsidR="00C2222F">
        <w:t xml:space="preserve">, </w:t>
      </w:r>
      <w:r w:rsidR="00C2222F" w:rsidRPr="003435C3">
        <w:rPr>
          <w:color w:val="FF0000"/>
        </w:rPr>
        <w:t xml:space="preserve">positioned so as to group together those with significant mutual trade. </w:t>
      </w:r>
      <w:r w:rsidR="00C2222F">
        <w:t xml:space="preserve">For visual clarity, the figure only draws a trading link if the importing </w:t>
      </w:r>
      <w:r w:rsidR="00A11901">
        <w:t>country</w:t>
      </w:r>
      <w:r w:rsidR="00C2222F">
        <w:t xml:space="preserve"> is among the three largest importers of the exporting </w:t>
      </w:r>
      <w:r w:rsidR="00A11901">
        <w:t>country</w:t>
      </w:r>
      <w:r w:rsidR="00C2222F">
        <w:t xml:space="preserve">. Node sizes are proportional to the number of such links a </w:t>
      </w:r>
      <w:r w:rsidR="00A11901">
        <w:t xml:space="preserve">country </w:t>
      </w:r>
      <w:r w:rsidR="00C2222F">
        <w:t xml:space="preserve">is connected to. Thus, the fact that the largest nodes are the United States and the People’s Republic of China (PRC) means they appear among the top three importers of other </w:t>
      </w:r>
      <w:r w:rsidR="00A11901">
        <w:t>countries</w:t>
      </w:r>
      <w:r w:rsidR="00C2222F">
        <w:t xml:space="preserve"> the most. The thickness of a link, meanwhile, is proportional to the value of trade it is representing. Again, the thickest link is that between the United States and the PRC, indicating that it is the most </w:t>
      </w:r>
      <w:r w:rsidR="00803D35">
        <w:t>significant</w:t>
      </w:r>
      <w:r w:rsidR="00C2222F">
        <w:t xml:space="preserve"> bilateral relationship in the world. </w:t>
      </w:r>
    </w:p>
    <w:p w14:paraId="746CEF8C" w14:textId="39D8546F" w:rsidR="00C2222F" w:rsidRDefault="00C2222F" w:rsidP="00C2222F">
      <w:pPr>
        <w:pStyle w:val="Caption"/>
      </w:pPr>
      <w:bookmarkStart w:id="9" w:name="_Ref77602758"/>
      <w:bookmarkStart w:id="10" w:name="_Toc83849801"/>
      <w:r>
        <w:lastRenderedPageBreak/>
        <w:t xml:space="preserve">Figure </w:t>
      </w:r>
      <w:fldSimple w:instr=" STYLEREF 1 \s ">
        <w:r w:rsidR="00D57A44">
          <w:rPr>
            <w:noProof/>
            <w:cs/>
          </w:rPr>
          <w:t>‎</w:t>
        </w:r>
        <w:r w:rsidR="00D57A44">
          <w:rPr>
            <w:noProof/>
          </w:rPr>
          <w:t>2</w:t>
        </w:r>
      </w:fldSimple>
      <w:r w:rsidR="003F26C2">
        <w:t>.</w:t>
      </w:r>
      <w:fldSimple w:instr=" SEQ Figure \* ARABIC \s 1 ">
        <w:r w:rsidR="00D57A44">
          <w:rPr>
            <w:noProof/>
          </w:rPr>
          <w:t>3</w:t>
        </w:r>
      </w:fldSimple>
      <w:bookmarkEnd w:id="9"/>
      <w:r>
        <w:t xml:space="preserve">: </w:t>
      </w:r>
      <w:r w:rsidR="00FE25AA">
        <w:t>Network Diagram of Global</w:t>
      </w:r>
      <w:r>
        <w:t xml:space="preserve"> Merchandise Trade, 20</w:t>
      </w:r>
      <w:bookmarkEnd w:id="10"/>
      <w:r w:rsidR="00FE25AA">
        <w:t>21</w:t>
      </w:r>
      <w:r w:rsidR="00FE25AA">
        <w:rPr>
          <w:noProof/>
        </w:rPr>
        <w:drawing>
          <wp:anchor distT="0" distB="0" distL="114300" distR="114300" simplePos="0" relativeHeight="251712512" behindDoc="0" locked="0" layoutInCell="1" allowOverlap="1" wp14:anchorId="0FD24C21" wp14:editId="64BE3812">
            <wp:simplePos x="0" y="0"/>
            <wp:positionH relativeFrom="column">
              <wp:posOffset>0</wp:posOffset>
            </wp:positionH>
            <wp:positionV relativeFrom="paragraph">
              <wp:posOffset>211455</wp:posOffset>
            </wp:positionV>
            <wp:extent cx="5731510" cy="4301490"/>
            <wp:effectExtent l="0" t="0" r="0" b="3810"/>
            <wp:wrapSquare wrapText="bothSides"/>
            <wp:docPr id="1281153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3085" name="Picture 1281153085"/>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1490"/>
                    </a:xfrm>
                    <a:prstGeom prst="rect">
                      <a:avLst/>
                    </a:prstGeom>
                  </pic:spPr>
                </pic:pic>
              </a:graphicData>
            </a:graphic>
            <wp14:sizeRelH relativeFrom="page">
              <wp14:pctWidth>0</wp14:pctWidth>
            </wp14:sizeRelH>
            <wp14:sizeRelV relativeFrom="page">
              <wp14:pctHeight>0</wp14:pctHeight>
            </wp14:sizeRelV>
          </wp:anchor>
        </w:drawing>
      </w:r>
    </w:p>
    <w:p w14:paraId="122ECC7E" w14:textId="6EED3818" w:rsidR="00C2222F" w:rsidRDefault="00C2222F" w:rsidP="004533A2">
      <w:pPr>
        <w:pStyle w:val="NotesAbbreviations"/>
      </w:pPr>
      <w:r>
        <w:t>ARE = United Arab Emirates, BEL = Belgium, FRA = France, GER = Germany, IND = India, ITA = Italy, JPN = Japan, KOR = Republic of Korea, NET = Netherlands, POL = Poland, PRC = People’s Republic of China, RUS = Russia, SAU = Saudi Arabia, SIN = Singapore, SPA = Spain, SWI = Switzerland, THA = Thailand, UKG = United Kingdom, USA = United States, ZAF = South Africa</w:t>
      </w:r>
      <w:r w:rsidR="008379FB">
        <w:t>.</w:t>
      </w:r>
    </w:p>
    <w:p w14:paraId="2867B05A" w14:textId="0731CE5A" w:rsidR="00C2222F" w:rsidRDefault="00C2222F" w:rsidP="004533A2">
      <w:pPr>
        <w:pStyle w:val="Notes"/>
      </w:pPr>
      <w:r>
        <w:t xml:space="preserve">Notes: </w:t>
      </w:r>
      <w:r>
        <w:tab/>
        <w:t xml:space="preserve">Each node represents </w:t>
      </w:r>
      <w:r w:rsidR="00BB0B15">
        <w:t>a country or economy</w:t>
      </w:r>
      <w:r>
        <w:t xml:space="preserve">. Nodes appear only if they meet a threshold of connectedness, defined as being among the three largest importers of some </w:t>
      </w:r>
      <w:r w:rsidR="00044F8C">
        <w:t>country</w:t>
      </w:r>
      <w:r>
        <w:t xml:space="preserve">. Node sizes reflect the number of such links connected to the node, while edge thickness reflect the dollar value of the trade flow. Nodes are arranged using the </w:t>
      </w:r>
      <w:r w:rsidR="00FE25AA" w:rsidRPr="00FE25AA">
        <w:t xml:space="preserve">Davidson and </w:t>
      </w:r>
      <w:proofErr w:type="spellStart"/>
      <w:r w:rsidR="00FE25AA" w:rsidRPr="00FE25AA">
        <w:t>Harel</w:t>
      </w:r>
      <w:proofErr w:type="spellEnd"/>
      <w:r w:rsidR="00FE25AA" w:rsidRPr="00FE25AA">
        <w:t xml:space="preserve"> (1996)</w:t>
      </w:r>
      <w:r>
        <w:t xml:space="preserve"> layout algorithm. Regional groupings are from the World Bank. </w:t>
      </w:r>
      <w:proofErr w:type="spellStart"/>
      <w:r>
        <w:t>Taipei,China</w:t>
      </w:r>
      <w:proofErr w:type="spellEnd"/>
      <w:r>
        <w:t xml:space="preserve"> is proxied by “</w:t>
      </w:r>
      <w:r w:rsidRPr="001345C3">
        <w:t>Other Asia, not elsewhere specified</w:t>
      </w:r>
      <w:r>
        <w:t>”.</w:t>
      </w:r>
    </w:p>
    <w:p w14:paraId="708E016F" w14:textId="69F2F0D9" w:rsidR="00C2222F" w:rsidRDefault="00C2222F" w:rsidP="00BC7557">
      <w:pPr>
        <w:pStyle w:val="NotesBottom"/>
      </w:pPr>
      <w:r>
        <w:t xml:space="preserve">Source: </w:t>
      </w:r>
      <w:r>
        <w:tab/>
        <w:t>CEPII</w:t>
      </w:r>
      <w:r w:rsidR="00F36FCF">
        <w:t>.</w:t>
      </w:r>
      <w:r>
        <w:t xml:space="preserve"> </w:t>
      </w:r>
      <w:r w:rsidRPr="005D5E0C">
        <w:t>BACI</w:t>
      </w:r>
      <w:r>
        <w:t xml:space="preserve"> International Trade Database</w:t>
      </w:r>
      <w:r w:rsidR="00FE25AA">
        <w:t xml:space="preserve"> (January 2023)</w:t>
      </w:r>
      <w:r>
        <w:t>.</w:t>
      </w:r>
      <w:r w:rsidR="00F36FCF">
        <w:t xml:space="preserve"> </w:t>
      </w:r>
      <w:r w:rsidR="00F36FCF" w:rsidRPr="00F36FCF">
        <w:t>http://www.cepii.fr/cepii/en/bdd_modele/presentation.asp?id=37</w:t>
      </w:r>
      <w:r w:rsidR="00F36FCF">
        <w:t xml:space="preserve"> (accessed 1</w:t>
      </w:r>
      <w:r w:rsidR="00FE25AA">
        <w:t>9</w:t>
      </w:r>
      <w:r w:rsidR="00F36FCF">
        <w:t xml:space="preserve"> </w:t>
      </w:r>
      <w:r w:rsidR="00FE25AA">
        <w:t xml:space="preserve">June </w:t>
      </w:r>
      <w:r w:rsidR="00F36FCF">
        <w:t>202</w:t>
      </w:r>
      <w:r w:rsidR="00FE25AA">
        <w:t>3</w:t>
      </w:r>
      <w:r w:rsidR="00F36FCF">
        <w:t>).</w:t>
      </w:r>
    </w:p>
    <w:p w14:paraId="61E74A07" w14:textId="77777777" w:rsidR="00A11901" w:rsidRDefault="00A11901" w:rsidP="00A11901">
      <w:r>
        <w:t>Color-coding by geographic region reveals a gravity-type clustering of nodes, in that countries that are physically near each other on the map tend to trade more with each other. This, however, is belied by Pakistan, whose top trading partners are outside South Asia. The network draws four links connecting to it: outward to its top three importers the United States, Germany, and the PRC, and inward from Afghanistan, for which it is the second-largest importer.</w:t>
      </w:r>
    </w:p>
    <w:p w14:paraId="010FD6FF" w14:textId="77777777" w:rsidR="00A11901" w:rsidRDefault="00A11901" w:rsidP="00A11901">
      <w:r>
        <w:t>The advantage of COMTRADE/BACI data is its granularity, reporting exports of products at the 6-digit level of the Harmonized System (HS). It is possible to establish, therefore, that in 2019, Pakistan’s top goods export was “</w:t>
      </w:r>
      <w:r w:rsidRPr="006F73DE">
        <w:t>Trousers, bib and brace overalls, breeches and shorts: men's or boys', of cotton (not knitted or crocheted)</w:t>
      </w:r>
      <w:r>
        <w:t xml:space="preserve">” (HS code </w:t>
      </w:r>
      <w:r w:rsidRPr="006F73DE">
        <w:t>6203</w:t>
      </w:r>
      <w:r>
        <w:t>.</w:t>
      </w:r>
      <w:r w:rsidRPr="006F73DE">
        <w:t>42</w:t>
      </w:r>
      <w:r>
        <w:t xml:space="preserve">), valued at $1.7 billion. Product categories may be aggregated into broader categories if needed. The </w:t>
      </w:r>
      <w:r>
        <w:lastRenderedPageBreak/>
        <w:t xml:space="preserve">“chapter” of </w:t>
      </w:r>
      <w:r w:rsidRPr="006F73DE">
        <w:t>6203</w:t>
      </w:r>
      <w:r>
        <w:t>.</w:t>
      </w:r>
      <w:r w:rsidRPr="006F73DE">
        <w:t>42</w:t>
      </w:r>
      <w:r>
        <w:t>, for example, is 62, “</w:t>
      </w:r>
      <w:r w:rsidRPr="00DF66AD">
        <w:t>Articles of apparel and clothing accessories, not knitted or crocheted</w:t>
      </w:r>
      <w:r>
        <w:t>”.</w:t>
      </w:r>
    </w:p>
    <w:p w14:paraId="12D9EF6C" w14:textId="5A6454F8" w:rsidR="00C2222F" w:rsidRDefault="009A3864" w:rsidP="00C2222F">
      <w:r>
        <w:rPr>
          <w:noProof/>
        </w:rPr>
        <w:drawing>
          <wp:anchor distT="0" distB="0" distL="114300" distR="114300" simplePos="0" relativeHeight="251714560" behindDoc="0" locked="0" layoutInCell="1" allowOverlap="1" wp14:anchorId="67BEC265" wp14:editId="2224B9F5">
            <wp:simplePos x="0" y="0"/>
            <wp:positionH relativeFrom="column">
              <wp:posOffset>0</wp:posOffset>
            </wp:positionH>
            <wp:positionV relativeFrom="paragraph">
              <wp:posOffset>2697480</wp:posOffset>
            </wp:positionV>
            <wp:extent cx="5731510" cy="4301490"/>
            <wp:effectExtent l="0" t="0" r="0" b="3810"/>
            <wp:wrapSquare wrapText="bothSides"/>
            <wp:docPr id="19878798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9865" name="Picture 1987879865"/>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1490"/>
                    </a:xfrm>
                    <a:prstGeom prst="rect">
                      <a:avLst/>
                    </a:prstGeom>
                  </pic:spPr>
                </pic:pic>
              </a:graphicData>
            </a:graphic>
            <wp14:sizeRelH relativeFrom="page">
              <wp14:pctWidth>0</wp14:pctWidth>
            </wp14:sizeRelH>
            <wp14:sizeRelV relativeFrom="page">
              <wp14:pctHeight>0</wp14:pctHeight>
            </wp14:sizeRelV>
          </wp:anchor>
        </w:drawing>
      </w:r>
      <w:fldSimple w:instr=" REF _Ref77604920 ">
        <w:r w:rsidR="00D57A44">
          <w:t xml:space="preserve">Figure </w:t>
        </w:r>
        <w:r w:rsidR="00D57A44">
          <w:rPr>
            <w:noProof/>
            <w:cs/>
          </w:rPr>
          <w:t>‎</w:t>
        </w:r>
        <w:r w:rsidR="00D57A44">
          <w:rPr>
            <w:noProof/>
          </w:rPr>
          <w:t>2</w:t>
        </w:r>
        <w:r w:rsidR="00D57A44">
          <w:t>.</w:t>
        </w:r>
        <w:r w:rsidR="00D57A44">
          <w:rPr>
            <w:noProof/>
          </w:rPr>
          <w:t>4</w:t>
        </w:r>
      </w:fldSimple>
      <w:r w:rsidR="00C2222F">
        <w:t xml:space="preserve"> examines the product make-up of Pakistan’s merchandise exports over 2002–2019 by aggregating HS codes into nine broad groupings. Exports are overwhelmingly dominated by textiles and footwear, which in 2019 accounted for 56% of export value or $15.5 billion. While down from its almost three-fourths share in 2002, it is still far larger than any other grouping. Within textiles and footwear, a few sub-groups dominate. “Cotton trousers”—shorthand for all t</w:t>
      </w:r>
      <w:r w:rsidR="00C2222F" w:rsidRPr="006F73DE">
        <w:t>rousers, bib</w:t>
      </w:r>
      <w:r w:rsidR="00C2222F">
        <w:t>-</w:t>
      </w:r>
      <w:r w:rsidR="00C2222F" w:rsidRPr="006F73DE">
        <w:t>and</w:t>
      </w:r>
      <w:r w:rsidR="00C2222F">
        <w:t>-</w:t>
      </w:r>
      <w:r w:rsidR="00C2222F" w:rsidRPr="006F73DE">
        <w:t>brace overalls, breeches</w:t>
      </w:r>
      <w:r w:rsidR="00C2222F">
        <w:t>,</w:t>
      </w:r>
      <w:r w:rsidR="00C2222F" w:rsidRPr="006F73DE">
        <w:t xml:space="preserve"> and shorts</w:t>
      </w:r>
      <w:r w:rsidR="00C2222F">
        <w:t xml:space="preserve"> made of cotton, whether hand- or machine-sewn—accounted for 11.6% of 2019 export value, almost double its 6.0% share in 2012. This is largely oriented towards the European and North American markets, which took in 90% of such exports in 2019. Other major subgroups include all types of bed linen (8.9% in 2019) and all types of kitchen and toilet linen (3.8% in 2019). </w:t>
      </w:r>
    </w:p>
    <w:p w14:paraId="403AEA61" w14:textId="2B647857" w:rsidR="00C2222F" w:rsidRDefault="00C2222F" w:rsidP="00C2222F">
      <w:pPr>
        <w:pStyle w:val="Caption"/>
      </w:pPr>
      <w:bookmarkStart w:id="11" w:name="_Ref77604920"/>
      <w:bookmarkStart w:id="12" w:name="_Toc83849802"/>
      <w:r>
        <w:t xml:space="preserve">Figure </w:t>
      </w:r>
      <w:fldSimple w:instr=" STYLEREF 1 \s ">
        <w:r w:rsidR="00D57A44">
          <w:rPr>
            <w:noProof/>
            <w:cs/>
          </w:rPr>
          <w:t>‎</w:t>
        </w:r>
        <w:r w:rsidR="00D57A44">
          <w:rPr>
            <w:noProof/>
          </w:rPr>
          <w:t>2</w:t>
        </w:r>
      </w:fldSimple>
      <w:r w:rsidR="003F26C2">
        <w:t>.</w:t>
      </w:r>
      <w:fldSimple w:instr=" SEQ Figure \* ARABIC \s 1 ">
        <w:r w:rsidR="00D57A44">
          <w:rPr>
            <w:noProof/>
          </w:rPr>
          <w:t>4</w:t>
        </w:r>
      </w:fldSimple>
      <w:bookmarkEnd w:id="11"/>
      <w:r>
        <w:t>: Merchandise Exports by Broad Product Groupings, 2002–20</w:t>
      </w:r>
      <w:bookmarkEnd w:id="12"/>
      <w:r w:rsidR="009A3864">
        <w:t>21</w:t>
      </w:r>
    </w:p>
    <w:p w14:paraId="2F3E55A5" w14:textId="27E1A956" w:rsidR="00C2222F" w:rsidRDefault="00C2222F" w:rsidP="00C2222F">
      <w:pPr>
        <w:pStyle w:val="Notes"/>
      </w:pPr>
      <w:r>
        <w:t xml:space="preserve">Notes: </w:t>
      </w:r>
      <w:r w:rsidR="00C150B6">
        <w:tab/>
      </w:r>
      <w:r>
        <w:t>Broad product groupings are based on the chapters of the Harmonized System, 2002 edition. “</w:t>
      </w:r>
      <w:r w:rsidR="009A3864">
        <w:t>Food</w:t>
      </w:r>
      <w:r>
        <w:t>” covers 0</w:t>
      </w:r>
      <w:r w:rsidR="009A3864">
        <w:t>1</w:t>
      </w:r>
      <w:r>
        <w:t>–</w:t>
      </w:r>
      <w:r w:rsidR="009A3864">
        <w:t>24</w:t>
      </w:r>
      <w:r>
        <w:t>. “Minerals” covers 25–27</w:t>
      </w:r>
      <w:r w:rsidR="009A3864">
        <w:t>, of which "crude oil" (</w:t>
      </w:r>
      <w:r w:rsidR="009A3864" w:rsidRPr="009A3864">
        <w:t>2709</w:t>
      </w:r>
      <w:r w:rsidR="009A3864">
        <w:t>.</w:t>
      </w:r>
      <w:r w:rsidR="009A3864" w:rsidRPr="009A3864">
        <w:t>00</w:t>
      </w:r>
      <w:r w:rsidR="009A3864">
        <w:t>), "natural gas" (</w:t>
      </w:r>
      <w:r w:rsidR="009A3864" w:rsidRPr="009A3864">
        <w:t>2711</w:t>
      </w:r>
      <w:r w:rsidR="009A3864">
        <w:t>.</w:t>
      </w:r>
      <w:r w:rsidR="009A3864" w:rsidRPr="009A3864">
        <w:t>11</w:t>
      </w:r>
      <w:r w:rsidR="009A3864">
        <w:t>,</w:t>
      </w:r>
      <w:r w:rsidR="009A3864" w:rsidRPr="009A3864">
        <w:t xml:space="preserve"> 2711</w:t>
      </w:r>
      <w:r w:rsidR="009A3864">
        <w:t>.</w:t>
      </w:r>
      <w:r w:rsidR="009A3864" w:rsidRPr="009A3864">
        <w:t>21</w:t>
      </w:r>
      <w:r w:rsidR="009A3864">
        <w:t>), and "ores" (</w:t>
      </w:r>
      <w:r w:rsidR="009A3864" w:rsidRPr="009A3864">
        <w:t>2601</w:t>
      </w:r>
      <w:r w:rsidR="009A3864">
        <w:t>.</w:t>
      </w:r>
      <w:r w:rsidR="009A3864" w:rsidRPr="009A3864">
        <w:t>11</w:t>
      </w:r>
      <w:r w:rsidR="009A3864">
        <w:t>–</w:t>
      </w:r>
      <w:r w:rsidR="009A3864" w:rsidRPr="009A3864">
        <w:t>2617</w:t>
      </w:r>
      <w:r w:rsidR="009A3864">
        <w:t>.</w:t>
      </w:r>
      <w:r w:rsidR="009A3864" w:rsidRPr="009A3864">
        <w:t>90</w:t>
      </w:r>
      <w:r w:rsidR="009A3864">
        <w:t>) are</w:t>
      </w:r>
      <w:r w:rsidR="00756D67" w:rsidRPr="00756D67">
        <w:t xml:space="preserve"> </w:t>
      </w:r>
      <w:r w:rsidR="00756D67">
        <w:t>separately</w:t>
      </w:r>
      <w:r w:rsidR="009A3864">
        <w:t xml:space="preserve"> identified</w:t>
      </w:r>
      <w:r>
        <w:t xml:space="preserve">. “Chemicals” covers </w:t>
      </w:r>
      <w:r w:rsidR="00756D67">
        <w:t>28–38</w:t>
      </w:r>
      <w:r>
        <w:t xml:space="preserve">. </w:t>
      </w:r>
      <w:r w:rsidR="00756D67">
        <w:t>"Metals" covers 72–83, of which "ferroalloys" (</w:t>
      </w:r>
      <w:r w:rsidR="00756D67" w:rsidRPr="00756D67">
        <w:t>7202</w:t>
      </w:r>
      <w:r w:rsidR="00756D67">
        <w:t>.</w:t>
      </w:r>
      <w:r w:rsidR="00756D67" w:rsidRPr="00756D67">
        <w:t>11</w:t>
      </w:r>
      <w:r w:rsidR="00756D67">
        <w:t>–</w:t>
      </w:r>
      <w:r w:rsidR="00756D67" w:rsidRPr="00756D67">
        <w:t>7202</w:t>
      </w:r>
      <w:r w:rsidR="00756D67">
        <w:t>.</w:t>
      </w:r>
      <w:r w:rsidR="00756D67" w:rsidRPr="00756D67">
        <w:t>99</w:t>
      </w:r>
      <w:r w:rsidR="00756D67">
        <w:t>) and "copper" (</w:t>
      </w:r>
      <w:r w:rsidR="00756D67" w:rsidRPr="00756D67">
        <w:t>7401</w:t>
      </w:r>
      <w:r w:rsidR="00756D67">
        <w:t>.</w:t>
      </w:r>
      <w:r w:rsidR="00756D67" w:rsidRPr="00756D67">
        <w:t>10</w:t>
      </w:r>
      <w:r w:rsidR="00756D67">
        <w:t>–</w:t>
      </w:r>
      <w:r w:rsidR="00756D67" w:rsidRPr="00756D67">
        <w:t>7419</w:t>
      </w:r>
      <w:r w:rsidR="00756D67">
        <w:t>.</w:t>
      </w:r>
      <w:r w:rsidR="00756D67" w:rsidRPr="00756D67">
        <w:t>99</w:t>
      </w:r>
      <w:r w:rsidR="00756D67">
        <w:t>) are separately identified.</w:t>
      </w:r>
      <w:r>
        <w:t xml:space="preserve"> </w:t>
      </w:r>
      <w:r w:rsidR="00756D67">
        <w:t xml:space="preserve">The remaining chapters are collected under "Others". </w:t>
      </w:r>
    </w:p>
    <w:p w14:paraId="5559C806" w14:textId="77777777" w:rsidR="004218BD" w:rsidRDefault="004218BD" w:rsidP="004218BD">
      <w:pPr>
        <w:pStyle w:val="NotesBottom"/>
      </w:pPr>
      <w:r>
        <w:t xml:space="preserve">Source: </w:t>
      </w:r>
      <w:r>
        <w:tab/>
        <w:t xml:space="preserve">CEPII. </w:t>
      </w:r>
      <w:r w:rsidRPr="005D5E0C">
        <w:t>BACI</w:t>
      </w:r>
      <w:r>
        <w:t xml:space="preserve"> International Trade Database (January 2023). </w:t>
      </w:r>
      <w:r w:rsidRPr="00F36FCF">
        <w:t>http://www.cepii.fr/cepii/en/bdd_modele/presentation.asp?id=37</w:t>
      </w:r>
      <w:r>
        <w:t xml:space="preserve"> (accessed 19 June 2023).</w:t>
      </w:r>
    </w:p>
    <w:p w14:paraId="3CE9E480" w14:textId="77777777" w:rsidR="00A11901" w:rsidRDefault="00A11901" w:rsidP="00A11901">
      <w:r>
        <w:lastRenderedPageBreak/>
        <w:t>Testifying to the persistence of agriculture in Pakistan’s economy is the significance of “vegetables” in its exports, whose share of 12.5% was the second-largest</w:t>
      </w:r>
      <w:r w:rsidRPr="002D1516">
        <w:t xml:space="preserve"> </w:t>
      </w:r>
      <w:r>
        <w:t>in 2019. Dominant here is milled rice, sent mostly to the PRC and the Middle East. Other major exports include those under machinery, weapons, and art, particularly m</w:t>
      </w:r>
      <w:r w:rsidRPr="00CF7FD4">
        <w:t>edical, surgical or dental instruments and appliances</w:t>
      </w:r>
      <w:r>
        <w:t xml:space="preserve">, most of which goes to the United States and Mexico. </w:t>
      </w:r>
    </w:p>
    <w:p w14:paraId="19704B39" w14:textId="45C1A9FB" w:rsidR="00C2222F" w:rsidRDefault="00C2222F" w:rsidP="00C2222F">
      <w:r>
        <w:t>The dominance of textile products in Pakistan’s exports raises the issue of diversification</w:t>
      </w:r>
      <w:r w:rsidR="00B90B09">
        <w:t>—</w:t>
      </w:r>
      <w:r>
        <w:t>or potentially the lack of it. Concentrating too much on only a few sectors or products poses risks to an economy since shocks to the dominant sector can more easily cause an economy-wide recession. However, while textile exports are indeed very significant for Pakistan, it does appear to export several different types of textile products, from apparel to bed sheets to kitchen towels. To properly quantify the overall diversification of Pakistan’s exports, the Herfindahl–Hirschman index (HHI) is computed on the 2-digit level of its HS product categories. See</w:t>
      </w:r>
      <w:r w:rsidRPr="001508A2">
        <w:t xml:space="preserve"> </w:t>
      </w:r>
      <w:r w:rsidRPr="001508A2">
        <w:fldChar w:fldCharType="begin"/>
      </w:r>
      <w:r w:rsidRPr="001508A2">
        <w:instrText xml:space="preserve"> REF _Ref77687273 </w:instrText>
      </w:r>
      <w:r w:rsidR="001508A2" w:rsidRPr="001508A2">
        <w:instrText xml:space="preserve"> \* MERGEFORMAT </w:instrText>
      </w:r>
      <w:r w:rsidRPr="001508A2">
        <w:fldChar w:fldCharType="separate"/>
      </w:r>
      <w:r w:rsidR="00937E53" w:rsidRPr="001508A2">
        <w:t xml:space="preserve">Box </w:t>
      </w:r>
      <w:r w:rsidR="00937E53">
        <w:rPr>
          <w:noProof/>
        </w:rPr>
        <w:t>3</w:t>
      </w:r>
      <w:r w:rsidRPr="001508A2">
        <w:rPr>
          <w:noProof/>
        </w:rPr>
        <w:fldChar w:fldCharType="end"/>
      </w:r>
      <w:r>
        <w:t xml:space="preserve"> for more details on this methodology.</w:t>
      </w:r>
    </w:p>
    <w:tbl>
      <w:tblPr>
        <w:tblStyle w:val="TableGrid"/>
        <w:tblW w:w="0" w:type="auto"/>
        <w:tblLook w:val="04A0" w:firstRow="1" w:lastRow="0" w:firstColumn="1" w:lastColumn="0" w:noHBand="0" w:noVBand="1"/>
      </w:tblPr>
      <w:tblGrid>
        <w:gridCol w:w="9016"/>
      </w:tblGrid>
      <w:tr w:rsidR="00C2222F" w14:paraId="79DD6F65" w14:textId="77777777" w:rsidTr="00372C2E">
        <w:tc>
          <w:tcPr>
            <w:tcW w:w="9016" w:type="dxa"/>
          </w:tcPr>
          <w:p w14:paraId="04029204" w14:textId="41F7E4A4" w:rsidR="00C2222F" w:rsidRDefault="00C2222F" w:rsidP="00372C2E">
            <w:pPr>
              <w:pStyle w:val="Caption"/>
            </w:pPr>
            <w:bookmarkStart w:id="13" w:name="_Ref77687273"/>
            <w:bookmarkStart w:id="14" w:name="_Toc83849823"/>
            <w:r w:rsidRPr="001508A2">
              <w:t xml:space="preserve">Box </w:t>
            </w:r>
            <w:fldSimple w:instr=" SEQ Box \* ARABIC ">
              <w:r w:rsidR="00937E53">
                <w:rPr>
                  <w:noProof/>
                </w:rPr>
                <w:t>3</w:t>
              </w:r>
            </w:fldSimple>
            <w:bookmarkEnd w:id="13"/>
            <w:r w:rsidRPr="001508A2">
              <w:t xml:space="preserve">: </w:t>
            </w:r>
            <w:r w:rsidR="00894824" w:rsidRPr="001508A2">
              <w:t>Measuring</w:t>
            </w:r>
            <w:r w:rsidRPr="001508A2">
              <w:t xml:space="preserve"> Export Diversification</w:t>
            </w:r>
            <w:bookmarkEnd w:id="14"/>
          </w:p>
          <w:p w14:paraId="6794F419" w14:textId="77777777" w:rsidR="00937E53" w:rsidRPr="00937E53" w:rsidRDefault="00937E53" w:rsidP="00937E53"/>
          <w:p w14:paraId="71A861CA" w14:textId="777CCD12" w:rsidR="00C2222F" w:rsidRDefault="00C2222F" w:rsidP="00A72769">
            <w:pPr>
              <w:pStyle w:val="Box"/>
            </w:pPr>
            <w:r>
              <w:t>Export diversification refers to the diversity in products exported by an economy. To quantify this, this report uses a widely accepted measure of concentration, the Herfindahl–Hirschman index (HHI), computed by summing the squared share of each entity in the population in question</w:t>
            </w:r>
            <w:r w:rsidR="00183834">
              <w:t xml:space="preserve"> (</w:t>
            </w:r>
            <w:proofErr w:type="spellStart"/>
            <w:r w:rsidR="00183834">
              <w:t>Shughart</w:t>
            </w:r>
            <w:proofErr w:type="spellEnd"/>
            <w:r w:rsidR="00183834">
              <w:t xml:space="preserve"> 2008)</w:t>
            </w:r>
            <w:r>
              <w:t>. Formally,</w:t>
            </w:r>
          </w:p>
          <w:p w14:paraId="63BC8761" w14:textId="424D6999" w:rsidR="00C2222F" w:rsidRDefault="00C2222F" w:rsidP="00A72769">
            <w:pPr>
              <w:pStyle w:val="Box"/>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oMath>
            </m:oMathPara>
          </w:p>
          <w:p w14:paraId="52A27DF6" w14:textId="5152E395" w:rsidR="00C2222F" w:rsidRDefault="00C2222F" w:rsidP="00A72769">
            <w:pPr>
              <w:pStyle w:val="Box"/>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share of entity </w:t>
            </w:r>
            <m:oMath>
              <m:r>
                <w:rPr>
                  <w:rFonts w:ascii="Cambria Math" w:hAnsi="Cambria Math"/>
                </w:rPr>
                <m:t>i</m:t>
              </m:r>
            </m:oMath>
            <w:r>
              <w:t xml:space="preserve"> and </w:t>
            </w:r>
            <m:oMath>
              <m:r>
                <w:rPr>
                  <w:rFonts w:ascii="Cambria Math" w:hAnsi="Cambria Math"/>
                </w:rPr>
                <m:t>N</m:t>
              </m:r>
            </m:oMath>
            <w:r>
              <w:t xml:space="preserve"> is the number of entities in the population. The HHI ranges from</w:t>
            </w:r>
            <w:r w:rsidR="00B1011E">
              <w:t xml:space="preserve"> </w:t>
            </w:r>
            <m:oMath>
              <m:r>
                <w:rPr>
                  <w:rFonts w:ascii="Cambria Math" w:hAnsi="Cambria Math"/>
                </w:rPr>
                <m:t>1/N</m:t>
              </m:r>
            </m:oMath>
            <w:r>
              <w:t xml:space="preserve"> to 1, with higher numbers indicating greater concentration, or conversely, lower diversification. While originally devised to measure market concentration, it is applicable to a wide range of distribution-related </w:t>
            </w:r>
            <w:r w:rsidR="00AD7520">
              <w:t>contexts</w:t>
            </w:r>
            <w:r>
              <w:t xml:space="preserve">. </w:t>
            </w:r>
          </w:p>
          <w:p w14:paraId="71816256" w14:textId="365F88FB" w:rsidR="00A333C7" w:rsidRDefault="00C2222F" w:rsidP="008F3F7C">
            <w:pPr>
              <w:pStyle w:val="Box"/>
            </w:pPr>
            <w:r>
              <w:t xml:space="preserve">The HHI is sensitive to </w:t>
            </w:r>
            <m:oMath>
              <m:r>
                <w:rPr>
                  <w:rFonts w:ascii="Cambria Math" w:hAnsi="Cambria Math"/>
                </w:rPr>
                <m:t>N</m:t>
              </m:r>
            </m:oMath>
            <w:r>
              <w:t xml:space="preserve">, with the index tending to be lower as </w:t>
            </w:r>
            <m:oMath>
              <m:r>
                <w:rPr>
                  <w:rFonts w:ascii="Cambria Math" w:hAnsi="Cambria Math"/>
                </w:rPr>
                <m:t>N</m:t>
              </m:r>
            </m:oMath>
            <w:r>
              <w:t xml:space="preserve"> gets bigger.</w:t>
            </w:r>
            <w:r w:rsidR="00B1011E">
              <w:t xml:space="preserve"> </w:t>
            </w:r>
            <w:r>
              <w:t xml:space="preserve">For this report, the </w:t>
            </w:r>
            <w:r w:rsidR="00B1011E">
              <w:t>4</w:t>
            </w:r>
            <w:r>
              <w:t xml:space="preserve">-digit level of the Hamonized System is used, which </w:t>
            </w:r>
            <w:r w:rsidR="00B1011E">
              <w:t>aggregates 5223 products into 1245 categories</w:t>
            </w:r>
            <w:r>
              <w:t xml:space="preserve">. </w:t>
            </w:r>
          </w:p>
          <w:p w14:paraId="0BA67B80" w14:textId="54707C97" w:rsidR="00A333C7" w:rsidRPr="00A035EA" w:rsidRDefault="00A333C7" w:rsidP="00A333C7">
            <w:pPr>
              <w:pStyle w:val="BoxReferences"/>
              <w:rPr>
                <w:b/>
                <w:bCs/>
              </w:rPr>
            </w:pPr>
            <w:r w:rsidRPr="00A035EA">
              <w:rPr>
                <w:b/>
                <w:bCs/>
              </w:rPr>
              <w:t>Reference</w:t>
            </w:r>
          </w:p>
          <w:p w14:paraId="3EC72B85" w14:textId="4C78A471" w:rsidR="00A333C7" w:rsidRDefault="00A333C7" w:rsidP="00937E53">
            <w:pPr>
              <w:pStyle w:val="BoxReferences"/>
              <w:keepNext/>
            </w:pPr>
            <w:r>
              <w:t xml:space="preserve">W. F. </w:t>
            </w:r>
            <w:proofErr w:type="spellStart"/>
            <w:r>
              <w:t>Shughart</w:t>
            </w:r>
            <w:proofErr w:type="spellEnd"/>
            <w:r>
              <w:t>.</w:t>
            </w:r>
            <w:r w:rsidRPr="00601F5B">
              <w:t xml:space="preserve"> </w:t>
            </w:r>
            <w:r>
              <w:t xml:space="preserve">2008. Industrial Concentration. In D. R. Henderson (Ed.), </w:t>
            </w:r>
            <w:r w:rsidR="003B1B51" w:rsidRPr="003B1B51">
              <w:rPr>
                <w:i/>
                <w:iCs/>
              </w:rPr>
              <w:t>Concise Encyclopedia of Economics</w:t>
            </w:r>
            <w:r w:rsidR="003B1B51" w:rsidRPr="003B1B51">
              <w:t>,</w:t>
            </w:r>
            <w:r w:rsidR="003B1B51">
              <w:t xml:space="preserve"> </w:t>
            </w:r>
            <w:r w:rsidR="003B1B51" w:rsidRPr="003B1B51">
              <w:t>2nd ed. Indianapolis</w:t>
            </w:r>
            <w:r w:rsidR="003B1B51">
              <w:t>, IN</w:t>
            </w:r>
            <w:r w:rsidR="003B1B51" w:rsidRPr="003B1B51">
              <w:t>: Library of Economics and Liberty.</w:t>
            </w:r>
          </w:p>
        </w:tc>
      </w:tr>
    </w:tbl>
    <w:p w14:paraId="68D21B96" w14:textId="77777777" w:rsidR="00937E53" w:rsidRDefault="00937E53" w:rsidP="00C2222F"/>
    <w:p w14:paraId="1AEC9341" w14:textId="30C0A04B" w:rsidR="00C2222F" w:rsidRDefault="00000000" w:rsidP="00C2222F">
      <w:fldSimple w:instr=" REF _Ref77687311 ">
        <w:r w:rsidR="00D57A44">
          <w:t xml:space="preserve">Figure </w:t>
        </w:r>
        <w:r w:rsidR="00D57A44">
          <w:rPr>
            <w:noProof/>
            <w:cs/>
          </w:rPr>
          <w:t>‎</w:t>
        </w:r>
        <w:r w:rsidR="00D57A44">
          <w:rPr>
            <w:noProof/>
          </w:rPr>
          <w:t>2</w:t>
        </w:r>
        <w:r w:rsidR="00D57A44">
          <w:t>.</w:t>
        </w:r>
        <w:r w:rsidR="00D57A44">
          <w:rPr>
            <w:noProof/>
          </w:rPr>
          <w:t>5</w:t>
        </w:r>
      </w:fldSimple>
      <w:r w:rsidR="00C2222F">
        <w:t xml:space="preserve"> plots the exports HHI of Pakistan along with, for comparison, its neighbors Bangladesh, India, and Sri Lanka. As a textiles-oriented trader in Asia and the Pacific, Cambodia is included as well. The measures suggest that Pakistan’s exports remain relatively diverse, its HHI going down slightly from 9.1 points to 8.2 points between 2005 and 2019. This is in contrast to two of the most prolific textiles exporters in the world, Bangladesh and Cambodia, though it must be noted that trends for each are going in opposite directions. Bangladesh has by far the most concentrated exports basket, its HHI </w:t>
      </w:r>
      <w:r w:rsidR="00C2222F">
        <w:lastRenderedPageBreak/>
        <w:t xml:space="preserve">leaping from 29.0 points in 2005 to 37.7 points in 2019. While Cambodia began as the most concentrated in the sample, it has since diversified somewhat, achieving an HHI of 17.6 points in 2019, within reach of Sri Lanka’s 14.0 points. Pakistan’s exports, however, remain less diverse than India’s, whose continental size likely helps </w:t>
      </w:r>
      <w:r w:rsidR="0047008E">
        <w:t>sustain</w:t>
      </w:r>
      <w:r w:rsidR="00C2222F">
        <w:t xml:space="preserve"> a wider variety of exports. In 2019, its HHI was only 5.2 points, down from 6.0 points in 2005. </w:t>
      </w:r>
    </w:p>
    <w:p w14:paraId="44B328F2" w14:textId="72205C49" w:rsidR="00C2222F" w:rsidRDefault="00C2222F" w:rsidP="00C2222F">
      <w:pPr>
        <w:pStyle w:val="Caption"/>
      </w:pPr>
      <w:bookmarkStart w:id="15" w:name="_Ref77687311"/>
      <w:bookmarkStart w:id="16" w:name="_Toc83849803"/>
      <w:r>
        <w:t xml:space="preserve">Figure </w:t>
      </w:r>
      <w:fldSimple w:instr=" STYLEREF 1 \s ">
        <w:r w:rsidR="00D57A44">
          <w:rPr>
            <w:noProof/>
            <w:cs/>
          </w:rPr>
          <w:t>‎</w:t>
        </w:r>
        <w:r w:rsidR="00D57A44">
          <w:rPr>
            <w:noProof/>
          </w:rPr>
          <w:t>2</w:t>
        </w:r>
      </w:fldSimple>
      <w:r w:rsidR="003F26C2">
        <w:t>.</w:t>
      </w:r>
      <w:fldSimple w:instr=" SEQ Figure \* ARABIC \s 1 ">
        <w:r w:rsidR="00D57A44">
          <w:rPr>
            <w:noProof/>
          </w:rPr>
          <w:t>5</w:t>
        </w:r>
      </w:fldSimple>
      <w:bookmarkEnd w:id="15"/>
      <w:r>
        <w:t xml:space="preserve">: Merchandise Export </w:t>
      </w:r>
      <w:r w:rsidR="003B5167">
        <w:t>Concentration</w:t>
      </w:r>
      <w:r>
        <w:t xml:space="preserve">, Selected </w:t>
      </w:r>
      <w:r w:rsidR="00A24161">
        <w:t>Countries</w:t>
      </w:r>
      <w:r>
        <w:t xml:space="preserve">, 2005, 2010, 2015, </w:t>
      </w:r>
      <w:bookmarkEnd w:id="16"/>
      <w:r w:rsidR="003B5167">
        <w:t>2021</w:t>
      </w:r>
      <w:r w:rsidR="003B5167">
        <w:rPr>
          <w:noProof/>
        </w:rPr>
        <w:drawing>
          <wp:anchor distT="0" distB="0" distL="114300" distR="114300" simplePos="0" relativeHeight="251715584" behindDoc="0" locked="0" layoutInCell="1" allowOverlap="1" wp14:anchorId="5E815B12" wp14:editId="67F29735">
            <wp:simplePos x="0" y="0"/>
            <wp:positionH relativeFrom="column">
              <wp:posOffset>0</wp:posOffset>
            </wp:positionH>
            <wp:positionV relativeFrom="paragraph">
              <wp:posOffset>210185</wp:posOffset>
            </wp:positionV>
            <wp:extent cx="5731510" cy="3580765"/>
            <wp:effectExtent l="0" t="0" r="0" b="635"/>
            <wp:wrapSquare wrapText="bothSides"/>
            <wp:docPr id="1556173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73023" name="Picture 1556173023"/>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14:sizeRelH relativeFrom="page">
              <wp14:pctWidth>0</wp14:pctWidth>
            </wp14:sizeRelH>
            <wp14:sizeRelV relativeFrom="page">
              <wp14:pctHeight>0</wp14:pctHeight>
            </wp14:sizeRelV>
          </wp:anchor>
        </w:drawing>
      </w:r>
    </w:p>
    <w:p w14:paraId="283694BF" w14:textId="7875E053" w:rsidR="00C2222F" w:rsidRDefault="00C2222F" w:rsidP="00C2222F">
      <w:pPr>
        <w:pStyle w:val="Notes"/>
      </w:pPr>
      <w:r>
        <w:t xml:space="preserve">Notes: </w:t>
      </w:r>
      <w:r>
        <w:tab/>
        <w:t xml:space="preserve">Diversification is measured by the Herfindahl–Hirschman index. </w:t>
      </w:r>
      <w:r w:rsidR="003B5167">
        <w:t xml:space="preserve">A higher index implies more concentration. </w:t>
      </w:r>
      <w:r>
        <w:t xml:space="preserve">Products are disaggregated at the 2-digit level of the Harmonized System, 2002 edition. </w:t>
      </w:r>
    </w:p>
    <w:p w14:paraId="10572540" w14:textId="138A7ADA" w:rsidR="00727C15" w:rsidRDefault="00727C15" w:rsidP="00727C15">
      <w:pPr>
        <w:pStyle w:val="NotesBottom"/>
      </w:pPr>
      <w:r>
        <w:t xml:space="preserve">Sources: </w:t>
      </w:r>
      <w:r>
        <w:tab/>
        <w:t xml:space="preserve">CEPII. </w:t>
      </w:r>
      <w:r w:rsidRPr="005D5E0C">
        <w:t>BACI</w:t>
      </w:r>
      <w:r>
        <w:t xml:space="preserve"> International Trade Database (January 2023). </w:t>
      </w:r>
      <w:r w:rsidRPr="00F36FCF">
        <w:t>http://www.cepii.fr/cepii/en/bdd_modele/presentation.asp?id=37</w:t>
      </w:r>
      <w:r>
        <w:t xml:space="preserve"> (accessed 19 June 2023); Asian Development Bank estimates.</w:t>
      </w:r>
    </w:p>
    <w:p w14:paraId="62F1CFB3" w14:textId="17EDBD91" w:rsidR="003435C3" w:rsidRDefault="00A11901" w:rsidP="004446F6">
      <w:r>
        <w:t>In summary, this chapter has shown that Pakistan has historically experienced uneven growth and remains among the least open economies in the world, even after taking its relatively large size into account. What it does export is dominated by textile products and rice, though a formal measure of concentration suggests that its exports basket is on the whole quite diversified, especially compared with other major textile exporters Bangladesh and Cambodia. Its top trading partners are the United States, Europe, and the People’s Republic of China, though it also sells much of its rice to the Middle East. The only economy for which it is a major market is its northern neighbor Afghanistan.</w:t>
      </w:r>
    </w:p>
    <w:p w14:paraId="168E0FF6" w14:textId="77777777" w:rsidR="003435C3" w:rsidRDefault="003435C3">
      <w:pPr>
        <w:spacing w:after="0" w:line="240" w:lineRule="auto"/>
      </w:pPr>
      <w:r>
        <w:br w:type="page"/>
      </w:r>
    </w:p>
    <w:p w14:paraId="74E52374" w14:textId="77777777" w:rsidR="003435C3" w:rsidRDefault="003435C3" w:rsidP="003435C3">
      <w:pPr>
        <w:pStyle w:val="Heading1"/>
        <w:numPr>
          <w:ilvl w:val="0"/>
          <w:numId w:val="0"/>
        </w:numPr>
      </w:pPr>
      <w:bookmarkStart w:id="17" w:name="_Toc83849795"/>
      <w:r>
        <w:lastRenderedPageBreak/>
        <w:t>References</w:t>
      </w:r>
      <w:bookmarkEnd w:id="17"/>
    </w:p>
    <w:p w14:paraId="7AA92D69" w14:textId="5AD87BFD" w:rsidR="003435C3" w:rsidRDefault="003435C3" w:rsidP="003435C3">
      <w:pPr>
        <w:ind w:left="590" w:hanging="590"/>
      </w:pPr>
      <w:r>
        <w:t xml:space="preserve">Asian Development Bank. 2018. </w:t>
      </w:r>
      <w:r w:rsidRPr="003435C3">
        <w:rPr>
          <w:i/>
          <w:iCs/>
        </w:rPr>
        <w:t>Kazakhstan: Accelerating Economic Diversification</w:t>
      </w:r>
      <w:r>
        <w:t xml:space="preserve">. Mandaluyong City, Philippines: Asian Development Bank. </w:t>
      </w:r>
    </w:p>
    <w:p w14:paraId="18E7AF75" w14:textId="0831D446" w:rsidR="003435C3" w:rsidRDefault="003435C3" w:rsidP="003435C3">
      <w:pPr>
        <w:ind w:left="590" w:hanging="590"/>
      </w:pPr>
      <w:r>
        <w:t xml:space="preserve">R. Davidson and D. </w:t>
      </w:r>
      <w:proofErr w:type="spellStart"/>
      <w:r>
        <w:t>Harel</w:t>
      </w:r>
      <w:proofErr w:type="spellEnd"/>
      <w:r>
        <w:t xml:space="preserve">. 1996. Drawing Graphs Nicely Using Simulated Annealing. </w:t>
      </w:r>
      <w:r w:rsidRPr="003435C3">
        <w:rPr>
          <w:i/>
          <w:iCs/>
        </w:rPr>
        <w:t>ACM Transactions on Graphics</w:t>
      </w:r>
      <w:r>
        <w:t>. 15(4). pp. 301–331.</w:t>
      </w:r>
    </w:p>
    <w:p w14:paraId="08860DE3" w14:textId="77777777" w:rsidR="003435C3" w:rsidRDefault="003435C3" w:rsidP="003435C3">
      <w:pPr>
        <w:ind w:left="590" w:hanging="590"/>
      </w:pPr>
      <w:r>
        <w:t xml:space="preserve">Z. Pavlović. 2003. </w:t>
      </w:r>
      <w:r w:rsidRPr="003435C3">
        <w:rPr>
          <w:i/>
          <w:iCs/>
        </w:rPr>
        <w:t>Kazakhstan</w:t>
      </w:r>
      <w:r>
        <w:t>. New York, NY: Chelsea House.</w:t>
      </w:r>
    </w:p>
    <w:p w14:paraId="6E60F040" w14:textId="61BC19AC" w:rsidR="00C2222F" w:rsidRDefault="003435C3" w:rsidP="003435C3">
      <w:pPr>
        <w:ind w:left="590" w:hanging="590"/>
      </w:pPr>
      <w:r>
        <w:t xml:space="preserve">G. </w:t>
      </w:r>
      <w:proofErr w:type="spellStart"/>
      <w:r>
        <w:t>Azretbergenova</w:t>
      </w:r>
      <w:proofErr w:type="spellEnd"/>
      <w:r>
        <w:t xml:space="preserve"> and A. </w:t>
      </w:r>
      <w:proofErr w:type="spellStart"/>
      <w:r>
        <w:t>Syzdykova</w:t>
      </w:r>
      <w:proofErr w:type="spellEnd"/>
      <w:r>
        <w:t xml:space="preserve">. 2020. The Dependence of the Kazakhstan Economy on the Oil Sector and the Importance of Export Diversification. </w:t>
      </w:r>
      <w:r w:rsidRPr="003435C3">
        <w:rPr>
          <w:i/>
          <w:iCs/>
        </w:rPr>
        <w:t xml:space="preserve">International Journal of Energy Economics and Policy. </w:t>
      </w:r>
      <w:r>
        <w:t>10(6). pp. 157–163.</w:t>
      </w:r>
    </w:p>
    <w:p w14:paraId="4BFF61D7" w14:textId="7A2AD4C5" w:rsidR="003435C3" w:rsidRDefault="003435C3" w:rsidP="003435C3">
      <w:pPr>
        <w:ind w:left="590" w:hanging="590"/>
      </w:pPr>
      <w:r>
        <w:t xml:space="preserve">R. </w:t>
      </w:r>
      <w:r w:rsidRPr="003435C3">
        <w:t>Pomfret</w:t>
      </w:r>
      <w:r>
        <w:t>.</w:t>
      </w:r>
      <w:r w:rsidRPr="003435C3">
        <w:t xml:space="preserve"> 2019. </w:t>
      </w:r>
      <w:r w:rsidRPr="003435C3">
        <w:rPr>
          <w:i/>
          <w:iCs/>
        </w:rPr>
        <w:t xml:space="preserve">The Central Asian </w:t>
      </w:r>
      <w:r>
        <w:rPr>
          <w:i/>
          <w:iCs/>
        </w:rPr>
        <w:t>E</w:t>
      </w:r>
      <w:r w:rsidRPr="003435C3">
        <w:rPr>
          <w:i/>
          <w:iCs/>
        </w:rPr>
        <w:t xml:space="preserve">conomies in the </w:t>
      </w:r>
      <w:r>
        <w:rPr>
          <w:i/>
          <w:iCs/>
        </w:rPr>
        <w:t>T</w:t>
      </w:r>
      <w:r w:rsidRPr="003435C3">
        <w:rPr>
          <w:i/>
          <w:iCs/>
        </w:rPr>
        <w:t>wenty-</w:t>
      </w:r>
      <w:r>
        <w:rPr>
          <w:i/>
          <w:iCs/>
        </w:rPr>
        <w:t>F</w:t>
      </w:r>
      <w:r w:rsidRPr="003435C3">
        <w:rPr>
          <w:i/>
          <w:iCs/>
        </w:rPr>
        <w:t xml:space="preserve">irst </w:t>
      </w:r>
      <w:r>
        <w:rPr>
          <w:i/>
          <w:iCs/>
        </w:rPr>
        <w:t>C</w:t>
      </w:r>
      <w:r w:rsidRPr="003435C3">
        <w:rPr>
          <w:i/>
          <w:iCs/>
        </w:rPr>
        <w:t xml:space="preserve">entury: </w:t>
      </w:r>
      <w:r>
        <w:rPr>
          <w:i/>
          <w:iCs/>
        </w:rPr>
        <w:t>P</w:t>
      </w:r>
      <w:r w:rsidRPr="003435C3">
        <w:rPr>
          <w:i/>
          <w:iCs/>
        </w:rPr>
        <w:t xml:space="preserve">aving a </w:t>
      </w:r>
      <w:r>
        <w:rPr>
          <w:i/>
          <w:iCs/>
        </w:rPr>
        <w:t>N</w:t>
      </w:r>
      <w:r w:rsidRPr="003435C3">
        <w:rPr>
          <w:i/>
          <w:iCs/>
        </w:rPr>
        <w:t xml:space="preserve">ew </w:t>
      </w:r>
      <w:r>
        <w:rPr>
          <w:i/>
          <w:iCs/>
        </w:rPr>
        <w:t>S</w:t>
      </w:r>
      <w:r w:rsidRPr="003435C3">
        <w:rPr>
          <w:i/>
          <w:iCs/>
        </w:rPr>
        <w:t xml:space="preserve">ilk </w:t>
      </w:r>
      <w:r>
        <w:rPr>
          <w:i/>
          <w:iCs/>
        </w:rPr>
        <w:t>R</w:t>
      </w:r>
      <w:r w:rsidRPr="003435C3">
        <w:rPr>
          <w:i/>
          <w:iCs/>
        </w:rPr>
        <w:t>oad</w:t>
      </w:r>
      <w:r w:rsidRPr="003435C3">
        <w:t>. Princeton, NJ: Princeton University Press.</w:t>
      </w:r>
    </w:p>
    <w:p w14:paraId="56AF6C38" w14:textId="5E7BD754" w:rsidR="00255A71" w:rsidRDefault="00255A71" w:rsidP="00255A71">
      <w:pPr>
        <w:ind w:left="590" w:hanging="590"/>
      </w:pPr>
      <w:r>
        <w:t xml:space="preserve">D. </w:t>
      </w:r>
      <w:proofErr w:type="spellStart"/>
      <w:r>
        <w:t>Fickling</w:t>
      </w:r>
      <w:proofErr w:type="spellEnd"/>
      <w:r>
        <w:t xml:space="preserve">. 2022, September 29. </w:t>
      </w:r>
      <w:r>
        <w:t>Peak Oil Has Finally Arrived. No, Really</w:t>
      </w:r>
      <w:r>
        <w:t xml:space="preserve">. </w:t>
      </w:r>
      <w:r>
        <w:rPr>
          <w:i/>
          <w:iCs/>
        </w:rPr>
        <w:t>Bloomberg</w:t>
      </w:r>
      <w:r>
        <w:t xml:space="preserve">. </w:t>
      </w:r>
      <w:r w:rsidRPr="00255A71">
        <w:t>https://www.bloomberg.com/opinion/articles/2022-09-28/the-oil-peak-is-here-as-steep-rate-hikes-curb-consumption</w:t>
      </w:r>
      <w:r w:rsidRPr="00255A71">
        <w:t xml:space="preserve"> </w:t>
      </w:r>
      <w:r>
        <w:t>(accessed 27 June 2023).</w:t>
      </w:r>
    </w:p>
    <w:p w14:paraId="5CDF5ECA" w14:textId="77777777" w:rsidR="003435C3" w:rsidRDefault="003435C3" w:rsidP="003435C3">
      <w:pPr>
        <w:ind w:left="590" w:hanging="590"/>
      </w:pPr>
    </w:p>
    <w:sectPr w:rsidR="003435C3" w:rsidSect="00A63B35">
      <w:footerReference w:type="even"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68849" w14:textId="77777777" w:rsidR="00F14933" w:rsidRDefault="00F14933" w:rsidP="000A7ABA">
      <w:r>
        <w:separator/>
      </w:r>
    </w:p>
  </w:endnote>
  <w:endnote w:type="continuationSeparator" w:id="0">
    <w:p w14:paraId="28C4D8CF" w14:textId="77777777" w:rsidR="00F14933" w:rsidRDefault="00F14933" w:rsidP="000A7ABA">
      <w:r>
        <w:continuationSeparator/>
      </w:r>
    </w:p>
  </w:endnote>
  <w:endnote w:type="continuationNotice" w:id="1">
    <w:p w14:paraId="79DEDAA8" w14:textId="77777777" w:rsidR="00F14933" w:rsidRDefault="00F14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deal Sans Light">
    <w:altName w:val="Calibri"/>
    <w:panose1 w:val="020B0604020202020204"/>
    <w:charset w:val="00"/>
    <w:family w:val="modern"/>
    <w:notTrueType/>
    <w:pitch w:val="variable"/>
    <w:sig w:usb0="A10000FF" w:usb1="5000005B"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447322"/>
      <w:docPartObj>
        <w:docPartGallery w:val="Page Numbers (Bottom of Page)"/>
        <w:docPartUnique/>
      </w:docPartObj>
    </w:sdtPr>
    <w:sdtContent>
      <w:p w14:paraId="2746F20B" w14:textId="77777777" w:rsidR="00A30642" w:rsidRDefault="00A30642" w:rsidP="00DC58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C04977" w14:textId="77777777" w:rsidR="00A30642" w:rsidRDefault="00A30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8618"/>
      <w:docPartObj>
        <w:docPartGallery w:val="Page Numbers (Bottom of Page)"/>
        <w:docPartUnique/>
      </w:docPartObj>
    </w:sdtPr>
    <w:sdtContent>
      <w:p w14:paraId="67E1F321" w14:textId="77777777" w:rsidR="00A30642" w:rsidRDefault="00A30642" w:rsidP="00DC58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39252F" w14:textId="77777777" w:rsidR="00A30642" w:rsidRDefault="00A3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B12C" w14:textId="77777777" w:rsidR="00F14933" w:rsidRDefault="00F14933" w:rsidP="000A7ABA">
      <w:r>
        <w:separator/>
      </w:r>
    </w:p>
  </w:footnote>
  <w:footnote w:type="continuationSeparator" w:id="0">
    <w:p w14:paraId="5B954C1C" w14:textId="77777777" w:rsidR="00F14933" w:rsidRDefault="00F14933" w:rsidP="000A7ABA">
      <w:r>
        <w:continuationSeparator/>
      </w:r>
    </w:p>
  </w:footnote>
  <w:footnote w:type="continuationNotice" w:id="1">
    <w:p w14:paraId="50B6C618" w14:textId="77777777" w:rsidR="00F14933" w:rsidRDefault="00F14933"/>
  </w:footnote>
  <w:footnote w:id="2">
    <w:p w14:paraId="5DA31E3A" w14:textId="40DC9579" w:rsidR="0069584D" w:rsidRDefault="0069584D" w:rsidP="0069584D">
      <w:pPr>
        <w:pStyle w:val="FootnoteText"/>
      </w:pPr>
      <w:r>
        <w:rPr>
          <w:rStyle w:val="FootnoteReference"/>
        </w:rPr>
        <w:footnoteRef/>
      </w:r>
      <w:r>
        <w:t xml:space="preserve"> World Bank. </w:t>
      </w:r>
      <w:r w:rsidRPr="0069584D">
        <w:t>https://datahelpdesk.worldbank.org/knowledgebase/articles/906519-world-bank-country-and-lending-groups</w:t>
      </w:r>
      <w:r>
        <w:t xml:space="preserve"> (accessed 19 June 2023).</w:t>
      </w:r>
    </w:p>
  </w:footnote>
  <w:footnote w:id="3">
    <w:p w14:paraId="1552FA99" w14:textId="09AB0FCA" w:rsidR="00B1011E" w:rsidRDefault="00B1011E">
      <w:pPr>
        <w:pStyle w:val="FootnoteText"/>
      </w:pPr>
      <w:r>
        <w:rPr>
          <w:rStyle w:val="FootnoteReference"/>
        </w:rPr>
        <w:footnoteRef/>
      </w:r>
      <w:r>
        <w:t xml:space="preserve"> United Nations. Human Development Index. </w:t>
      </w:r>
      <w:r w:rsidRPr="00B1011E">
        <w:t>https://hdr.undp.org/data-center/human-development-index#/indicies/HDI</w:t>
      </w:r>
      <w:r>
        <w:t xml:space="preserve"> (accessed 22 June 2023).</w:t>
      </w:r>
    </w:p>
  </w:footnote>
  <w:footnote w:id="4">
    <w:p w14:paraId="6791C863" w14:textId="77777777" w:rsidR="002F176A" w:rsidRDefault="002F176A" w:rsidP="002F176A">
      <w:pPr>
        <w:pStyle w:val="FootnoteText"/>
      </w:pPr>
      <w:r>
        <w:rPr>
          <w:rStyle w:val="FootnoteReference"/>
        </w:rPr>
        <w:footnoteRef/>
      </w:r>
      <w:r>
        <w:t xml:space="preserve"> BP. </w:t>
      </w:r>
      <w:r w:rsidRPr="003435C3">
        <w:rPr>
          <w:i/>
          <w:iCs/>
        </w:rPr>
        <w:t>Statistical Review of World Energy</w:t>
      </w:r>
      <w:r>
        <w:t xml:space="preserve"> </w:t>
      </w:r>
      <w:r w:rsidRPr="002F176A">
        <w:rPr>
          <w:i/>
          <w:iCs/>
        </w:rPr>
        <w:t>2022</w:t>
      </w:r>
      <w:r>
        <w:t xml:space="preserve">. </w:t>
      </w:r>
      <w:r w:rsidRPr="003435C3">
        <w:t>https://www.bp.com/en/global/corporate/energy-economics/statistical-review-of-world-energy/downloads.html</w:t>
      </w:r>
      <w:r>
        <w:t xml:space="preserve"> (accessed 21 June 2023).</w:t>
      </w:r>
    </w:p>
  </w:footnote>
  <w:footnote w:id="5">
    <w:p w14:paraId="0BFE5B26" w14:textId="1A42E563" w:rsidR="002F176A" w:rsidRDefault="002F176A">
      <w:pPr>
        <w:pStyle w:val="FootnoteText"/>
      </w:pPr>
      <w:r>
        <w:rPr>
          <w:rStyle w:val="FootnoteReference"/>
        </w:rPr>
        <w:footnoteRef/>
      </w:r>
      <w:r>
        <w:t xml:space="preserve"> World Bank. World Development Indicators (May 2023). </w:t>
      </w:r>
      <w:r w:rsidRPr="002F176A">
        <w:t>https://data.worldbank.org/indicator/NY.GDP.MKTP.KN</w:t>
      </w:r>
      <w:r>
        <w:t xml:space="preserve"> (accessed 21 June 2023).</w:t>
      </w:r>
    </w:p>
  </w:footnote>
  <w:footnote w:id="6">
    <w:p w14:paraId="058E2A37" w14:textId="77777777" w:rsidR="00C82416" w:rsidRDefault="00C82416" w:rsidP="00C82416">
      <w:pPr>
        <w:pStyle w:val="FootnoteText"/>
      </w:pPr>
      <w:r>
        <w:rPr>
          <w:rStyle w:val="FootnoteReference"/>
        </w:rPr>
        <w:footnoteRef/>
      </w:r>
      <w:r>
        <w:t xml:space="preserve"> BP. </w:t>
      </w:r>
      <w:r w:rsidRPr="003435C3">
        <w:rPr>
          <w:i/>
          <w:iCs/>
        </w:rPr>
        <w:t>Statistical Review of World Energy</w:t>
      </w:r>
      <w:r>
        <w:t xml:space="preserve"> </w:t>
      </w:r>
      <w:r w:rsidRPr="002F176A">
        <w:rPr>
          <w:i/>
          <w:iCs/>
        </w:rPr>
        <w:t>2022</w:t>
      </w:r>
      <w:r>
        <w:t xml:space="preserve">. </w:t>
      </w:r>
      <w:r w:rsidRPr="003435C3">
        <w:t>https://www.bp.com/en/global/corporate/energy-economics/statistical-review-of-world-energy/downloads.html</w:t>
      </w:r>
      <w:r>
        <w:t xml:space="preserve"> (accessed 21 June 2023).</w:t>
      </w:r>
    </w:p>
  </w:footnote>
  <w:footnote w:id="7">
    <w:p w14:paraId="4D956793" w14:textId="77777777" w:rsidR="003B049C" w:rsidRDefault="003B049C" w:rsidP="003B049C">
      <w:pPr>
        <w:pStyle w:val="FootnoteText"/>
      </w:pPr>
      <w:r>
        <w:rPr>
          <w:rStyle w:val="FootnoteReference"/>
        </w:rPr>
        <w:footnoteRef/>
      </w:r>
      <w:r>
        <w:t xml:space="preserve"> BP. </w:t>
      </w:r>
      <w:r w:rsidRPr="003435C3">
        <w:rPr>
          <w:i/>
          <w:iCs/>
        </w:rPr>
        <w:t>Statistical Review of World Energy</w:t>
      </w:r>
      <w:r>
        <w:t xml:space="preserve"> </w:t>
      </w:r>
      <w:r w:rsidRPr="002F176A">
        <w:rPr>
          <w:i/>
          <w:iCs/>
        </w:rPr>
        <w:t>2022</w:t>
      </w:r>
      <w:r>
        <w:t xml:space="preserve">. </w:t>
      </w:r>
      <w:r w:rsidRPr="003435C3">
        <w:t>https://www.bp.com/en/global/corporate/energy-economics/statistical-review-of-world-energy/downloads.html</w:t>
      </w:r>
      <w:r>
        <w:t xml:space="preserve"> (accessed 21 June 2023).</w:t>
      </w:r>
    </w:p>
  </w:footnote>
  <w:footnote w:id="8">
    <w:p w14:paraId="3D6FC3C8" w14:textId="77777777" w:rsidR="00523AE1" w:rsidRDefault="00523AE1" w:rsidP="00523AE1">
      <w:pPr>
        <w:pStyle w:val="FootnoteText"/>
      </w:pPr>
      <w:r>
        <w:rPr>
          <w:rStyle w:val="FootnoteReference"/>
        </w:rPr>
        <w:footnoteRef/>
      </w:r>
      <w:r>
        <w:t xml:space="preserve"> BP. </w:t>
      </w:r>
      <w:r w:rsidRPr="003435C3">
        <w:rPr>
          <w:i/>
          <w:iCs/>
        </w:rPr>
        <w:t>Statistical Review of World Energy</w:t>
      </w:r>
      <w:r>
        <w:t xml:space="preserve"> </w:t>
      </w:r>
      <w:r w:rsidRPr="002F176A">
        <w:rPr>
          <w:i/>
          <w:iCs/>
        </w:rPr>
        <w:t>2022</w:t>
      </w:r>
      <w:r>
        <w:t xml:space="preserve">. </w:t>
      </w:r>
      <w:r w:rsidRPr="003435C3">
        <w:t>https://www.bp.com/en/global/corporate/energy-economics/statistical-review-of-world-energy/downloads.html</w:t>
      </w:r>
      <w:r>
        <w:t xml:space="preserve"> (accessed 21 June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125042"/>
    <w:lvl w:ilvl="0">
      <w:start w:val="1"/>
      <w:numFmt w:val="decimal"/>
      <w:pStyle w:val="ListNumber"/>
      <w:lvlText w:val="%1."/>
      <w:lvlJc w:val="left"/>
      <w:pPr>
        <w:tabs>
          <w:tab w:val="num" w:pos="360"/>
        </w:tabs>
        <w:ind w:left="360" w:hanging="360"/>
      </w:pPr>
    </w:lvl>
  </w:abstractNum>
  <w:abstractNum w:abstractNumId="1" w15:restartNumberingAfterBreak="0">
    <w:nsid w:val="027C0998"/>
    <w:multiLevelType w:val="hybridMultilevel"/>
    <w:tmpl w:val="76F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F03B5"/>
    <w:multiLevelType w:val="hybridMultilevel"/>
    <w:tmpl w:val="B75A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115E"/>
    <w:multiLevelType w:val="hybridMultilevel"/>
    <w:tmpl w:val="6FCE8FCE"/>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7CC4EC1"/>
    <w:multiLevelType w:val="hybridMultilevel"/>
    <w:tmpl w:val="F2A0AF68"/>
    <w:lvl w:ilvl="0" w:tplc="F0E8944E">
      <w:start w:val="1"/>
      <w:numFmt w:val="decimal"/>
      <w:lvlText w:val="%1"/>
      <w:lvlJc w:val="left"/>
      <w:pPr>
        <w:ind w:left="1220" w:hanging="8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0724B"/>
    <w:multiLevelType w:val="hybridMultilevel"/>
    <w:tmpl w:val="FD3CA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DF1E97"/>
    <w:multiLevelType w:val="hybridMultilevel"/>
    <w:tmpl w:val="573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2464"/>
    <w:multiLevelType w:val="hybridMultilevel"/>
    <w:tmpl w:val="BDA27C0E"/>
    <w:lvl w:ilvl="0" w:tplc="4314C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B5594"/>
    <w:multiLevelType w:val="hybridMultilevel"/>
    <w:tmpl w:val="3118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C6768"/>
    <w:multiLevelType w:val="multilevel"/>
    <w:tmpl w:val="3FFE5F8A"/>
    <w:styleLink w:val="CurrentList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3E54D3"/>
    <w:multiLevelType w:val="hybridMultilevel"/>
    <w:tmpl w:val="A402481A"/>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757DEB"/>
    <w:multiLevelType w:val="multilevel"/>
    <w:tmpl w:val="573E5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432"/>
    <w:multiLevelType w:val="hybridMultilevel"/>
    <w:tmpl w:val="DBE8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14A73"/>
    <w:multiLevelType w:val="hybridMultilevel"/>
    <w:tmpl w:val="D66C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D6A74"/>
    <w:multiLevelType w:val="hybridMultilevel"/>
    <w:tmpl w:val="C85E5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2624A"/>
    <w:multiLevelType w:val="hybridMultilevel"/>
    <w:tmpl w:val="DCE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020E7"/>
    <w:multiLevelType w:val="multilevel"/>
    <w:tmpl w:val="58B6A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FF0B2C"/>
    <w:multiLevelType w:val="hybridMultilevel"/>
    <w:tmpl w:val="823CC6F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B443016"/>
    <w:multiLevelType w:val="multilevel"/>
    <w:tmpl w:val="B0227708"/>
    <w:lvl w:ilvl="0">
      <w:start w:val="1"/>
      <w:numFmt w:val="decimal"/>
      <w:pStyle w:val="Heading1"/>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AB5A8B"/>
    <w:multiLevelType w:val="hybridMultilevel"/>
    <w:tmpl w:val="3DA2C5B4"/>
    <w:lvl w:ilvl="0" w:tplc="434C4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76862"/>
    <w:multiLevelType w:val="multilevel"/>
    <w:tmpl w:val="0A1C20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423E95"/>
    <w:multiLevelType w:val="hybridMultilevel"/>
    <w:tmpl w:val="2C2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F6C48"/>
    <w:multiLevelType w:val="hybridMultilevel"/>
    <w:tmpl w:val="1D8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A6A5B"/>
    <w:multiLevelType w:val="hybridMultilevel"/>
    <w:tmpl w:val="3B209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E2C45"/>
    <w:multiLevelType w:val="hybridMultilevel"/>
    <w:tmpl w:val="0AD4A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CBD4D6B"/>
    <w:multiLevelType w:val="multilevel"/>
    <w:tmpl w:val="1B88AC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E97953"/>
    <w:multiLevelType w:val="hybridMultilevel"/>
    <w:tmpl w:val="8D8A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0318E"/>
    <w:multiLevelType w:val="hybridMultilevel"/>
    <w:tmpl w:val="B83E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4075A"/>
    <w:multiLevelType w:val="multilevel"/>
    <w:tmpl w:val="8FA41C24"/>
    <w:styleLink w:val="CurrentList2"/>
    <w:lvl w:ilvl="0">
      <w:start w:val="1"/>
      <w:numFmt w:val="decimal"/>
      <w:lvlText w:val="%1"/>
      <w:lvlJc w:val="left"/>
      <w:pPr>
        <w:tabs>
          <w:tab w:val="num" w:pos="851"/>
        </w:tabs>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0347FE"/>
    <w:multiLevelType w:val="hybridMultilevel"/>
    <w:tmpl w:val="D836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D676D"/>
    <w:multiLevelType w:val="hybridMultilevel"/>
    <w:tmpl w:val="60A62354"/>
    <w:lvl w:ilvl="0" w:tplc="D02EFAC6">
      <w:start w:val="1"/>
      <w:numFmt w:val="decimal"/>
      <w:lvlText w:val="%1."/>
      <w:lvlJc w:val="left"/>
      <w:pPr>
        <w:ind w:left="720" w:hanging="360"/>
      </w:pPr>
      <w:rPr>
        <w:rFonts w:ascii="Calibri" w:hAnsi="Calibri" w:cs="Calibr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427D3"/>
    <w:multiLevelType w:val="hybridMultilevel"/>
    <w:tmpl w:val="ECD2F28A"/>
    <w:lvl w:ilvl="0" w:tplc="0409000F">
      <w:start w:val="1"/>
      <w:numFmt w:val="decimal"/>
      <w:lvlText w:val="%1."/>
      <w:lvlJc w:val="left"/>
      <w:pPr>
        <w:ind w:left="3659" w:hanging="360"/>
      </w:pPr>
    </w:lvl>
    <w:lvl w:ilvl="1" w:tplc="04090019" w:tentative="1">
      <w:start w:val="1"/>
      <w:numFmt w:val="lowerLetter"/>
      <w:lvlText w:val="%2."/>
      <w:lvlJc w:val="left"/>
      <w:pPr>
        <w:ind w:left="4379" w:hanging="360"/>
      </w:pPr>
    </w:lvl>
    <w:lvl w:ilvl="2" w:tplc="0409001B" w:tentative="1">
      <w:start w:val="1"/>
      <w:numFmt w:val="lowerRoman"/>
      <w:lvlText w:val="%3."/>
      <w:lvlJc w:val="right"/>
      <w:pPr>
        <w:ind w:left="5099" w:hanging="180"/>
      </w:pPr>
    </w:lvl>
    <w:lvl w:ilvl="3" w:tplc="0409000F" w:tentative="1">
      <w:start w:val="1"/>
      <w:numFmt w:val="decimal"/>
      <w:lvlText w:val="%4."/>
      <w:lvlJc w:val="left"/>
      <w:pPr>
        <w:ind w:left="5819" w:hanging="360"/>
      </w:pPr>
    </w:lvl>
    <w:lvl w:ilvl="4" w:tplc="04090019" w:tentative="1">
      <w:start w:val="1"/>
      <w:numFmt w:val="lowerLetter"/>
      <w:lvlText w:val="%5."/>
      <w:lvlJc w:val="left"/>
      <w:pPr>
        <w:ind w:left="6539" w:hanging="360"/>
      </w:pPr>
    </w:lvl>
    <w:lvl w:ilvl="5" w:tplc="0409001B" w:tentative="1">
      <w:start w:val="1"/>
      <w:numFmt w:val="lowerRoman"/>
      <w:lvlText w:val="%6."/>
      <w:lvlJc w:val="right"/>
      <w:pPr>
        <w:ind w:left="7259" w:hanging="180"/>
      </w:pPr>
    </w:lvl>
    <w:lvl w:ilvl="6" w:tplc="0409000F" w:tentative="1">
      <w:start w:val="1"/>
      <w:numFmt w:val="decimal"/>
      <w:lvlText w:val="%7."/>
      <w:lvlJc w:val="left"/>
      <w:pPr>
        <w:ind w:left="7979" w:hanging="360"/>
      </w:pPr>
    </w:lvl>
    <w:lvl w:ilvl="7" w:tplc="04090019" w:tentative="1">
      <w:start w:val="1"/>
      <w:numFmt w:val="lowerLetter"/>
      <w:lvlText w:val="%8."/>
      <w:lvlJc w:val="left"/>
      <w:pPr>
        <w:ind w:left="8699" w:hanging="360"/>
      </w:pPr>
    </w:lvl>
    <w:lvl w:ilvl="8" w:tplc="0409001B" w:tentative="1">
      <w:start w:val="1"/>
      <w:numFmt w:val="lowerRoman"/>
      <w:lvlText w:val="%9."/>
      <w:lvlJc w:val="right"/>
      <w:pPr>
        <w:ind w:left="9419" w:hanging="180"/>
      </w:pPr>
    </w:lvl>
  </w:abstractNum>
  <w:num w:numId="1" w16cid:durableId="439759992">
    <w:abstractNumId w:val="19"/>
  </w:num>
  <w:num w:numId="2" w16cid:durableId="1445341091">
    <w:abstractNumId w:val="3"/>
  </w:num>
  <w:num w:numId="3" w16cid:durableId="85737">
    <w:abstractNumId w:val="10"/>
  </w:num>
  <w:num w:numId="4" w16cid:durableId="1566724953">
    <w:abstractNumId w:val="17"/>
  </w:num>
  <w:num w:numId="5" w16cid:durableId="483089949">
    <w:abstractNumId w:val="5"/>
  </w:num>
  <w:num w:numId="6" w16cid:durableId="288248275">
    <w:abstractNumId w:val="25"/>
  </w:num>
  <w:num w:numId="7" w16cid:durableId="2001813730">
    <w:abstractNumId w:val="20"/>
  </w:num>
  <w:num w:numId="8" w16cid:durableId="1037850523">
    <w:abstractNumId w:val="24"/>
  </w:num>
  <w:num w:numId="9" w16cid:durableId="1310597022">
    <w:abstractNumId w:val="27"/>
  </w:num>
  <w:num w:numId="10" w16cid:durableId="901064783">
    <w:abstractNumId w:val="8"/>
  </w:num>
  <w:num w:numId="11" w16cid:durableId="540944036">
    <w:abstractNumId w:val="14"/>
  </w:num>
  <w:num w:numId="12" w16cid:durableId="747265315">
    <w:abstractNumId w:val="16"/>
  </w:num>
  <w:num w:numId="13" w16cid:durableId="1529368552">
    <w:abstractNumId w:val="29"/>
  </w:num>
  <w:num w:numId="14" w16cid:durableId="1041058975">
    <w:abstractNumId w:val="7"/>
  </w:num>
  <w:num w:numId="15" w16cid:durableId="554705162">
    <w:abstractNumId w:val="21"/>
  </w:num>
  <w:num w:numId="16" w16cid:durableId="1322820">
    <w:abstractNumId w:val="4"/>
  </w:num>
  <w:num w:numId="17" w16cid:durableId="1278833214">
    <w:abstractNumId w:val="23"/>
  </w:num>
  <w:num w:numId="18" w16cid:durableId="1804422603">
    <w:abstractNumId w:val="6"/>
  </w:num>
  <w:num w:numId="19" w16cid:durableId="1374378834">
    <w:abstractNumId w:val="12"/>
  </w:num>
  <w:num w:numId="20" w16cid:durableId="1966545675">
    <w:abstractNumId w:val="26"/>
  </w:num>
  <w:num w:numId="21" w16cid:durableId="729576644">
    <w:abstractNumId w:val="11"/>
  </w:num>
  <w:num w:numId="22" w16cid:durableId="599140296">
    <w:abstractNumId w:val="15"/>
  </w:num>
  <w:num w:numId="23" w16cid:durableId="1418282729">
    <w:abstractNumId w:val="2"/>
  </w:num>
  <w:num w:numId="24" w16cid:durableId="272397784">
    <w:abstractNumId w:val="18"/>
  </w:num>
  <w:num w:numId="25" w16cid:durableId="8484314">
    <w:abstractNumId w:val="1"/>
  </w:num>
  <w:num w:numId="26" w16cid:durableId="1160657081">
    <w:abstractNumId w:val="9"/>
  </w:num>
  <w:num w:numId="27" w16cid:durableId="2080899915">
    <w:abstractNumId w:val="28"/>
  </w:num>
  <w:num w:numId="28" w16cid:durableId="933823195">
    <w:abstractNumId w:val="13"/>
  </w:num>
  <w:num w:numId="29" w16cid:durableId="249974936">
    <w:abstractNumId w:val="31"/>
  </w:num>
  <w:num w:numId="30" w16cid:durableId="1314259968">
    <w:abstractNumId w:val="30"/>
  </w:num>
  <w:num w:numId="31" w16cid:durableId="213351045">
    <w:abstractNumId w:val="0"/>
  </w:num>
  <w:num w:numId="32" w16cid:durableId="4799300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7A"/>
    <w:rsid w:val="000000F5"/>
    <w:rsid w:val="00000196"/>
    <w:rsid w:val="000004D7"/>
    <w:rsid w:val="000005A8"/>
    <w:rsid w:val="000005F2"/>
    <w:rsid w:val="00000DAC"/>
    <w:rsid w:val="00000DCD"/>
    <w:rsid w:val="00000E00"/>
    <w:rsid w:val="00001050"/>
    <w:rsid w:val="000013EA"/>
    <w:rsid w:val="000017F2"/>
    <w:rsid w:val="00002AAD"/>
    <w:rsid w:val="00002ADC"/>
    <w:rsid w:val="00002B93"/>
    <w:rsid w:val="00002CE1"/>
    <w:rsid w:val="0000397F"/>
    <w:rsid w:val="00003FC4"/>
    <w:rsid w:val="0000608E"/>
    <w:rsid w:val="0000766B"/>
    <w:rsid w:val="0000796E"/>
    <w:rsid w:val="00007BAF"/>
    <w:rsid w:val="00007D5C"/>
    <w:rsid w:val="00007ED2"/>
    <w:rsid w:val="000101F4"/>
    <w:rsid w:val="00010AEE"/>
    <w:rsid w:val="00010CAE"/>
    <w:rsid w:val="00010D98"/>
    <w:rsid w:val="000110DA"/>
    <w:rsid w:val="00011203"/>
    <w:rsid w:val="0001134B"/>
    <w:rsid w:val="0001193B"/>
    <w:rsid w:val="00011BEC"/>
    <w:rsid w:val="000131B6"/>
    <w:rsid w:val="00013F74"/>
    <w:rsid w:val="0001540C"/>
    <w:rsid w:val="000160F3"/>
    <w:rsid w:val="000160FD"/>
    <w:rsid w:val="0001677E"/>
    <w:rsid w:val="0001728D"/>
    <w:rsid w:val="00017557"/>
    <w:rsid w:val="000177AD"/>
    <w:rsid w:val="00017DB6"/>
    <w:rsid w:val="00017EDF"/>
    <w:rsid w:val="00020686"/>
    <w:rsid w:val="00020C57"/>
    <w:rsid w:val="00021141"/>
    <w:rsid w:val="0002125D"/>
    <w:rsid w:val="000217B1"/>
    <w:rsid w:val="00021866"/>
    <w:rsid w:val="0002189C"/>
    <w:rsid w:val="00021B40"/>
    <w:rsid w:val="0002331E"/>
    <w:rsid w:val="0002345A"/>
    <w:rsid w:val="00023C21"/>
    <w:rsid w:val="00023FB5"/>
    <w:rsid w:val="000243D1"/>
    <w:rsid w:val="000247A3"/>
    <w:rsid w:val="00024C31"/>
    <w:rsid w:val="000250BF"/>
    <w:rsid w:val="00025187"/>
    <w:rsid w:val="00025264"/>
    <w:rsid w:val="000254D0"/>
    <w:rsid w:val="0002553E"/>
    <w:rsid w:val="00025F26"/>
    <w:rsid w:val="00026248"/>
    <w:rsid w:val="000262BD"/>
    <w:rsid w:val="00027431"/>
    <w:rsid w:val="00027486"/>
    <w:rsid w:val="00027622"/>
    <w:rsid w:val="00027846"/>
    <w:rsid w:val="000304F5"/>
    <w:rsid w:val="0003083A"/>
    <w:rsid w:val="000309EA"/>
    <w:rsid w:val="00030B5C"/>
    <w:rsid w:val="00030EFA"/>
    <w:rsid w:val="0003188A"/>
    <w:rsid w:val="00031B87"/>
    <w:rsid w:val="00031EA7"/>
    <w:rsid w:val="00032004"/>
    <w:rsid w:val="0003387E"/>
    <w:rsid w:val="00033FEA"/>
    <w:rsid w:val="00034079"/>
    <w:rsid w:val="000341E1"/>
    <w:rsid w:val="00034F98"/>
    <w:rsid w:val="000350BD"/>
    <w:rsid w:val="000350CE"/>
    <w:rsid w:val="000353D2"/>
    <w:rsid w:val="00036339"/>
    <w:rsid w:val="00036524"/>
    <w:rsid w:val="00036543"/>
    <w:rsid w:val="0003665A"/>
    <w:rsid w:val="00036A8C"/>
    <w:rsid w:val="0003717F"/>
    <w:rsid w:val="00037742"/>
    <w:rsid w:val="00037A11"/>
    <w:rsid w:val="00037BFD"/>
    <w:rsid w:val="0004043F"/>
    <w:rsid w:val="0004050E"/>
    <w:rsid w:val="0004079F"/>
    <w:rsid w:val="000408E3"/>
    <w:rsid w:val="00040971"/>
    <w:rsid w:val="00041076"/>
    <w:rsid w:val="00041D3F"/>
    <w:rsid w:val="0004227A"/>
    <w:rsid w:val="0004229A"/>
    <w:rsid w:val="0004299D"/>
    <w:rsid w:val="00043CA9"/>
    <w:rsid w:val="00043DF2"/>
    <w:rsid w:val="00044141"/>
    <w:rsid w:val="0004435B"/>
    <w:rsid w:val="000444B4"/>
    <w:rsid w:val="00044F8C"/>
    <w:rsid w:val="00046A9A"/>
    <w:rsid w:val="00046B0E"/>
    <w:rsid w:val="00047374"/>
    <w:rsid w:val="0004750C"/>
    <w:rsid w:val="00047B0C"/>
    <w:rsid w:val="00047B44"/>
    <w:rsid w:val="00051419"/>
    <w:rsid w:val="000514DD"/>
    <w:rsid w:val="00051658"/>
    <w:rsid w:val="00052A9C"/>
    <w:rsid w:val="000534D7"/>
    <w:rsid w:val="00053812"/>
    <w:rsid w:val="000539A9"/>
    <w:rsid w:val="000539C6"/>
    <w:rsid w:val="00053BD2"/>
    <w:rsid w:val="00054551"/>
    <w:rsid w:val="00054572"/>
    <w:rsid w:val="00054A1A"/>
    <w:rsid w:val="0005564D"/>
    <w:rsid w:val="00055CC1"/>
    <w:rsid w:val="0005626B"/>
    <w:rsid w:val="00056690"/>
    <w:rsid w:val="00056F95"/>
    <w:rsid w:val="00057296"/>
    <w:rsid w:val="0005757A"/>
    <w:rsid w:val="00060952"/>
    <w:rsid w:val="00060E24"/>
    <w:rsid w:val="00060F0C"/>
    <w:rsid w:val="0006145D"/>
    <w:rsid w:val="00061E17"/>
    <w:rsid w:val="00062A98"/>
    <w:rsid w:val="00063182"/>
    <w:rsid w:val="00063602"/>
    <w:rsid w:val="0006393C"/>
    <w:rsid w:val="00063D73"/>
    <w:rsid w:val="00063F7D"/>
    <w:rsid w:val="0006472C"/>
    <w:rsid w:val="00064C79"/>
    <w:rsid w:val="00064E13"/>
    <w:rsid w:val="00065C42"/>
    <w:rsid w:val="00067091"/>
    <w:rsid w:val="00067456"/>
    <w:rsid w:val="00067C43"/>
    <w:rsid w:val="000713D7"/>
    <w:rsid w:val="00071542"/>
    <w:rsid w:val="00072A58"/>
    <w:rsid w:val="00072F3F"/>
    <w:rsid w:val="0007311A"/>
    <w:rsid w:val="00073285"/>
    <w:rsid w:val="000734C2"/>
    <w:rsid w:val="00073564"/>
    <w:rsid w:val="000750EA"/>
    <w:rsid w:val="00075CC4"/>
    <w:rsid w:val="00076330"/>
    <w:rsid w:val="00076620"/>
    <w:rsid w:val="00076BAB"/>
    <w:rsid w:val="00076CB8"/>
    <w:rsid w:val="00076E5C"/>
    <w:rsid w:val="0007704B"/>
    <w:rsid w:val="00077604"/>
    <w:rsid w:val="000779E8"/>
    <w:rsid w:val="00077F0A"/>
    <w:rsid w:val="000807A4"/>
    <w:rsid w:val="00080D88"/>
    <w:rsid w:val="000811CF"/>
    <w:rsid w:val="000814AB"/>
    <w:rsid w:val="00082183"/>
    <w:rsid w:val="00083AC8"/>
    <w:rsid w:val="00084453"/>
    <w:rsid w:val="000850CB"/>
    <w:rsid w:val="00085266"/>
    <w:rsid w:val="000853A4"/>
    <w:rsid w:val="00085541"/>
    <w:rsid w:val="000855D6"/>
    <w:rsid w:val="00085886"/>
    <w:rsid w:val="00085CAB"/>
    <w:rsid w:val="000864A9"/>
    <w:rsid w:val="00086D94"/>
    <w:rsid w:val="0008717E"/>
    <w:rsid w:val="0009024D"/>
    <w:rsid w:val="0009054A"/>
    <w:rsid w:val="000907BE"/>
    <w:rsid w:val="0009141D"/>
    <w:rsid w:val="00091E82"/>
    <w:rsid w:val="00092111"/>
    <w:rsid w:val="00092569"/>
    <w:rsid w:val="000928DE"/>
    <w:rsid w:val="00093232"/>
    <w:rsid w:val="00093686"/>
    <w:rsid w:val="00094052"/>
    <w:rsid w:val="000948CC"/>
    <w:rsid w:val="000948FC"/>
    <w:rsid w:val="00094E44"/>
    <w:rsid w:val="00095783"/>
    <w:rsid w:val="00096161"/>
    <w:rsid w:val="000965FD"/>
    <w:rsid w:val="000975DF"/>
    <w:rsid w:val="00097608"/>
    <w:rsid w:val="000A0298"/>
    <w:rsid w:val="000A047C"/>
    <w:rsid w:val="000A0F65"/>
    <w:rsid w:val="000A153F"/>
    <w:rsid w:val="000A17ED"/>
    <w:rsid w:val="000A1A52"/>
    <w:rsid w:val="000A1F24"/>
    <w:rsid w:val="000A25BD"/>
    <w:rsid w:val="000A27AF"/>
    <w:rsid w:val="000A27CA"/>
    <w:rsid w:val="000A2845"/>
    <w:rsid w:val="000A316E"/>
    <w:rsid w:val="000A46E1"/>
    <w:rsid w:val="000A4EC3"/>
    <w:rsid w:val="000A542A"/>
    <w:rsid w:val="000A5477"/>
    <w:rsid w:val="000A55B9"/>
    <w:rsid w:val="000A59C9"/>
    <w:rsid w:val="000A6315"/>
    <w:rsid w:val="000A631C"/>
    <w:rsid w:val="000A6545"/>
    <w:rsid w:val="000A739C"/>
    <w:rsid w:val="000A7981"/>
    <w:rsid w:val="000A7ABA"/>
    <w:rsid w:val="000A7CF7"/>
    <w:rsid w:val="000B090C"/>
    <w:rsid w:val="000B1030"/>
    <w:rsid w:val="000B15AA"/>
    <w:rsid w:val="000B1AD5"/>
    <w:rsid w:val="000B2115"/>
    <w:rsid w:val="000B2301"/>
    <w:rsid w:val="000B26CA"/>
    <w:rsid w:val="000B2C23"/>
    <w:rsid w:val="000B321F"/>
    <w:rsid w:val="000B3972"/>
    <w:rsid w:val="000B39BC"/>
    <w:rsid w:val="000B3A08"/>
    <w:rsid w:val="000B4079"/>
    <w:rsid w:val="000B431A"/>
    <w:rsid w:val="000B46E5"/>
    <w:rsid w:val="000B4D19"/>
    <w:rsid w:val="000B584C"/>
    <w:rsid w:val="000B5FC9"/>
    <w:rsid w:val="000B6159"/>
    <w:rsid w:val="000B61ED"/>
    <w:rsid w:val="000B768B"/>
    <w:rsid w:val="000C02ED"/>
    <w:rsid w:val="000C058E"/>
    <w:rsid w:val="000C0FA8"/>
    <w:rsid w:val="000C10DF"/>
    <w:rsid w:val="000C142A"/>
    <w:rsid w:val="000C142F"/>
    <w:rsid w:val="000C1664"/>
    <w:rsid w:val="000C1CEC"/>
    <w:rsid w:val="000C23AB"/>
    <w:rsid w:val="000C2430"/>
    <w:rsid w:val="000C28EE"/>
    <w:rsid w:val="000C2D84"/>
    <w:rsid w:val="000C3264"/>
    <w:rsid w:val="000C383A"/>
    <w:rsid w:val="000C3A45"/>
    <w:rsid w:val="000C40D7"/>
    <w:rsid w:val="000C4C95"/>
    <w:rsid w:val="000C5C0B"/>
    <w:rsid w:val="000C5C28"/>
    <w:rsid w:val="000C5E1F"/>
    <w:rsid w:val="000C61C2"/>
    <w:rsid w:val="000C6414"/>
    <w:rsid w:val="000C7739"/>
    <w:rsid w:val="000C7FA0"/>
    <w:rsid w:val="000D0313"/>
    <w:rsid w:val="000D055C"/>
    <w:rsid w:val="000D0664"/>
    <w:rsid w:val="000D0D3C"/>
    <w:rsid w:val="000D0FEC"/>
    <w:rsid w:val="000D1163"/>
    <w:rsid w:val="000D1507"/>
    <w:rsid w:val="000D1661"/>
    <w:rsid w:val="000D16DA"/>
    <w:rsid w:val="000D17C9"/>
    <w:rsid w:val="000D1894"/>
    <w:rsid w:val="000D29C7"/>
    <w:rsid w:val="000D389F"/>
    <w:rsid w:val="000D3BAF"/>
    <w:rsid w:val="000D3F27"/>
    <w:rsid w:val="000D491C"/>
    <w:rsid w:val="000D4991"/>
    <w:rsid w:val="000D51DC"/>
    <w:rsid w:val="000D5426"/>
    <w:rsid w:val="000D5438"/>
    <w:rsid w:val="000D5BD1"/>
    <w:rsid w:val="000D5E2C"/>
    <w:rsid w:val="000D61DB"/>
    <w:rsid w:val="000D6320"/>
    <w:rsid w:val="000D632F"/>
    <w:rsid w:val="000D6816"/>
    <w:rsid w:val="000D6DAB"/>
    <w:rsid w:val="000D7B68"/>
    <w:rsid w:val="000D7DC0"/>
    <w:rsid w:val="000E008A"/>
    <w:rsid w:val="000E0CBB"/>
    <w:rsid w:val="000E0EDF"/>
    <w:rsid w:val="000E0F2F"/>
    <w:rsid w:val="000E125A"/>
    <w:rsid w:val="000E1B14"/>
    <w:rsid w:val="000E1BA6"/>
    <w:rsid w:val="000E1CCD"/>
    <w:rsid w:val="000E2552"/>
    <w:rsid w:val="000E3350"/>
    <w:rsid w:val="000E36BA"/>
    <w:rsid w:val="000E384D"/>
    <w:rsid w:val="000E4A38"/>
    <w:rsid w:val="000E4B78"/>
    <w:rsid w:val="000E51D4"/>
    <w:rsid w:val="000E527C"/>
    <w:rsid w:val="000E57C7"/>
    <w:rsid w:val="000E5A72"/>
    <w:rsid w:val="000E5D17"/>
    <w:rsid w:val="000E5E8A"/>
    <w:rsid w:val="000E5F81"/>
    <w:rsid w:val="000E670E"/>
    <w:rsid w:val="000E6CEF"/>
    <w:rsid w:val="000E6F29"/>
    <w:rsid w:val="000E78DE"/>
    <w:rsid w:val="000E7A76"/>
    <w:rsid w:val="000E7BC1"/>
    <w:rsid w:val="000F0701"/>
    <w:rsid w:val="000F0E56"/>
    <w:rsid w:val="000F1159"/>
    <w:rsid w:val="000F11FC"/>
    <w:rsid w:val="000F1841"/>
    <w:rsid w:val="000F18E3"/>
    <w:rsid w:val="000F1A92"/>
    <w:rsid w:val="000F2654"/>
    <w:rsid w:val="000F26DB"/>
    <w:rsid w:val="000F2FE3"/>
    <w:rsid w:val="000F324F"/>
    <w:rsid w:val="000F3637"/>
    <w:rsid w:val="000F3B4A"/>
    <w:rsid w:val="000F4BCD"/>
    <w:rsid w:val="000F4D32"/>
    <w:rsid w:val="000F5408"/>
    <w:rsid w:val="000F5C64"/>
    <w:rsid w:val="000F6076"/>
    <w:rsid w:val="000F62BB"/>
    <w:rsid w:val="000F65A0"/>
    <w:rsid w:val="000F69DD"/>
    <w:rsid w:val="000F6C8D"/>
    <w:rsid w:val="000F72C2"/>
    <w:rsid w:val="000F7377"/>
    <w:rsid w:val="000F74FB"/>
    <w:rsid w:val="000F7920"/>
    <w:rsid w:val="000F7C72"/>
    <w:rsid w:val="001005DA"/>
    <w:rsid w:val="00100678"/>
    <w:rsid w:val="0010069F"/>
    <w:rsid w:val="0010077B"/>
    <w:rsid w:val="001014A4"/>
    <w:rsid w:val="001014CA"/>
    <w:rsid w:val="001018A3"/>
    <w:rsid w:val="00101F69"/>
    <w:rsid w:val="00102808"/>
    <w:rsid w:val="00103454"/>
    <w:rsid w:val="001062EF"/>
    <w:rsid w:val="0010631B"/>
    <w:rsid w:val="001066C5"/>
    <w:rsid w:val="00106B34"/>
    <w:rsid w:val="00106D98"/>
    <w:rsid w:val="00106FD5"/>
    <w:rsid w:val="00107006"/>
    <w:rsid w:val="001078A4"/>
    <w:rsid w:val="00107FBC"/>
    <w:rsid w:val="0011123B"/>
    <w:rsid w:val="001117CC"/>
    <w:rsid w:val="0011269A"/>
    <w:rsid w:val="00113299"/>
    <w:rsid w:val="00113EB1"/>
    <w:rsid w:val="00114171"/>
    <w:rsid w:val="00114763"/>
    <w:rsid w:val="001149FC"/>
    <w:rsid w:val="00114DC2"/>
    <w:rsid w:val="00114EA2"/>
    <w:rsid w:val="0011512A"/>
    <w:rsid w:val="00115676"/>
    <w:rsid w:val="001158B8"/>
    <w:rsid w:val="00115C3B"/>
    <w:rsid w:val="00115D74"/>
    <w:rsid w:val="00116209"/>
    <w:rsid w:val="00116553"/>
    <w:rsid w:val="0011665E"/>
    <w:rsid w:val="001168D8"/>
    <w:rsid w:val="00116B4C"/>
    <w:rsid w:val="00116F12"/>
    <w:rsid w:val="0011776B"/>
    <w:rsid w:val="00120064"/>
    <w:rsid w:val="00120274"/>
    <w:rsid w:val="00120932"/>
    <w:rsid w:val="001209FD"/>
    <w:rsid w:val="00120D6F"/>
    <w:rsid w:val="00121366"/>
    <w:rsid w:val="001214CC"/>
    <w:rsid w:val="00121953"/>
    <w:rsid w:val="00122593"/>
    <w:rsid w:val="00122985"/>
    <w:rsid w:val="00123110"/>
    <w:rsid w:val="001231C9"/>
    <w:rsid w:val="00123849"/>
    <w:rsid w:val="00123BFD"/>
    <w:rsid w:val="00123CD9"/>
    <w:rsid w:val="00123D7D"/>
    <w:rsid w:val="001241A4"/>
    <w:rsid w:val="001244D2"/>
    <w:rsid w:val="001249FA"/>
    <w:rsid w:val="00124DCD"/>
    <w:rsid w:val="00124E17"/>
    <w:rsid w:val="001256F0"/>
    <w:rsid w:val="00125763"/>
    <w:rsid w:val="00125897"/>
    <w:rsid w:val="00125E8F"/>
    <w:rsid w:val="00127799"/>
    <w:rsid w:val="00127ACB"/>
    <w:rsid w:val="00127BA7"/>
    <w:rsid w:val="001304E4"/>
    <w:rsid w:val="00131034"/>
    <w:rsid w:val="0013195E"/>
    <w:rsid w:val="00131DFD"/>
    <w:rsid w:val="001320E5"/>
    <w:rsid w:val="001329BC"/>
    <w:rsid w:val="00132B7B"/>
    <w:rsid w:val="00132C24"/>
    <w:rsid w:val="00132C9D"/>
    <w:rsid w:val="0013345E"/>
    <w:rsid w:val="001337DF"/>
    <w:rsid w:val="00133A6B"/>
    <w:rsid w:val="00133B12"/>
    <w:rsid w:val="0013444D"/>
    <w:rsid w:val="001345C3"/>
    <w:rsid w:val="001350CC"/>
    <w:rsid w:val="00135197"/>
    <w:rsid w:val="001355E2"/>
    <w:rsid w:val="0013562D"/>
    <w:rsid w:val="00135E17"/>
    <w:rsid w:val="001364D8"/>
    <w:rsid w:val="0013667A"/>
    <w:rsid w:val="001367C5"/>
    <w:rsid w:val="00136800"/>
    <w:rsid w:val="00136B92"/>
    <w:rsid w:val="00137B20"/>
    <w:rsid w:val="00137E0F"/>
    <w:rsid w:val="00140FC3"/>
    <w:rsid w:val="00140FC4"/>
    <w:rsid w:val="00141347"/>
    <w:rsid w:val="00141B1B"/>
    <w:rsid w:val="001422B4"/>
    <w:rsid w:val="0014255D"/>
    <w:rsid w:val="00142BB8"/>
    <w:rsid w:val="00142E11"/>
    <w:rsid w:val="00143221"/>
    <w:rsid w:val="00143754"/>
    <w:rsid w:val="00143A11"/>
    <w:rsid w:val="00143AF4"/>
    <w:rsid w:val="00143D56"/>
    <w:rsid w:val="0014444C"/>
    <w:rsid w:val="00144529"/>
    <w:rsid w:val="001452ED"/>
    <w:rsid w:val="001457CC"/>
    <w:rsid w:val="00147EE8"/>
    <w:rsid w:val="001508A2"/>
    <w:rsid w:val="00150AB9"/>
    <w:rsid w:val="00151482"/>
    <w:rsid w:val="00151576"/>
    <w:rsid w:val="00152167"/>
    <w:rsid w:val="0015317A"/>
    <w:rsid w:val="00153631"/>
    <w:rsid w:val="00153867"/>
    <w:rsid w:val="00153DBD"/>
    <w:rsid w:val="00154985"/>
    <w:rsid w:val="00155017"/>
    <w:rsid w:val="001555F9"/>
    <w:rsid w:val="00156BF3"/>
    <w:rsid w:val="00156C7C"/>
    <w:rsid w:val="001571AD"/>
    <w:rsid w:val="00160488"/>
    <w:rsid w:val="00160639"/>
    <w:rsid w:val="001618EB"/>
    <w:rsid w:val="00161CEE"/>
    <w:rsid w:val="00161F19"/>
    <w:rsid w:val="001622DC"/>
    <w:rsid w:val="00162760"/>
    <w:rsid w:val="001628BD"/>
    <w:rsid w:val="0016364D"/>
    <w:rsid w:val="00163B8F"/>
    <w:rsid w:val="00163CDB"/>
    <w:rsid w:val="0016402C"/>
    <w:rsid w:val="001641B9"/>
    <w:rsid w:val="0016482A"/>
    <w:rsid w:val="00164871"/>
    <w:rsid w:val="001648C5"/>
    <w:rsid w:val="0016498C"/>
    <w:rsid w:val="00164A98"/>
    <w:rsid w:val="00164F5D"/>
    <w:rsid w:val="00165070"/>
    <w:rsid w:val="0016557D"/>
    <w:rsid w:val="001657F8"/>
    <w:rsid w:val="00165DCA"/>
    <w:rsid w:val="001660F8"/>
    <w:rsid w:val="00166137"/>
    <w:rsid w:val="0016621A"/>
    <w:rsid w:val="00166A73"/>
    <w:rsid w:val="001676AC"/>
    <w:rsid w:val="00167DDE"/>
    <w:rsid w:val="00170F36"/>
    <w:rsid w:val="00170FF9"/>
    <w:rsid w:val="00171221"/>
    <w:rsid w:val="0017133B"/>
    <w:rsid w:val="0017162C"/>
    <w:rsid w:val="00171C9E"/>
    <w:rsid w:val="0017312E"/>
    <w:rsid w:val="00173B1B"/>
    <w:rsid w:val="00174359"/>
    <w:rsid w:val="001743B3"/>
    <w:rsid w:val="0017488C"/>
    <w:rsid w:val="00174A4D"/>
    <w:rsid w:val="00174D25"/>
    <w:rsid w:val="001750FD"/>
    <w:rsid w:val="001751E4"/>
    <w:rsid w:val="00175418"/>
    <w:rsid w:val="001756AC"/>
    <w:rsid w:val="001757C8"/>
    <w:rsid w:val="00177262"/>
    <w:rsid w:val="00177557"/>
    <w:rsid w:val="00177A7D"/>
    <w:rsid w:val="00177EA4"/>
    <w:rsid w:val="00180C1F"/>
    <w:rsid w:val="00181763"/>
    <w:rsid w:val="00182871"/>
    <w:rsid w:val="00182929"/>
    <w:rsid w:val="00182C69"/>
    <w:rsid w:val="00182F6F"/>
    <w:rsid w:val="00183834"/>
    <w:rsid w:val="00183CD3"/>
    <w:rsid w:val="00183EF4"/>
    <w:rsid w:val="00183FD7"/>
    <w:rsid w:val="001843A8"/>
    <w:rsid w:val="0018462B"/>
    <w:rsid w:val="00184A41"/>
    <w:rsid w:val="00184B0B"/>
    <w:rsid w:val="00184C3C"/>
    <w:rsid w:val="001851A4"/>
    <w:rsid w:val="0018532E"/>
    <w:rsid w:val="00186A8B"/>
    <w:rsid w:val="00187395"/>
    <w:rsid w:val="00187454"/>
    <w:rsid w:val="00187730"/>
    <w:rsid w:val="00187E72"/>
    <w:rsid w:val="0019017E"/>
    <w:rsid w:val="001901F9"/>
    <w:rsid w:val="00191134"/>
    <w:rsid w:val="00191512"/>
    <w:rsid w:val="00191B21"/>
    <w:rsid w:val="00191DEA"/>
    <w:rsid w:val="00191F42"/>
    <w:rsid w:val="0019253A"/>
    <w:rsid w:val="0019283B"/>
    <w:rsid w:val="00192920"/>
    <w:rsid w:val="00192E74"/>
    <w:rsid w:val="00193407"/>
    <w:rsid w:val="001934C3"/>
    <w:rsid w:val="00194002"/>
    <w:rsid w:val="0019426D"/>
    <w:rsid w:val="0019429F"/>
    <w:rsid w:val="001942E8"/>
    <w:rsid w:val="00194671"/>
    <w:rsid w:val="00194918"/>
    <w:rsid w:val="00194D1B"/>
    <w:rsid w:val="00195236"/>
    <w:rsid w:val="001952FB"/>
    <w:rsid w:val="0019534D"/>
    <w:rsid w:val="001953B9"/>
    <w:rsid w:val="0019553A"/>
    <w:rsid w:val="00195FE9"/>
    <w:rsid w:val="00197462"/>
    <w:rsid w:val="001979E0"/>
    <w:rsid w:val="001A01A8"/>
    <w:rsid w:val="001A1058"/>
    <w:rsid w:val="001A1AD8"/>
    <w:rsid w:val="001A274B"/>
    <w:rsid w:val="001A28E3"/>
    <w:rsid w:val="001A2958"/>
    <w:rsid w:val="001A2F65"/>
    <w:rsid w:val="001A305E"/>
    <w:rsid w:val="001A42E5"/>
    <w:rsid w:val="001A439B"/>
    <w:rsid w:val="001A46DA"/>
    <w:rsid w:val="001A4D35"/>
    <w:rsid w:val="001A4D54"/>
    <w:rsid w:val="001A5303"/>
    <w:rsid w:val="001A54FC"/>
    <w:rsid w:val="001A551B"/>
    <w:rsid w:val="001A5E64"/>
    <w:rsid w:val="001A6433"/>
    <w:rsid w:val="001A67CE"/>
    <w:rsid w:val="001A6DD9"/>
    <w:rsid w:val="001B0220"/>
    <w:rsid w:val="001B02CE"/>
    <w:rsid w:val="001B0371"/>
    <w:rsid w:val="001B03C6"/>
    <w:rsid w:val="001B06B4"/>
    <w:rsid w:val="001B06B6"/>
    <w:rsid w:val="001B0994"/>
    <w:rsid w:val="001B0D06"/>
    <w:rsid w:val="001B0DCD"/>
    <w:rsid w:val="001B12C0"/>
    <w:rsid w:val="001B1322"/>
    <w:rsid w:val="001B198A"/>
    <w:rsid w:val="001B1E45"/>
    <w:rsid w:val="001B2312"/>
    <w:rsid w:val="001B273C"/>
    <w:rsid w:val="001B27A9"/>
    <w:rsid w:val="001B36CC"/>
    <w:rsid w:val="001B473C"/>
    <w:rsid w:val="001B5EBD"/>
    <w:rsid w:val="001B6B22"/>
    <w:rsid w:val="001B7B32"/>
    <w:rsid w:val="001C0630"/>
    <w:rsid w:val="001C0DA4"/>
    <w:rsid w:val="001C10D2"/>
    <w:rsid w:val="001C170D"/>
    <w:rsid w:val="001C171D"/>
    <w:rsid w:val="001C1C4E"/>
    <w:rsid w:val="001C231D"/>
    <w:rsid w:val="001C26F9"/>
    <w:rsid w:val="001C296E"/>
    <w:rsid w:val="001C2DAD"/>
    <w:rsid w:val="001C2FEB"/>
    <w:rsid w:val="001C3369"/>
    <w:rsid w:val="001C3703"/>
    <w:rsid w:val="001C37B1"/>
    <w:rsid w:val="001C3DF9"/>
    <w:rsid w:val="001C429E"/>
    <w:rsid w:val="001C42DE"/>
    <w:rsid w:val="001C474A"/>
    <w:rsid w:val="001C477C"/>
    <w:rsid w:val="001C49C3"/>
    <w:rsid w:val="001C4E60"/>
    <w:rsid w:val="001C52C9"/>
    <w:rsid w:val="001C5605"/>
    <w:rsid w:val="001C58AA"/>
    <w:rsid w:val="001C5A7A"/>
    <w:rsid w:val="001C5EC0"/>
    <w:rsid w:val="001C62DD"/>
    <w:rsid w:val="001C63FF"/>
    <w:rsid w:val="001C657D"/>
    <w:rsid w:val="001C7197"/>
    <w:rsid w:val="001C72CF"/>
    <w:rsid w:val="001C7870"/>
    <w:rsid w:val="001C7DB6"/>
    <w:rsid w:val="001D0A8D"/>
    <w:rsid w:val="001D1853"/>
    <w:rsid w:val="001D1BB8"/>
    <w:rsid w:val="001D1F89"/>
    <w:rsid w:val="001D205C"/>
    <w:rsid w:val="001D2062"/>
    <w:rsid w:val="001D2CF7"/>
    <w:rsid w:val="001D34F4"/>
    <w:rsid w:val="001D3824"/>
    <w:rsid w:val="001D38E4"/>
    <w:rsid w:val="001D3CF5"/>
    <w:rsid w:val="001D42B6"/>
    <w:rsid w:val="001D45D1"/>
    <w:rsid w:val="001D49BC"/>
    <w:rsid w:val="001D4BFB"/>
    <w:rsid w:val="001D4EF6"/>
    <w:rsid w:val="001D551C"/>
    <w:rsid w:val="001D581B"/>
    <w:rsid w:val="001D5A3D"/>
    <w:rsid w:val="001D6092"/>
    <w:rsid w:val="001D66E0"/>
    <w:rsid w:val="001D7892"/>
    <w:rsid w:val="001D7B13"/>
    <w:rsid w:val="001E0C0D"/>
    <w:rsid w:val="001E1F24"/>
    <w:rsid w:val="001E2074"/>
    <w:rsid w:val="001E23F3"/>
    <w:rsid w:val="001E2C3B"/>
    <w:rsid w:val="001E2F36"/>
    <w:rsid w:val="001E2FC3"/>
    <w:rsid w:val="001E37B8"/>
    <w:rsid w:val="001E3F16"/>
    <w:rsid w:val="001E3F32"/>
    <w:rsid w:val="001E407B"/>
    <w:rsid w:val="001E494F"/>
    <w:rsid w:val="001E5442"/>
    <w:rsid w:val="001E594F"/>
    <w:rsid w:val="001E5DEC"/>
    <w:rsid w:val="001E67E2"/>
    <w:rsid w:val="001E6864"/>
    <w:rsid w:val="001E6F0F"/>
    <w:rsid w:val="001E6F34"/>
    <w:rsid w:val="001E7035"/>
    <w:rsid w:val="001F1EBA"/>
    <w:rsid w:val="001F23EB"/>
    <w:rsid w:val="001F26EA"/>
    <w:rsid w:val="001F286B"/>
    <w:rsid w:val="001F29E6"/>
    <w:rsid w:val="001F33D4"/>
    <w:rsid w:val="001F3AAE"/>
    <w:rsid w:val="001F479C"/>
    <w:rsid w:val="001F4DA9"/>
    <w:rsid w:val="001F53E4"/>
    <w:rsid w:val="001F5500"/>
    <w:rsid w:val="001F55B2"/>
    <w:rsid w:val="001F5FA6"/>
    <w:rsid w:val="001F6BC7"/>
    <w:rsid w:val="001F75D5"/>
    <w:rsid w:val="001F77F3"/>
    <w:rsid w:val="001F7AE3"/>
    <w:rsid w:val="001F7C15"/>
    <w:rsid w:val="001F7C32"/>
    <w:rsid w:val="00200427"/>
    <w:rsid w:val="00202276"/>
    <w:rsid w:val="00202356"/>
    <w:rsid w:val="0020271B"/>
    <w:rsid w:val="00202BA1"/>
    <w:rsid w:val="00202CC2"/>
    <w:rsid w:val="00203E7A"/>
    <w:rsid w:val="002047C0"/>
    <w:rsid w:val="0020532E"/>
    <w:rsid w:val="00205A78"/>
    <w:rsid w:val="0020674B"/>
    <w:rsid w:val="0020742D"/>
    <w:rsid w:val="0020744D"/>
    <w:rsid w:val="002077AA"/>
    <w:rsid w:val="00207C09"/>
    <w:rsid w:val="00210509"/>
    <w:rsid w:val="00210C7C"/>
    <w:rsid w:val="00211400"/>
    <w:rsid w:val="0021162C"/>
    <w:rsid w:val="00211A8B"/>
    <w:rsid w:val="00211F7E"/>
    <w:rsid w:val="002126EC"/>
    <w:rsid w:val="00213305"/>
    <w:rsid w:val="00213EE8"/>
    <w:rsid w:val="00214B68"/>
    <w:rsid w:val="00215454"/>
    <w:rsid w:val="0021553D"/>
    <w:rsid w:val="002155CD"/>
    <w:rsid w:val="00216168"/>
    <w:rsid w:val="00216398"/>
    <w:rsid w:val="00216598"/>
    <w:rsid w:val="00216632"/>
    <w:rsid w:val="00216891"/>
    <w:rsid w:val="00216D2C"/>
    <w:rsid w:val="002170B8"/>
    <w:rsid w:val="0022034E"/>
    <w:rsid w:val="0022036F"/>
    <w:rsid w:val="00220707"/>
    <w:rsid w:val="00220D63"/>
    <w:rsid w:val="002213D0"/>
    <w:rsid w:val="00221F3A"/>
    <w:rsid w:val="00222194"/>
    <w:rsid w:val="00222589"/>
    <w:rsid w:val="00223119"/>
    <w:rsid w:val="00224211"/>
    <w:rsid w:val="00224CB3"/>
    <w:rsid w:val="00224D46"/>
    <w:rsid w:val="00224DEC"/>
    <w:rsid w:val="00225410"/>
    <w:rsid w:val="00225A18"/>
    <w:rsid w:val="002261E9"/>
    <w:rsid w:val="0022636C"/>
    <w:rsid w:val="00226A27"/>
    <w:rsid w:val="00226D6F"/>
    <w:rsid w:val="002270D8"/>
    <w:rsid w:val="00227EC7"/>
    <w:rsid w:val="002302CA"/>
    <w:rsid w:val="00230F01"/>
    <w:rsid w:val="00231283"/>
    <w:rsid w:val="002317E6"/>
    <w:rsid w:val="0023209E"/>
    <w:rsid w:val="002320B7"/>
    <w:rsid w:val="00232240"/>
    <w:rsid w:val="002325C1"/>
    <w:rsid w:val="0023273B"/>
    <w:rsid w:val="00232CCA"/>
    <w:rsid w:val="00234072"/>
    <w:rsid w:val="002343F6"/>
    <w:rsid w:val="002348FC"/>
    <w:rsid w:val="00234B4A"/>
    <w:rsid w:val="00234CC7"/>
    <w:rsid w:val="00234F9A"/>
    <w:rsid w:val="00235130"/>
    <w:rsid w:val="00235349"/>
    <w:rsid w:val="00235878"/>
    <w:rsid w:val="00235E41"/>
    <w:rsid w:val="00235E68"/>
    <w:rsid w:val="00236492"/>
    <w:rsid w:val="00236540"/>
    <w:rsid w:val="002365BD"/>
    <w:rsid w:val="002368A9"/>
    <w:rsid w:val="00236999"/>
    <w:rsid w:val="002371CC"/>
    <w:rsid w:val="00237BBC"/>
    <w:rsid w:val="002401D9"/>
    <w:rsid w:val="002401DF"/>
    <w:rsid w:val="002405E4"/>
    <w:rsid w:val="00240853"/>
    <w:rsid w:val="00240EBD"/>
    <w:rsid w:val="00241332"/>
    <w:rsid w:val="002413A0"/>
    <w:rsid w:val="00241431"/>
    <w:rsid w:val="002420E5"/>
    <w:rsid w:val="002424D0"/>
    <w:rsid w:val="00242805"/>
    <w:rsid w:val="00242B3E"/>
    <w:rsid w:val="00244887"/>
    <w:rsid w:val="002449F5"/>
    <w:rsid w:val="00244B6C"/>
    <w:rsid w:val="002450AE"/>
    <w:rsid w:val="00245115"/>
    <w:rsid w:val="00245346"/>
    <w:rsid w:val="002454C6"/>
    <w:rsid w:val="002455F3"/>
    <w:rsid w:val="0024593A"/>
    <w:rsid w:val="00245A5C"/>
    <w:rsid w:val="00245C56"/>
    <w:rsid w:val="00245E58"/>
    <w:rsid w:val="00245FE7"/>
    <w:rsid w:val="00246801"/>
    <w:rsid w:val="002469C6"/>
    <w:rsid w:val="00246A0B"/>
    <w:rsid w:val="002471EF"/>
    <w:rsid w:val="00247426"/>
    <w:rsid w:val="002478E6"/>
    <w:rsid w:val="00247E58"/>
    <w:rsid w:val="00250E30"/>
    <w:rsid w:val="00251777"/>
    <w:rsid w:val="00251AC4"/>
    <w:rsid w:val="00251D91"/>
    <w:rsid w:val="00251F54"/>
    <w:rsid w:val="0025274F"/>
    <w:rsid w:val="002531FE"/>
    <w:rsid w:val="00253391"/>
    <w:rsid w:val="00253F04"/>
    <w:rsid w:val="00253F8D"/>
    <w:rsid w:val="00254055"/>
    <w:rsid w:val="00254258"/>
    <w:rsid w:val="00254426"/>
    <w:rsid w:val="00254468"/>
    <w:rsid w:val="00254F2F"/>
    <w:rsid w:val="0025554B"/>
    <w:rsid w:val="00255677"/>
    <w:rsid w:val="00255A71"/>
    <w:rsid w:val="00256295"/>
    <w:rsid w:val="00256506"/>
    <w:rsid w:val="00256E5B"/>
    <w:rsid w:val="00256F74"/>
    <w:rsid w:val="00256F89"/>
    <w:rsid w:val="00257414"/>
    <w:rsid w:val="0025782E"/>
    <w:rsid w:val="00257BE5"/>
    <w:rsid w:val="0026006D"/>
    <w:rsid w:val="0026067B"/>
    <w:rsid w:val="0026095E"/>
    <w:rsid w:val="00261FE5"/>
    <w:rsid w:val="0026213F"/>
    <w:rsid w:val="00262336"/>
    <w:rsid w:val="00262417"/>
    <w:rsid w:val="0026253C"/>
    <w:rsid w:val="002629C6"/>
    <w:rsid w:val="00263293"/>
    <w:rsid w:val="00264610"/>
    <w:rsid w:val="00265054"/>
    <w:rsid w:val="0026516B"/>
    <w:rsid w:val="00265820"/>
    <w:rsid w:val="0026598A"/>
    <w:rsid w:val="00265AC3"/>
    <w:rsid w:val="00265C9E"/>
    <w:rsid w:val="00265D1B"/>
    <w:rsid w:val="00265F51"/>
    <w:rsid w:val="002672AD"/>
    <w:rsid w:val="0026CD9F"/>
    <w:rsid w:val="00270095"/>
    <w:rsid w:val="002708E7"/>
    <w:rsid w:val="002709F1"/>
    <w:rsid w:val="00270FA8"/>
    <w:rsid w:val="00271495"/>
    <w:rsid w:val="00271ADB"/>
    <w:rsid w:val="00271C77"/>
    <w:rsid w:val="00271EF3"/>
    <w:rsid w:val="002722DF"/>
    <w:rsid w:val="002728DE"/>
    <w:rsid w:val="00272B46"/>
    <w:rsid w:val="00272DAF"/>
    <w:rsid w:val="002730DA"/>
    <w:rsid w:val="00273C9C"/>
    <w:rsid w:val="00274409"/>
    <w:rsid w:val="00275331"/>
    <w:rsid w:val="00275E12"/>
    <w:rsid w:val="00275E32"/>
    <w:rsid w:val="002761B9"/>
    <w:rsid w:val="002762D0"/>
    <w:rsid w:val="0027644D"/>
    <w:rsid w:val="00276AF0"/>
    <w:rsid w:val="0027772F"/>
    <w:rsid w:val="00277910"/>
    <w:rsid w:val="00277DA5"/>
    <w:rsid w:val="00280642"/>
    <w:rsid w:val="00280FA6"/>
    <w:rsid w:val="0028153D"/>
    <w:rsid w:val="00281C94"/>
    <w:rsid w:val="00281D90"/>
    <w:rsid w:val="002820C8"/>
    <w:rsid w:val="002825C0"/>
    <w:rsid w:val="00283F1A"/>
    <w:rsid w:val="00283FD9"/>
    <w:rsid w:val="00284198"/>
    <w:rsid w:val="00284243"/>
    <w:rsid w:val="00284837"/>
    <w:rsid w:val="00285BA8"/>
    <w:rsid w:val="00285F7F"/>
    <w:rsid w:val="002862EA"/>
    <w:rsid w:val="00286666"/>
    <w:rsid w:val="002867C4"/>
    <w:rsid w:val="0028690C"/>
    <w:rsid w:val="00286B6C"/>
    <w:rsid w:val="00286CF5"/>
    <w:rsid w:val="00286DA0"/>
    <w:rsid w:val="00286DFD"/>
    <w:rsid w:val="0028796B"/>
    <w:rsid w:val="00287B52"/>
    <w:rsid w:val="00287EF1"/>
    <w:rsid w:val="0029084E"/>
    <w:rsid w:val="0029099C"/>
    <w:rsid w:val="00290D16"/>
    <w:rsid w:val="00290D8F"/>
    <w:rsid w:val="00290E89"/>
    <w:rsid w:val="002914A1"/>
    <w:rsid w:val="00291DD4"/>
    <w:rsid w:val="002929DA"/>
    <w:rsid w:val="00292D8C"/>
    <w:rsid w:val="00293D63"/>
    <w:rsid w:val="00293E47"/>
    <w:rsid w:val="00294036"/>
    <w:rsid w:val="002947D9"/>
    <w:rsid w:val="00294B81"/>
    <w:rsid w:val="00294CF0"/>
    <w:rsid w:val="00294EBD"/>
    <w:rsid w:val="00296246"/>
    <w:rsid w:val="002962C6"/>
    <w:rsid w:val="002962E8"/>
    <w:rsid w:val="00296364"/>
    <w:rsid w:val="00296B2E"/>
    <w:rsid w:val="00297C35"/>
    <w:rsid w:val="00297FC5"/>
    <w:rsid w:val="002A0070"/>
    <w:rsid w:val="002A0707"/>
    <w:rsid w:val="002A1109"/>
    <w:rsid w:val="002A11E2"/>
    <w:rsid w:val="002A20C1"/>
    <w:rsid w:val="002A2725"/>
    <w:rsid w:val="002A32B8"/>
    <w:rsid w:val="002A341E"/>
    <w:rsid w:val="002A3C53"/>
    <w:rsid w:val="002A3EC6"/>
    <w:rsid w:val="002A4303"/>
    <w:rsid w:val="002A444C"/>
    <w:rsid w:val="002A448B"/>
    <w:rsid w:val="002A5563"/>
    <w:rsid w:val="002A5E7C"/>
    <w:rsid w:val="002A606C"/>
    <w:rsid w:val="002A635A"/>
    <w:rsid w:val="002A688F"/>
    <w:rsid w:val="002A79EB"/>
    <w:rsid w:val="002A7CCE"/>
    <w:rsid w:val="002A7DD5"/>
    <w:rsid w:val="002B04D1"/>
    <w:rsid w:val="002B0828"/>
    <w:rsid w:val="002B0978"/>
    <w:rsid w:val="002B1018"/>
    <w:rsid w:val="002B11F3"/>
    <w:rsid w:val="002B3BD4"/>
    <w:rsid w:val="002B3E98"/>
    <w:rsid w:val="002B429F"/>
    <w:rsid w:val="002B47C5"/>
    <w:rsid w:val="002B5674"/>
    <w:rsid w:val="002B5A4E"/>
    <w:rsid w:val="002B5EB8"/>
    <w:rsid w:val="002B62F9"/>
    <w:rsid w:val="002B6E3B"/>
    <w:rsid w:val="002B74D0"/>
    <w:rsid w:val="002C01F3"/>
    <w:rsid w:val="002C0780"/>
    <w:rsid w:val="002C0CA8"/>
    <w:rsid w:val="002C11D7"/>
    <w:rsid w:val="002C1308"/>
    <w:rsid w:val="002C2231"/>
    <w:rsid w:val="002C2360"/>
    <w:rsid w:val="002C2BAC"/>
    <w:rsid w:val="002C2D90"/>
    <w:rsid w:val="002C300D"/>
    <w:rsid w:val="002C36DC"/>
    <w:rsid w:val="002C3873"/>
    <w:rsid w:val="002C3D45"/>
    <w:rsid w:val="002C3DFD"/>
    <w:rsid w:val="002C40D9"/>
    <w:rsid w:val="002C533E"/>
    <w:rsid w:val="002C5A2D"/>
    <w:rsid w:val="002C5B8F"/>
    <w:rsid w:val="002C5C7E"/>
    <w:rsid w:val="002C5D98"/>
    <w:rsid w:val="002C657B"/>
    <w:rsid w:val="002C6B8A"/>
    <w:rsid w:val="002C713B"/>
    <w:rsid w:val="002C7D65"/>
    <w:rsid w:val="002D02FF"/>
    <w:rsid w:val="002D06A1"/>
    <w:rsid w:val="002D0B53"/>
    <w:rsid w:val="002D0F98"/>
    <w:rsid w:val="002D14B6"/>
    <w:rsid w:val="002D1771"/>
    <w:rsid w:val="002D2906"/>
    <w:rsid w:val="002D2C26"/>
    <w:rsid w:val="002D2F93"/>
    <w:rsid w:val="002D370D"/>
    <w:rsid w:val="002D3D87"/>
    <w:rsid w:val="002D3E16"/>
    <w:rsid w:val="002D4781"/>
    <w:rsid w:val="002D4A94"/>
    <w:rsid w:val="002D4B6C"/>
    <w:rsid w:val="002D4BB5"/>
    <w:rsid w:val="002D4CD6"/>
    <w:rsid w:val="002D506D"/>
    <w:rsid w:val="002D5B1D"/>
    <w:rsid w:val="002D5D77"/>
    <w:rsid w:val="002D612D"/>
    <w:rsid w:val="002D6257"/>
    <w:rsid w:val="002D659D"/>
    <w:rsid w:val="002D67D0"/>
    <w:rsid w:val="002D6BE3"/>
    <w:rsid w:val="002D6DDE"/>
    <w:rsid w:val="002D6FE7"/>
    <w:rsid w:val="002D7459"/>
    <w:rsid w:val="002D7CF2"/>
    <w:rsid w:val="002E0650"/>
    <w:rsid w:val="002E0A08"/>
    <w:rsid w:val="002E0CC5"/>
    <w:rsid w:val="002E2283"/>
    <w:rsid w:val="002E2B17"/>
    <w:rsid w:val="002E2B93"/>
    <w:rsid w:val="002E32E4"/>
    <w:rsid w:val="002E349C"/>
    <w:rsid w:val="002E35A4"/>
    <w:rsid w:val="002E466A"/>
    <w:rsid w:val="002E663F"/>
    <w:rsid w:val="002E6ABB"/>
    <w:rsid w:val="002E7010"/>
    <w:rsid w:val="002E7351"/>
    <w:rsid w:val="002F06AF"/>
    <w:rsid w:val="002F0D01"/>
    <w:rsid w:val="002F1106"/>
    <w:rsid w:val="002F176A"/>
    <w:rsid w:val="002F1CE1"/>
    <w:rsid w:val="002F236B"/>
    <w:rsid w:val="002F2B39"/>
    <w:rsid w:val="002F2C8E"/>
    <w:rsid w:val="002F3938"/>
    <w:rsid w:val="002F3BC4"/>
    <w:rsid w:val="002F3E8B"/>
    <w:rsid w:val="002F409C"/>
    <w:rsid w:val="002F4B02"/>
    <w:rsid w:val="002F4F56"/>
    <w:rsid w:val="002F5108"/>
    <w:rsid w:val="002F6000"/>
    <w:rsid w:val="002F651D"/>
    <w:rsid w:val="002F65FF"/>
    <w:rsid w:val="002F6B76"/>
    <w:rsid w:val="002F6BD3"/>
    <w:rsid w:val="002F6D05"/>
    <w:rsid w:val="002F709D"/>
    <w:rsid w:val="002F77F7"/>
    <w:rsid w:val="002F7D1D"/>
    <w:rsid w:val="002F7FD7"/>
    <w:rsid w:val="00300AF4"/>
    <w:rsid w:val="003018E2"/>
    <w:rsid w:val="0030245D"/>
    <w:rsid w:val="00303028"/>
    <w:rsid w:val="003031AF"/>
    <w:rsid w:val="00303904"/>
    <w:rsid w:val="00303EAD"/>
    <w:rsid w:val="003043AC"/>
    <w:rsid w:val="00305190"/>
    <w:rsid w:val="00305354"/>
    <w:rsid w:val="00305760"/>
    <w:rsid w:val="003057B9"/>
    <w:rsid w:val="00305817"/>
    <w:rsid w:val="00305BC9"/>
    <w:rsid w:val="0030741B"/>
    <w:rsid w:val="0031019B"/>
    <w:rsid w:val="00310660"/>
    <w:rsid w:val="00310971"/>
    <w:rsid w:val="0031144C"/>
    <w:rsid w:val="00311753"/>
    <w:rsid w:val="0031180A"/>
    <w:rsid w:val="0031181A"/>
    <w:rsid w:val="00311D3C"/>
    <w:rsid w:val="003128C6"/>
    <w:rsid w:val="0031296C"/>
    <w:rsid w:val="00312FFE"/>
    <w:rsid w:val="003136D1"/>
    <w:rsid w:val="003137C2"/>
    <w:rsid w:val="003139C3"/>
    <w:rsid w:val="0031473A"/>
    <w:rsid w:val="00314C36"/>
    <w:rsid w:val="00316262"/>
    <w:rsid w:val="0031676C"/>
    <w:rsid w:val="0031698B"/>
    <w:rsid w:val="00316D82"/>
    <w:rsid w:val="003171C3"/>
    <w:rsid w:val="00317726"/>
    <w:rsid w:val="003177A0"/>
    <w:rsid w:val="0032148D"/>
    <w:rsid w:val="00321609"/>
    <w:rsid w:val="003225D5"/>
    <w:rsid w:val="003237A8"/>
    <w:rsid w:val="00324586"/>
    <w:rsid w:val="003248A2"/>
    <w:rsid w:val="00325114"/>
    <w:rsid w:val="003251C2"/>
    <w:rsid w:val="003253B5"/>
    <w:rsid w:val="00325CD3"/>
    <w:rsid w:val="0032627D"/>
    <w:rsid w:val="00326E96"/>
    <w:rsid w:val="00327F23"/>
    <w:rsid w:val="0033065E"/>
    <w:rsid w:val="003308FF"/>
    <w:rsid w:val="00330C15"/>
    <w:rsid w:val="00330C83"/>
    <w:rsid w:val="003312C1"/>
    <w:rsid w:val="00331582"/>
    <w:rsid w:val="0033168F"/>
    <w:rsid w:val="00331E12"/>
    <w:rsid w:val="00332017"/>
    <w:rsid w:val="003321BE"/>
    <w:rsid w:val="00332557"/>
    <w:rsid w:val="00332625"/>
    <w:rsid w:val="0033287E"/>
    <w:rsid w:val="0033296D"/>
    <w:rsid w:val="00332CF8"/>
    <w:rsid w:val="0033317D"/>
    <w:rsid w:val="0033384E"/>
    <w:rsid w:val="003339F6"/>
    <w:rsid w:val="003342A8"/>
    <w:rsid w:val="0033465A"/>
    <w:rsid w:val="00334832"/>
    <w:rsid w:val="00334B45"/>
    <w:rsid w:val="00334CC1"/>
    <w:rsid w:val="00335056"/>
    <w:rsid w:val="00335BEB"/>
    <w:rsid w:val="00335EF0"/>
    <w:rsid w:val="00336B48"/>
    <w:rsid w:val="003372FC"/>
    <w:rsid w:val="003372FF"/>
    <w:rsid w:val="003374AA"/>
    <w:rsid w:val="0033779B"/>
    <w:rsid w:val="003379BB"/>
    <w:rsid w:val="00337FAB"/>
    <w:rsid w:val="0034001D"/>
    <w:rsid w:val="00341254"/>
    <w:rsid w:val="00341853"/>
    <w:rsid w:val="00341C12"/>
    <w:rsid w:val="00341CA4"/>
    <w:rsid w:val="00342010"/>
    <w:rsid w:val="00342CDE"/>
    <w:rsid w:val="00343034"/>
    <w:rsid w:val="0034335A"/>
    <w:rsid w:val="003435C3"/>
    <w:rsid w:val="0034394B"/>
    <w:rsid w:val="003457FB"/>
    <w:rsid w:val="003469ED"/>
    <w:rsid w:val="00346B3D"/>
    <w:rsid w:val="00346EE1"/>
    <w:rsid w:val="0034708F"/>
    <w:rsid w:val="003471B6"/>
    <w:rsid w:val="00350C7C"/>
    <w:rsid w:val="0035153F"/>
    <w:rsid w:val="00351586"/>
    <w:rsid w:val="0035208A"/>
    <w:rsid w:val="0035229C"/>
    <w:rsid w:val="00353B73"/>
    <w:rsid w:val="00354BF9"/>
    <w:rsid w:val="00355136"/>
    <w:rsid w:val="003555A4"/>
    <w:rsid w:val="003558A7"/>
    <w:rsid w:val="003569D9"/>
    <w:rsid w:val="00356FE7"/>
    <w:rsid w:val="003571A7"/>
    <w:rsid w:val="00360805"/>
    <w:rsid w:val="00360868"/>
    <w:rsid w:val="003609E9"/>
    <w:rsid w:val="00361248"/>
    <w:rsid w:val="00361432"/>
    <w:rsid w:val="003628F0"/>
    <w:rsid w:val="003636ED"/>
    <w:rsid w:val="00363D01"/>
    <w:rsid w:val="0036572C"/>
    <w:rsid w:val="003657D0"/>
    <w:rsid w:val="00365A48"/>
    <w:rsid w:val="00365B49"/>
    <w:rsid w:val="00366B3A"/>
    <w:rsid w:val="003678A3"/>
    <w:rsid w:val="0037014A"/>
    <w:rsid w:val="0037038B"/>
    <w:rsid w:val="00371566"/>
    <w:rsid w:val="003729AD"/>
    <w:rsid w:val="00372E0A"/>
    <w:rsid w:val="00373134"/>
    <w:rsid w:val="0037430F"/>
    <w:rsid w:val="00374666"/>
    <w:rsid w:val="00374C17"/>
    <w:rsid w:val="0037515D"/>
    <w:rsid w:val="003756A6"/>
    <w:rsid w:val="00375804"/>
    <w:rsid w:val="00375EE7"/>
    <w:rsid w:val="003763FD"/>
    <w:rsid w:val="0037659B"/>
    <w:rsid w:val="00376F3B"/>
    <w:rsid w:val="00377911"/>
    <w:rsid w:val="00377C00"/>
    <w:rsid w:val="003808F5"/>
    <w:rsid w:val="00380CA4"/>
    <w:rsid w:val="003812F9"/>
    <w:rsid w:val="00381B84"/>
    <w:rsid w:val="00382568"/>
    <w:rsid w:val="00382699"/>
    <w:rsid w:val="00382E6D"/>
    <w:rsid w:val="00383886"/>
    <w:rsid w:val="00383DBA"/>
    <w:rsid w:val="00384E0D"/>
    <w:rsid w:val="003852D4"/>
    <w:rsid w:val="0038568D"/>
    <w:rsid w:val="00385719"/>
    <w:rsid w:val="0038598E"/>
    <w:rsid w:val="00386093"/>
    <w:rsid w:val="003867EE"/>
    <w:rsid w:val="00387023"/>
    <w:rsid w:val="003901F5"/>
    <w:rsid w:val="003924DC"/>
    <w:rsid w:val="003926DE"/>
    <w:rsid w:val="00392805"/>
    <w:rsid w:val="00392DC7"/>
    <w:rsid w:val="00392FBB"/>
    <w:rsid w:val="00393D68"/>
    <w:rsid w:val="00394040"/>
    <w:rsid w:val="00394543"/>
    <w:rsid w:val="003949AA"/>
    <w:rsid w:val="00394B28"/>
    <w:rsid w:val="00394F0C"/>
    <w:rsid w:val="0039582C"/>
    <w:rsid w:val="00396484"/>
    <w:rsid w:val="003964EE"/>
    <w:rsid w:val="00397CFF"/>
    <w:rsid w:val="00397FC7"/>
    <w:rsid w:val="003A000C"/>
    <w:rsid w:val="003A0300"/>
    <w:rsid w:val="003A08FD"/>
    <w:rsid w:val="003A0954"/>
    <w:rsid w:val="003A12BF"/>
    <w:rsid w:val="003A16ED"/>
    <w:rsid w:val="003A1712"/>
    <w:rsid w:val="003A1882"/>
    <w:rsid w:val="003A1D08"/>
    <w:rsid w:val="003A1EC2"/>
    <w:rsid w:val="003A3BA2"/>
    <w:rsid w:val="003A3D27"/>
    <w:rsid w:val="003A4177"/>
    <w:rsid w:val="003A432F"/>
    <w:rsid w:val="003A43AB"/>
    <w:rsid w:val="003A6091"/>
    <w:rsid w:val="003A641C"/>
    <w:rsid w:val="003A64B8"/>
    <w:rsid w:val="003A68FD"/>
    <w:rsid w:val="003A6E48"/>
    <w:rsid w:val="003A7599"/>
    <w:rsid w:val="003A7929"/>
    <w:rsid w:val="003B049C"/>
    <w:rsid w:val="003B073F"/>
    <w:rsid w:val="003B09F4"/>
    <w:rsid w:val="003B0E10"/>
    <w:rsid w:val="003B0EDF"/>
    <w:rsid w:val="003B17BE"/>
    <w:rsid w:val="003B1B51"/>
    <w:rsid w:val="003B1F44"/>
    <w:rsid w:val="003B1F52"/>
    <w:rsid w:val="003B28C6"/>
    <w:rsid w:val="003B2F12"/>
    <w:rsid w:val="003B2F32"/>
    <w:rsid w:val="003B3902"/>
    <w:rsid w:val="003B3AB3"/>
    <w:rsid w:val="003B3AE6"/>
    <w:rsid w:val="003B4E90"/>
    <w:rsid w:val="003B5167"/>
    <w:rsid w:val="003B56C4"/>
    <w:rsid w:val="003B66B3"/>
    <w:rsid w:val="003B68E0"/>
    <w:rsid w:val="003B6EDF"/>
    <w:rsid w:val="003B7660"/>
    <w:rsid w:val="003B76BC"/>
    <w:rsid w:val="003B76CF"/>
    <w:rsid w:val="003B7B32"/>
    <w:rsid w:val="003C144F"/>
    <w:rsid w:val="003C14CA"/>
    <w:rsid w:val="003C17A9"/>
    <w:rsid w:val="003C1B15"/>
    <w:rsid w:val="003C2A7D"/>
    <w:rsid w:val="003C3432"/>
    <w:rsid w:val="003C3A9D"/>
    <w:rsid w:val="003C3D91"/>
    <w:rsid w:val="003C41B5"/>
    <w:rsid w:val="003C4CE6"/>
    <w:rsid w:val="003C4D54"/>
    <w:rsid w:val="003C5130"/>
    <w:rsid w:val="003C51D4"/>
    <w:rsid w:val="003C53EF"/>
    <w:rsid w:val="003C5827"/>
    <w:rsid w:val="003C58C5"/>
    <w:rsid w:val="003C590B"/>
    <w:rsid w:val="003C5ECC"/>
    <w:rsid w:val="003C63ED"/>
    <w:rsid w:val="003C69CE"/>
    <w:rsid w:val="003C73B4"/>
    <w:rsid w:val="003C797D"/>
    <w:rsid w:val="003C7A1F"/>
    <w:rsid w:val="003D07AB"/>
    <w:rsid w:val="003D08AF"/>
    <w:rsid w:val="003D094C"/>
    <w:rsid w:val="003D0A30"/>
    <w:rsid w:val="003D0D1E"/>
    <w:rsid w:val="003D0D72"/>
    <w:rsid w:val="003D19E8"/>
    <w:rsid w:val="003D1A85"/>
    <w:rsid w:val="003D2C57"/>
    <w:rsid w:val="003D2D64"/>
    <w:rsid w:val="003D30AB"/>
    <w:rsid w:val="003D3155"/>
    <w:rsid w:val="003D335C"/>
    <w:rsid w:val="003D3CB3"/>
    <w:rsid w:val="003D4136"/>
    <w:rsid w:val="003D42A9"/>
    <w:rsid w:val="003D4E87"/>
    <w:rsid w:val="003D5F01"/>
    <w:rsid w:val="003D61E6"/>
    <w:rsid w:val="003D6DC7"/>
    <w:rsid w:val="003D73FB"/>
    <w:rsid w:val="003E02A9"/>
    <w:rsid w:val="003E087A"/>
    <w:rsid w:val="003E0E38"/>
    <w:rsid w:val="003E19F1"/>
    <w:rsid w:val="003E1BA1"/>
    <w:rsid w:val="003E1CED"/>
    <w:rsid w:val="003E1FB0"/>
    <w:rsid w:val="003E21B4"/>
    <w:rsid w:val="003E23B3"/>
    <w:rsid w:val="003E28C7"/>
    <w:rsid w:val="003E2B18"/>
    <w:rsid w:val="003E3FE0"/>
    <w:rsid w:val="003E460F"/>
    <w:rsid w:val="003E4960"/>
    <w:rsid w:val="003E4A62"/>
    <w:rsid w:val="003E4D1C"/>
    <w:rsid w:val="003E5738"/>
    <w:rsid w:val="003E5A39"/>
    <w:rsid w:val="003E5CA3"/>
    <w:rsid w:val="003E61EB"/>
    <w:rsid w:val="003E6372"/>
    <w:rsid w:val="003E6808"/>
    <w:rsid w:val="003E6C4D"/>
    <w:rsid w:val="003E71A2"/>
    <w:rsid w:val="003F01EF"/>
    <w:rsid w:val="003F03E5"/>
    <w:rsid w:val="003F0645"/>
    <w:rsid w:val="003F0B40"/>
    <w:rsid w:val="003F1291"/>
    <w:rsid w:val="003F1302"/>
    <w:rsid w:val="003F13B5"/>
    <w:rsid w:val="003F162A"/>
    <w:rsid w:val="003F1635"/>
    <w:rsid w:val="003F1F59"/>
    <w:rsid w:val="003F23B7"/>
    <w:rsid w:val="003F26C2"/>
    <w:rsid w:val="003F2892"/>
    <w:rsid w:val="003F2988"/>
    <w:rsid w:val="003F37F1"/>
    <w:rsid w:val="003F428C"/>
    <w:rsid w:val="003F4745"/>
    <w:rsid w:val="003F4776"/>
    <w:rsid w:val="003F480A"/>
    <w:rsid w:val="003F48FB"/>
    <w:rsid w:val="003F490B"/>
    <w:rsid w:val="003F54DB"/>
    <w:rsid w:val="003F57A6"/>
    <w:rsid w:val="003F5D95"/>
    <w:rsid w:val="003F6156"/>
    <w:rsid w:val="003F6A6D"/>
    <w:rsid w:val="003F6B39"/>
    <w:rsid w:val="003F6C14"/>
    <w:rsid w:val="003F6E01"/>
    <w:rsid w:val="003F7098"/>
    <w:rsid w:val="003F7F9A"/>
    <w:rsid w:val="004000DA"/>
    <w:rsid w:val="00400160"/>
    <w:rsid w:val="0040022A"/>
    <w:rsid w:val="00400430"/>
    <w:rsid w:val="00400499"/>
    <w:rsid w:val="00400D9F"/>
    <w:rsid w:val="00400DE0"/>
    <w:rsid w:val="004010AD"/>
    <w:rsid w:val="00401812"/>
    <w:rsid w:val="00402074"/>
    <w:rsid w:val="004022BA"/>
    <w:rsid w:val="004032A4"/>
    <w:rsid w:val="004033B4"/>
    <w:rsid w:val="00403DB7"/>
    <w:rsid w:val="0040583C"/>
    <w:rsid w:val="00405BF9"/>
    <w:rsid w:val="00405CD9"/>
    <w:rsid w:val="00405E00"/>
    <w:rsid w:val="00406260"/>
    <w:rsid w:val="0041015C"/>
    <w:rsid w:val="00411125"/>
    <w:rsid w:val="00411745"/>
    <w:rsid w:val="00411CE2"/>
    <w:rsid w:val="00412007"/>
    <w:rsid w:val="004124DD"/>
    <w:rsid w:val="00412CF1"/>
    <w:rsid w:val="004137CB"/>
    <w:rsid w:val="00413E9B"/>
    <w:rsid w:val="004144F5"/>
    <w:rsid w:val="00414790"/>
    <w:rsid w:val="00414CE0"/>
    <w:rsid w:val="004150F4"/>
    <w:rsid w:val="0041544D"/>
    <w:rsid w:val="00415552"/>
    <w:rsid w:val="00415ABF"/>
    <w:rsid w:val="00416016"/>
    <w:rsid w:val="0041663B"/>
    <w:rsid w:val="0041683A"/>
    <w:rsid w:val="00417ADF"/>
    <w:rsid w:val="00417EEE"/>
    <w:rsid w:val="00417EF7"/>
    <w:rsid w:val="00420011"/>
    <w:rsid w:val="004201A5"/>
    <w:rsid w:val="004203B1"/>
    <w:rsid w:val="00420978"/>
    <w:rsid w:val="004218BD"/>
    <w:rsid w:val="00421B92"/>
    <w:rsid w:val="00421F4F"/>
    <w:rsid w:val="004224B4"/>
    <w:rsid w:val="004229E9"/>
    <w:rsid w:val="00422DB9"/>
    <w:rsid w:val="0042329F"/>
    <w:rsid w:val="00423320"/>
    <w:rsid w:val="00423523"/>
    <w:rsid w:val="004238CE"/>
    <w:rsid w:val="00423A1E"/>
    <w:rsid w:val="00424ACA"/>
    <w:rsid w:val="00424D15"/>
    <w:rsid w:val="0042539F"/>
    <w:rsid w:val="004254C8"/>
    <w:rsid w:val="00425912"/>
    <w:rsid w:val="0042596B"/>
    <w:rsid w:val="00425B0E"/>
    <w:rsid w:val="00425D9D"/>
    <w:rsid w:val="00425FC6"/>
    <w:rsid w:val="004268FF"/>
    <w:rsid w:val="00426EE8"/>
    <w:rsid w:val="00426FB3"/>
    <w:rsid w:val="004276E9"/>
    <w:rsid w:val="0042782E"/>
    <w:rsid w:val="00427868"/>
    <w:rsid w:val="004279A5"/>
    <w:rsid w:val="00427F64"/>
    <w:rsid w:val="0043004A"/>
    <w:rsid w:val="004302A9"/>
    <w:rsid w:val="0043125D"/>
    <w:rsid w:val="00431FED"/>
    <w:rsid w:val="00432022"/>
    <w:rsid w:val="0043262B"/>
    <w:rsid w:val="00432897"/>
    <w:rsid w:val="004329D6"/>
    <w:rsid w:val="00432A29"/>
    <w:rsid w:val="00434593"/>
    <w:rsid w:val="0043461A"/>
    <w:rsid w:val="00434C91"/>
    <w:rsid w:val="00435A75"/>
    <w:rsid w:val="00435CCA"/>
    <w:rsid w:val="0043601C"/>
    <w:rsid w:val="0043609F"/>
    <w:rsid w:val="0043639D"/>
    <w:rsid w:val="00436467"/>
    <w:rsid w:val="004369AC"/>
    <w:rsid w:val="00436F7C"/>
    <w:rsid w:val="00437776"/>
    <w:rsid w:val="00437E7D"/>
    <w:rsid w:val="0044016F"/>
    <w:rsid w:val="004406B0"/>
    <w:rsid w:val="00440A36"/>
    <w:rsid w:val="00440B00"/>
    <w:rsid w:val="00440CAB"/>
    <w:rsid w:val="00440F1D"/>
    <w:rsid w:val="00441611"/>
    <w:rsid w:val="00441C9B"/>
    <w:rsid w:val="0044244E"/>
    <w:rsid w:val="00442B8B"/>
    <w:rsid w:val="004431C0"/>
    <w:rsid w:val="004435C2"/>
    <w:rsid w:val="004446F6"/>
    <w:rsid w:val="0044509C"/>
    <w:rsid w:val="004450DC"/>
    <w:rsid w:val="00445759"/>
    <w:rsid w:val="00445984"/>
    <w:rsid w:val="00445CE5"/>
    <w:rsid w:val="00446460"/>
    <w:rsid w:val="0044688D"/>
    <w:rsid w:val="00446F20"/>
    <w:rsid w:val="00446FAC"/>
    <w:rsid w:val="00447CD9"/>
    <w:rsid w:val="00447E68"/>
    <w:rsid w:val="00447E90"/>
    <w:rsid w:val="00447F32"/>
    <w:rsid w:val="004519B8"/>
    <w:rsid w:val="00451FDB"/>
    <w:rsid w:val="0045270B"/>
    <w:rsid w:val="00452AAA"/>
    <w:rsid w:val="00452AC6"/>
    <w:rsid w:val="00452E10"/>
    <w:rsid w:val="00452FC5"/>
    <w:rsid w:val="004533A2"/>
    <w:rsid w:val="00454241"/>
    <w:rsid w:val="004544BB"/>
    <w:rsid w:val="0045450F"/>
    <w:rsid w:val="00454821"/>
    <w:rsid w:val="00454C30"/>
    <w:rsid w:val="004553E8"/>
    <w:rsid w:val="00455C9E"/>
    <w:rsid w:val="00456103"/>
    <w:rsid w:val="004566B8"/>
    <w:rsid w:val="00456A1F"/>
    <w:rsid w:val="00456C4C"/>
    <w:rsid w:val="004570D6"/>
    <w:rsid w:val="0045710D"/>
    <w:rsid w:val="004601D5"/>
    <w:rsid w:val="00460436"/>
    <w:rsid w:val="00460A5A"/>
    <w:rsid w:val="00460EA2"/>
    <w:rsid w:val="004612D9"/>
    <w:rsid w:val="0046143C"/>
    <w:rsid w:val="00461986"/>
    <w:rsid w:val="00461EF4"/>
    <w:rsid w:val="004622BD"/>
    <w:rsid w:val="004628D7"/>
    <w:rsid w:val="0046409B"/>
    <w:rsid w:val="00464369"/>
    <w:rsid w:val="004643C3"/>
    <w:rsid w:val="00464A32"/>
    <w:rsid w:val="00464FF9"/>
    <w:rsid w:val="0046562B"/>
    <w:rsid w:val="004656A0"/>
    <w:rsid w:val="0046588A"/>
    <w:rsid w:val="00465FCD"/>
    <w:rsid w:val="004677AC"/>
    <w:rsid w:val="00467D51"/>
    <w:rsid w:val="0047008E"/>
    <w:rsid w:val="00470863"/>
    <w:rsid w:val="00470A86"/>
    <w:rsid w:val="004711C4"/>
    <w:rsid w:val="004713AC"/>
    <w:rsid w:val="00471649"/>
    <w:rsid w:val="004718AF"/>
    <w:rsid w:val="00471C68"/>
    <w:rsid w:val="004723C2"/>
    <w:rsid w:val="00472D37"/>
    <w:rsid w:val="00472E51"/>
    <w:rsid w:val="004730DF"/>
    <w:rsid w:val="004732BB"/>
    <w:rsid w:val="004738AB"/>
    <w:rsid w:val="00473AC4"/>
    <w:rsid w:val="004743F4"/>
    <w:rsid w:val="0047487D"/>
    <w:rsid w:val="00474F41"/>
    <w:rsid w:val="0047518B"/>
    <w:rsid w:val="00477024"/>
    <w:rsid w:val="00477223"/>
    <w:rsid w:val="00477699"/>
    <w:rsid w:val="00477E71"/>
    <w:rsid w:val="00480213"/>
    <w:rsid w:val="004805F3"/>
    <w:rsid w:val="00480D56"/>
    <w:rsid w:val="00481503"/>
    <w:rsid w:val="004816C1"/>
    <w:rsid w:val="0048276B"/>
    <w:rsid w:val="004829D8"/>
    <w:rsid w:val="00482D6A"/>
    <w:rsid w:val="00482F11"/>
    <w:rsid w:val="00483116"/>
    <w:rsid w:val="004834AB"/>
    <w:rsid w:val="0048370B"/>
    <w:rsid w:val="004838CB"/>
    <w:rsid w:val="004843B4"/>
    <w:rsid w:val="004846C2"/>
    <w:rsid w:val="00484875"/>
    <w:rsid w:val="00485257"/>
    <w:rsid w:val="00485388"/>
    <w:rsid w:val="00485C97"/>
    <w:rsid w:val="00485ED7"/>
    <w:rsid w:val="004904A4"/>
    <w:rsid w:val="0049051E"/>
    <w:rsid w:val="004905E0"/>
    <w:rsid w:val="00491974"/>
    <w:rsid w:val="00491FCB"/>
    <w:rsid w:val="00492659"/>
    <w:rsid w:val="004927B8"/>
    <w:rsid w:val="004927E8"/>
    <w:rsid w:val="00492BB4"/>
    <w:rsid w:val="00492C84"/>
    <w:rsid w:val="004930A9"/>
    <w:rsid w:val="00493A94"/>
    <w:rsid w:val="00493C5F"/>
    <w:rsid w:val="00493CB8"/>
    <w:rsid w:val="00494114"/>
    <w:rsid w:val="0049441C"/>
    <w:rsid w:val="0049476C"/>
    <w:rsid w:val="00494F2D"/>
    <w:rsid w:val="004967DC"/>
    <w:rsid w:val="00496966"/>
    <w:rsid w:val="00496EC2"/>
    <w:rsid w:val="00497CB5"/>
    <w:rsid w:val="00497E53"/>
    <w:rsid w:val="004A0758"/>
    <w:rsid w:val="004A07E1"/>
    <w:rsid w:val="004A1DC7"/>
    <w:rsid w:val="004A30D3"/>
    <w:rsid w:val="004A38A7"/>
    <w:rsid w:val="004A3C80"/>
    <w:rsid w:val="004A5242"/>
    <w:rsid w:val="004A539A"/>
    <w:rsid w:val="004A5732"/>
    <w:rsid w:val="004A63B3"/>
    <w:rsid w:val="004A6698"/>
    <w:rsid w:val="004A6D01"/>
    <w:rsid w:val="004A6FCB"/>
    <w:rsid w:val="004A7187"/>
    <w:rsid w:val="004A7369"/>
    <w:rsid w:val="004A7422"/>
    <w:rsid w:val="004A76B9"/>
    <w:rsid w:val="004A77B0"/>
    <w:rsid w:val="004A7990"/>
    <w:rsid w:val="004B002F"/>
    <w:rsid w:val="004B041B"/>
    <w:rsid w:val="004B05F9"/>
    <w:rsid w:val="004B1C60"/>
    <w:rsid w:val="004B1DA6"/>
    <w:rsid w:val="004B2236"/>
    <w:rsid w:val="004B2C93"/>
    <w:rsid w:val="004B3440"/>
    <w:rsid w:val="004B3E39"/>
    <w:rsid w:val="004B507C"/>
    <w:rsid w:val="004B68ED"/>
    <w:rsid w:val="004B6C2E"/>
    <w:rsid w:val="004B7B32"/>
    <w:rsid w:val="004B7F63"/>
    <w:rsid w:val="004C02A7"/>
    <w:rsid w:val="004C02DC"/>
    <w:rsid w:val="004C04DC"/>
    <w:rsid w:val="004C075C"/>
    <w:rsid w:val="004C08E3"/>
    <w:rsid w:val="004C1D1F"/>
    <w:rsid w:val="004C25A5"/>
    <w:rsid w:val="004C2662"/>
    <w:rsid w:val="004C35C1"/>
    <w:rsid w:val="004C3958"/>
    <w:rsid w:val="004C39E6"/>
    <w:rsid w:val="004C4107"/>
    <w:rsid w:val="004C4CB2"/>
    <w:rsid w:val="004C4DAB"/>
    <w:rsid w:val="004C61E8"/>
    <w:rsid w:val="004C6615"/>
    <w:rsid w:val="004C7B8A"/>
    <w:rsid w:val="004C7DD1"/>
    <w:rsid w:val="004C7F5E"/>
    <w:rsid w:val="004C7F73"/>
    <w:rsid w:val="004D200A"/>
    <w:rsid w:val="004D22F7"/>
    <w:rsid w:val="004D2375"/>
    <w:rsid w:val="004D2BE6"/>
    <w:rsid w:val="004D324C"/>
    <w:rsid w:val="004D386B"/>
    <w:rsid w:val="004D443E"/>
    <w:rsid w:val="004D4AAE"/>
    <w:rsid w:val="004D50B1"/>
    <w:rsid w:val="004D5443"/>
    <w:rsid w:val="004D561D"/>
    <w:rsid w:val="004D5DE3"/>
    <w:rsid w:val="004D6178"/>
    <w:rsid w:val="004D617B"/>
    <w:rsid w:val="004D6424"/>
    <w:rsid w:val="004D6B85"/>
    <w:rsid w:val="004D6E11"/>
    <w:rsid w:val="004D6E25"/>
    <w:rsid w:val="004D79F2"/>
    <w:rsid w:val="004D7AF5"/>
    <w:rsid w:val="004E0341"/>
    <w:rsid w:val="004E0362"/>
    <w:rsid w:val="004E03E2"/>
    <w:rsid w:val="004E0AB5"/>
    <w:rsid w:val="004E0AED"/>
    <w:rsid w:val="004E1696"/>
    <w:rsid w:val="004E234F"/>
    <w:rsid w:val="004E240E"/>
    <w:rsid w:val="004E381B"/>
    <w:rsid w:val="004E3AD2"/>
    <w:rsid w:val="004E3D58"/>
    <w:rsid w:val="004E471B"/>
    <w:rsid w:val="004E4FAE"/>
    <w:rsid w:val="004E5745"/>
    <w:rsid w:val="004E6335"/>
    <w:rsid w:val="004E6784"/>
    <w:rsid w:val="004E6C3F"/>
    <w:rsid w:val="004E7053"/>
    <w:rsid w:val="004E7652"/>
    <w:rsid w:val="004F02AD"/>
    <w:rsid w:val="004F05EE"/>
    <w:rsid w:val="004F0A8C"/>
    <w:rsid w:val="004F0AB3"/>
    <w:rsid w:val="004F0B97"/>
    <w:rsid w:val="004F0F64"/>
    <w:rsid w:val="004F1314"/>
    <w:rsid w:val="004F1C2A"/>
    <w:rsid w:val="004F237D"/>
    <w:rsid w:val="004F2F8C"/>
    <w:rsid w:val="004F301F"/>
    <w:rsid w:val="004F32BF"/>
    <w:rsid w:val="004F3505"/>
    <w:rsid w:val="004F3FDF"/>
    <w:rsid w:val="004F42FB"/>
    <w:rsid w:val="004F4815"/>
    <w:rsid w:val="004F488C"/>
    <w:rsid w:val="004F4B52"/>
    <w:rsid w:val="004F53F1"/>
    <w:rsid w:val="004F5CB8"/>
    <w:rsid w:val="004F6A79"/>
    <w:rsid w:val="004F7748"/>
    <w:rsid w:val="004F7DAF"/>
    <w:rsid w:val="004F7E9B"/>
    <w:rsid w:val="004F7F19"/>
    <w:rsid w:val="005007E9"/>
    <w:rsid w:val="0050125D"/>
    <w:rsid w:val="0050149D"/>
    <w:rsid w:val="00501DF1"/>
    <w:rsid w:val="00501E71"/>
    <w:rsid w:val="00502455"/>
    <w:rsid w:val="00502FD5"/>
    <w:rsid w:val="00503350"/>
    <w:rsid w:val="00503517"/>
    <w:rsid w:val="005035A7"/>
    <w:rsid w:val="00503A75"/>
    <w:rsid w:val="00505520"/>
    <w:rsid w:val="005059B4"/>
    <w:rsid w:val="00505BD6"/>
    <w:rsid w:val="00506EB0"/>
    <w:rsid w:val="005075BC"/>
    <w:rsid w:val="00507784"/>
    <w:rsid w:val="00507B72"/>
    <w:rsid w:val="00507E6F"/>
    <w:rsid w:val="00510246"/>
    <w:rsid w:val="005102DE"/>
    <w:rsid w:val="00511C39"/>
    <w:rsid w:val="00512D9E"/>
    <w:rsid w:val="0051304C"/>
    <w:rsid w:val="00513331"/>
    <w:rsid w:val="00513372"/>
    <w:rsid w:val="005137E7"/>
    <w:rsid w:val="00514584"/>
    <w:rsid w:val="00514E07"/>
    <w:rsid w:val="005153D0"/>
    <w:rsid w:val="005158CE"/>
    <w:rsid w:val="005169CB"/>
    <w:rsid w:val="00517CB5"/>
    <w:rsid w:val="00520686"/>
    <w:rsid w:val="0052073A"/>
    <w:rsid w:val="00520FC9"/>
    <w:rsid w:val="0052115A"/>
    <w:rsid w:val="00521787"/>
    <w:rsid w:val="00521BB1"/>
    <w:rsid w:val="00521C7C"/>
    <w:rsid w:val="00521C8C"/>
    <w:rsid w:val="00521D38"/>
    <w:rsid w:val="00521FD9"/>
    <w:rsid w:val="0052261A"/>
    <w:rsid w:val="00522A56"/>
    <w:rsid w:val="00523801"/>
    <w:rsid w:val="00523AE1"/>
    <w:rsid w:val="00525667"/>
    <w:rsid w:val="00525672"/>
    <w:rsid w:val="005256DC"/>
    <w:rsid w:val="00525B01"/>
    <w:rsid w:val="00525B32"/>
    <w:rsid w:val="00525CDA"/>
    <w:rsid w:val="005269A1"/>
    <w:rsid w:val="0052745D"/>
    <w:rsid w:val="0052757D"/>
    <w:rsid w:val="00527986"/>
    <w:rsid w:val="00527EB8"/>
    <w:rsid w:val="0053063A"/>
    <w:rsid w:val="00530987"/>
    <w:rsid w:val="0053167A"/>
    <w:rsid w:val="00531D2E"/>
    <w:rsid w:val="005320E2"/>
    <w:rsid w:val="00532937"/>
    <w:rsid w:val="00532EC5"/>
    <w:rsid w:val="005332B9"/>
    <w:rsid w:val="00533A24"/>
    <w:rsid w:val="00534207"/>
    <w:rsid w:val="00534B07"/>
    <w:rsid w:val="005351CA"/>
    <w:rsid w:val="00535CE1"/>
    <w:rsid w:val="00535D90"/>
    <w:rsid w:val="005366E6"/>
    <w:rsid w:val="00536765"/>
    <w:rsid w:val="005368C9"/>
    <w:rsid w:val="00536AE2"/>
    <w:rsid w:val="00536B87"/>
    <w:rsid w:val="00536EF2"/>
    <w:rsid w:val="005376C4"/>
    <w:rsid w:val="00537DD6"/>
    <w:rsid w:val="00537F30"/>
    <w:rsid w:val="0054093A"/>
    <w:rsid w:val="00540CE8"/>
    <w:rsid w:val="00541353"/>
    <w:rsid w:val="00541DE1"/>
    <w:rsid w:val="00542474"/>
    <w:rsid w:val="00542644"/>
    <w:rsid w:val="00543110"/>
    <w:rsid w:val="00543111"/>
    <w:rsid w:val="0054342F"/>
    <w:rsid w:val="0054345D"/>
    <w:rsid w:val="00544BDE"/>
    <w:rsid w:val="00545004"/>
    <w:rsid w:val="00545077"/>
    <w:rsid w:val="00545198"/>
    <w:rsid w:val="005451B7"/>
    <w:rsid w:val="00545B9B"/>
    <w:rsid w:val="00545CAC"/>
    <w:rsid w:val="00545F41"/>
    <w:rsid w:val="00546099"/>
    <w:rsid w:val="005460C7"/>
    <w:rsid w:val="005466C9"/>
    <w:rsid w:val="00546994"/>
    <w:rsid w:val="00546E6A"/>
    <w:rsid w:val="00547346"/>
    <w:rsid w:val="005477AD"/>
    <w:rsid w:val="00547FB0"/>
    <w:rsid w:val="00550728"/>
    <w:rsid w:val="00550E55"/>
    <w:rsid w:val="005512A5"/>
    <w:rsid w:val="00551446"/>
    <w:rsid w:val="00551678"/>
    <w:rsid w:val="0055181F"/>
    <w:rsid w:val="00551905"/>
    <w:rsid w:val="00551D19"/>
    <w:rsid w:val="00551E9E"/>
    <w:rsid w:val="0055221E"/>
    <w:rsid w:val="005535AB"/>
    <w:rsid w:val="00553721"/>
    <w:rsid w:val="0055389F"/>
    <w:rsid w:val="00553F4A"/>
    <w:rsid w:val="00554561"/>
    <w:rsid w:val="00554613"/>
    <w:rsid w:val="0055469D"/>
    <w:rsid w:val="00554FFA"/>
    <w:rsid w:val="005556A9"/>
    <w:rsid w:val="0055698E"/>
    <w:rsid w:val="00557096"/>
    <w:rsid w:val="005571E1"/>
    <w:rsid w:val="00557582"/>
    <w:rsid w:val="005602BC"/>
    <w:rsid w:val="005608CF"/>
    <w:rsid w:val="005609E2"/>
    <w:rsid w:val="00560DC6"/>
    <w:rsid w:val="005610E8"/>
    <w:rsid w:val="0056137E"/>
    <w:rsid w:val="0056168D"/>
    <w:rsid w:val="00561919"/>
    <w:rsid w:val="005619B5"/>
    <w:rsid w:val="00561AA7"/>
    <w:rsid w:val="00562017"/>
    <w:rsid w:val="0056263F"/>
    <w:rsid w:val="00562DC1"/>
    <w:rsid w:val="0056332B"/>
    <w:rsid w:val="00563BC8"/>
    <w:rsid w:val="00563FB0"/>
    <w:rsid w:val="005644DA"/>
    <w:rsid w:val="005648CF"/>
    <w:rsid w:val="005648EA"/>
    <w:rsid w:val="00564A7F"/>
    <w:rsid w:val="005656FA"/>
    <w:rsid w:val="00565B79"/>
    <w:rsid w:val="00565BC2"/>
    <w:rsid w:val="00566010"/>
    <w:rsid w:val="0056651C"/>
    <w:rsid w:val="0056665B"/>
    <w:rsid w:val="00566CBD"/>
    <w:rsid w:val="00570347"/>
    <w:rsid w:val="00570407"/>
    <w:rsid w:val="00571DC9"/>
    <w:rsid w:val="00571EE8"/>
    <w:rsid w:val="00572404"/>
    <w:rsid w:val="00573679"/>
    <w:rsid w:val="00573796"/>
    <w:rsid w:val="00573C0A"/>
    <w:rsid w:val="00574091"/>
    <w:rsid w:val="0057486C"/>
    <w:rsid w:val="00574E62"/>
    <w:rsid w:val="00574EDD"/>
    <w:rsid w:val="00575137"/>
    <w:rsid w:val="00575525"/>
    <w:rsid w:val="005756E1"/>
    <w:rsid w:val="00575CDB"/>
    <w:rsid w:val="0057626E"/>
    <w:rsid w:val="0057659D"/>
    <w:rsid w:val="00576BAD"/>
    <w:rsid w:val="0057706E"/>
    <w:rsid w:val="005777AE"/>
    <w:rsid w:val="00580A85"/>
    <w:rsid w:val="00581307"/>
    <w:rsid w:val="005819D1"/>
    <w:rsid w:val="005823CA"/>
    <w:rsid w:val="005824D1"/>
    <w:rsid w:val="00582568"/>
    <w:rsid w:val="00582812"/>
    <w:rsid w:val="005828F6"/>
    <w:rsid w:val="00582A4D"/>
    <w:rsid w:val="00583026"/>
    <w:rsid w:val="0058314F"/>
    <w:rsid w:val="005831B3"/>
    <w:rsid w:val="00583C99"/>
    <w:rsid w:val="00584008"/>
    <w:rsid w:val="005846E9"/>
    <w:rsid w:val="00585072"/>
    <w:rsid w:val="00585173"/>
    <w:rsid w:val="005851B5"/>
    <w:rsid w:val="00585ACC"/>
    <w:rsid w:val="00585E3B"/>
    <w:rsid w:val="00586747"/>
    <w:rsid w:val="00586846"/>
    <w:rsid w:val="0058717A"/>
    <w:rsid w:val="005874D2"/>
    <w:rsid w:val="0058782A"/>
    <w:rsid w:val="00587F75"/>
    <w:rsid w:val="0059077A"/>
    <w:rsid w:val="005908D5"/>
    <w:rsid w:val="00590E8C"/>
    <w:rsid w:val="00590FA1"/>
    <w:rsid w:val="00590FFA"/>
    <w:rsid w:val="00591CB2"/>
    <w:rsid w:val="00591FFD"/>
    <w:rsid w:val="005920C8"/>
    <w:rsid w:val="0059273F"/>
    <w:rsid w:val="00594852"/>
    <w:rsid w:val="00594990"/>
    <w:rsid w:val="00594AA8"/>
    <w:rsid w:val="00595F60"/>
    <w:rsid w:val="00596542"/>
    <w:rsid w:val="0059666D"/>
    <w:rsid w:val="00596D81"/>
    <w:rsid w:val="005971C2"/>
    <w:rsid w:val="00597CB1"/>
    <w:rsid w:val="005A0019"/>
    <w:rsid w:val="005A00F5"/>
    <w:rsid w:val="005A0683"/>
    <w:rsid w:val="005A0994"/>
    <w:rsid w:val="005A09B3"/>
    <w:rsid w:val="005A0B98"/>
    <w:rsid w:val="005A213B"/>
    <w:rsid w:val="005A27E2"/>
    <w:rsid w:val="005A288A"/>
    <w:rsid w:val="005A2E25"/>
    <w:rsid w:val="005A375B"/>
    <w:rsid w:val="005A37CD"/>
    <w:rsid w:val="005A4654"/>
    <w:rsid w:val="005A4793"/>
    <w:rsid w:val="005A6CA1"/>
    <w:rsid w:val="005A6F25"/>
    <w:rsid w:val="005A76B1"/>
    <w:rsid w:val="005A7765"/>
    <w:rsid w:val="005A7BC5"/>
    <w:rsid w:val="005A7D26"/>
    <w:rsid w:val="005A7EE8"/>
    <w:rsid w:val="005B0412"/>
    <w:rsid w:val="005B09DF"/>
    <w:rsid w:val="005B1866"/>
    <w:rsid w:val="005B26A7"/>
    <w:rsid w:val="005B3D0B"/>
    <w:rsid w:val="005B4492"/>
    <w:rsid w:val="005B48AE"/>
    <w:rsid w:val="005B4C04"/>
    <w:rsid w:val="005B5DF7"/>
    <w:rsid w:val="005B671B"/>
    <w:rsid w:val="005B6CCF"/>
    <w:rsid w:val="005B6F5C"/>
    <w:rsid w:val="005B7157"/>
    <w:rsid w:val="005B72B7"/>
    <w:rsid w:val="005B73EB"/>
    <w:rsid w:val="005B74B9"/>
    <w:rsid w:val="005B74EC"/>
    <w:rsid w:val="005B75F0"/>
    <w:rsid w:val="005C09D8"/>
    <w:rsid w:val="005C0E29"/>
    <w:rsid w:val="005C11E9"/>
    <w:rsid w:val="005C2646"/>
    <w:rsid w:val="005C309A"/>
    <w:rsid w:val="005C3881"/>
    <w:rsid w:val="005C3903"/>
    <w:rsid w:val="005C3D42"/>
    <w:rsid w:val="005C4392"/>
    <w:rsid w:val="005C44DB"/>
    <w:rsid w:val="005C49C3"/>
    <w:rsid w:val="005C57C6"/>
    <w:rsid w:val="005C5ACB"/>
    <w:rsid w:val="005C6380"/>
    <w:rsid w:val="005C695B"/>
    <w:rsid w:val="005C701D"/>
    <w:rsid w:val="005C723F"/>
    <w:rsid w:val="005C77B1"/>
    <w:rsid w:val="005C7BD7"/>
    <w:rsid w:val="005D0382"/>
    <w:rsid w:val="005D082A"/>
    <w:rsid w:val="005D1F52"/>
    <w:rsid w:val="005D2600"/>
    <w:rsid w:val="005D3178"/>
    <w:rsid w:val="005D358A"/>
    <w:rsid w:val="005D3614"/>
    <w:rsid w:val="005D3702"/>
    <w:rsid w:val="005D3CFB"/>
    <w:rsid w:val="005D3E7E"/>
    <w:rsid w:val="005D3FA2"/>
    <w:rsid w:val="005D4750"/>
    <w:rsid w:val="005D560E"/>
    <w:rsid w:val="005D56C4"/>
    <w:rsid w:val="005D5E0C"/>
    <w:rsid w:val="005D6953"/>
    <w:rsid w:val="005D78BD"/>
    <w:rsid w:val="005D7DA4"/>
    <w:rsid w:val="005D7FAB"/>
    <w:rsid w:val="005E016C"/>
    <w:rsid w:val="005E1309"/>
    <w:rsid w:val="005E18A3"/>
    <w:rsid w:val="005E191B"/>
    <w:rsid w:val="005E1ED3"/>
    <w:rsid w:val="005E2E6D"/>
    <w:rsid w:val="005E31B1"/>
    <w:rsid w:val="005E36FC"/>
    <w:rsid w:val="005E3CA2"/>
    <w:rsid w:val="005E3E3D"/>
    <w:rsid w:val="005E42AA"/>
    <w:rsid w:val="005E46D5"/>
    <w:rsid w:val="005E4777"/>
    <w:rsid w:val="005E4D97"/>
    <w:rsid w:val="005E73C7"/>
    <w:rsid w:val="005E7A1A"/>
    <w:rsid w:val="005F0122"/>
    <w:rsid w:val="005F0BF4"/>
    <w:rsid w:val="005F1095"/>
    <w:rsid w:val="005F1444"/>
    <w:rsid w:val="005F2012"/>
    <w:rsid w:val="005F24B9"/>
    <w:rsid w:val="005F24F8"/>
    <w:rsid w:val="005F277B"/>
    <w:rsid w:val="005F2E32"/>
    <w:rsid w:val="005F2F61"/>
    <w:rsid w:val="005F3711"/>
    <w:rsid w:val="005F3808"/>
    <w:rsid w:val="005F3E5E"/>
    <w:rsid w:val="005F41E7"/>
    <w:rsid w:val="005F480F"/>
    <w:rsid w:val="005F4980"/>
    <w:rsid w:val="005F5126"/>
    <w:rsid w:val="005F5518"/>
    <w:rsid w:val="005F57CC"/>
    <w:rsid w:val="005F5CB9"/>
    <w:rsid w:val="005F5DF1"/>
    <w:rsid w:val="005F6C8D"/>
    <w:rsid w:val="005F6CAF"/>
    <w:rsid w:val="005F6D5F"/>
    <w:rsid w:val="005F724A"/>
    <w:rsid w:val="005F77B4"/>
    <w:rsid w:val="00600D62"/>
    <w:rsid w:val="0060108B"/>
    <w:rsid w:val="0060113F"/>
    <w:rsid w:val="0060122E"/>
    <w:rsid w:val="00601A1E"/>
    <w:rsid w:val="00601C7E"/>
    <w:rsid w:val="00601F5B"/>
    <w:rsid w:val="00602175"/>
    <w:rsid w:val="00602B7D"/>
    <w:rsid w:val="00602E45"/>
    <w:rsid w:val="0060302A"/>
    <w:rsid w:val="00603047"/>
    <w:rsid w:val="0060334F"/>
    <w:rsid w:val="00603400"/>
    <w:rsid w:val="00603E34"/>
    <w:rsid w:val="00604572"/>
    <w:rsid w:val="00604BDE"/>
    <w:rsid w:val="00604D14"/>
    <w:rsid w:val="00604E32"/>
    <w:rsid w:val="00605198"/>
    <w:rsid w:val="006056A0"/>
    <w:rsid w:val="00605700"/>
    <w:rsid w:val="00605B85"/>
    <w:rsid w:val="00606E35"/>
    <w:rsid w:val="006077EB"/>
    <w:rsid w:val="00607A73"/>
    <w:rsid w:val="00607B3B"/>
    <w:rsid w:val="00607D3D"/>
    <w:rsid w:val="006101ED"/>
    <w:rsid w:val="00610696"/>
    <w:rsid w:val="0061070E"/>
    <w:rsid w:val="00610883"/>
    <w:rsid w:val="0061091A"/>
    <w:rsid w:val="0061157D"/>
    <w:rsid w:val="00611EF4"/>
    <w:rsid w:val="006126F1"/>
    <w:rsid w:val="00612F31"/>
    <w:rsid w:val="006133F8"/>
    <w:rsid w:val="006137E4"/>
    <w:rsid w:val="00613EC6"/>
    <w:rsid w:val="0061415E"/>
    <w:rsid w:val="00616521"/>
    <w:rsid w:val="00616B02"/>
    <w:rsid w:val="00617229"/>
    <w:rsid w:val="0061734F"/>
    <w:rsid w:val="00617A67"/>
    <w:rsid w:val="006205B6"/>
    <w:rsid w:val="00620829"/>
    <w:rsid w:val="00621D7C"/>
    <w:rsid w:val="006223A2"/>
    <w:rsid w:val="006233C1"/>
    <w:rsid w:val="00623457"/>
    <w:rsid w:val="0062376F"/>
    <w:rsid w:val="00623D88"/>
    <w:rsid w:val="00624A63"/>
    <w:rsid w:val="0062547C"/>
    <w:rsid w:val="006258A0"/>
    <w:rsid w:val="00625DF2"/>
    <w:rsid w:val="0062633D"/>
    <w:rsid w:val="00626460"/>
    <w:rsid w:val="0062677C"/>
    <w:rsid w:val="00626B9B"/>
    <w:rsid w:val="006272AA"/>
    <w:rsid w:val="00627646"/>
    <w:rsid w:val="0062775B"/>
    <w:rsid w:val="006277E2"/>
    <w:rsid w:val="0063029D"/>
    <w:rsid w:val="006304EC"/>
    <w:rsid w:val="00630BEF"/>
    <w:rsid w:val="00630DDC"/>
    <w:rsid w:val="00630FB3"/>
    <w:rsid w:val="00631B45"/>
    <w:rsid w:val="00631BDD"/>
    <w:rsid w:val="00632AFB"/>
    <w:rsid w:val="00632ED4"/>
    <w:rsid w:val="0063393A"/>
    <w:rsid w:val="00633B0E"/>
    <w:rsid w:val="0063434B"/>
    <w:rsid w:val="00635026"/>
    <w:rsid w:val="00635249"/>
    <w:rsid w:val="006357D7"/>
    <w:rsid w:val="006358F3"/>
    <w:rsid w:val="00635A0A"/>
    <w:rsid w:val="00636319"/>
    <w:rsid w:val="0063686C"/>
    <w:rsid w:val="00637245"/>
    <w:rsid w:val="00637442"/>
    <w:rsid w:val="0063761A"/>
    <w:rsid w:val="00637869"/>
    <w:rsid w:val="006405C0"/>
    <w:rsid w:val="00640AC2"/>
    <w:rsid w:val="00641447"/>
    <w:rsid w:val="00641BF8"/>
    <w:rsid w:val="006420CA"/>
    <w:rsid w:val="00642515"/>
    <w:rsid w:val="00642FAF"/>
    <w:rsid w:val="006434C7"/>
    <w:rsid w:val="006435ED"/>
    <w:rsid w:val="0064407A"/>
    <w:rsid w:val="0064439B"/>
    <w:rsid w:val="006443D3"/>
    <w:rsid w:val="00644578"/>
    <w:rsid w:val="0064473B"/>
    <w:rsid w:val="0064492E"/>
    <w:rsid w:val="00644C5A"/>
    <w:rsid w:val="00644EAB"/>
    <w:rsid w:val="0064522C"/>
    <w:rsid w:val="00645409"/>
    <w:rsid w:val="006457C3"/>
    <w:rsid w:val="00646F71"/>
    <w:rsid w:val="00647915"/>
    <w:rsid w:val="0064792E"/>
    <w:rsid w:val="006501A8"/>
    <w:rsid w:val="00650962"/>
    <w:rsid w:val="00650FF7"/>
    <w:rsid w:val="00651065"/>
    <w:rsid w:val="00651217"/>
    <w:rsid w:val="0065138A"/>
    <w:rsid w:val="00651C3E"/>
    <w:rsid w:val="00652163"/>
    <w:rsid w:val="00652444"/>
    <w:rsid w:val="00652508"/>
    <w:rsid w:val="00652AFF"/>
    <w:rsid w:val="00653B11"/>
    <w:rsid w:val="00653BC7"/>
    <w:rsid w:val="00653CBF"/>
    <w:rsid w:val="00653F95"/>
    <w:rsid w:val="006545FB"/>
    <w:rsid w:val="006546F7"/>
    <w:rsid w:val="006549C3"/>
    <w:rsid w:val="0065550F"/>
    <w:rsid w:val="0065665D"/>
    <w:rsid w:val="00656C89"/>
    <w:rsid w:val="006573EE"/>
    <w:rsid w:val="006574B8"/>
    <w:rsid w:val="00657C81"/>
    <w:rsid w:val="006606FC"/>
    <w:rsid w:val="00660846"/>
    <w:rsid w:val="006608BF"/>
    <w:rsid w:val="006626D1"/>
    <w:rsid w:val="0066277B"/>
    <w:rsid w:val="00662C97"/>
    <w:rsid w:val="006637A2"/>
    <w:rsid w:val="00663A67"/>
    <w:rsid w:val="0066434D"/>
    <w:rsid w:val="00664682"/>
    <w:rsid w:val="00664C76"/>
    <w:rsid w:val="00664ED5"/>
    <w:rsid w:val="00664F16"/>
    <w:rsid w:val="0066531B"/>
    <w:rsid w:val="00666057"/>
    <w:rsid w:val="006672AE"/>
    <w:rsid w:val="0067019E"/>
    <w:rsid w:val="0067124E"/>
    <w:rsid w:val="00671312"/>
    <w:rsid w:val="00671766"/>
    <w:rsid w:val="00672A4B"/>
    <w:rsid w:val="006731D4"/>
    <w:rsid w:val="00673F76"/>
    <w:rsid w:val="00674136"/>
    <w:rsid w:val="006744E5"/>
    <w:rsid w:val="00674690"/>
    <w:rsid w:val="00674B75"/>
    <w:rsid w:val="006761CD"/>
    <w:rsid w:val="006762AA"/>
    <w:rsid w:val="006765BF"/>
    <w:rsid w:val="006767E4"/>
    <w:rsid w:val="00676D46"/>
    <w:rsid w:val="006770D9"/>
    <w:rsid w:val="00677364"/>
    <w:rsid w:val="00677A82"/>
    <w:rsid w:val="00677E51"/>
    <w:rsid w:val="0068038D"/>
    <w:rsid w:val="0068050D"/>
    <w:rsid w:val="00680895"/>
    <w:rsid w:val="006810E2"/>
    <w:rsid w:val="00681521"/>
    <w:rsid w:val="006819D0"/>
    <w:rsid w:val="00682091"/>
    <w:rsid w:val="00682A62"/>
    <w:rsid w:val="00682AF5"/>
    <w:rsid w:val="0068316B"/>
    <w:rsid w:val="00683E7D"/>
    <w:rsid w:val="00684061"/>
    <w:rsid w:val="00684A32"/>
    <w:rsid w:val="00684F07"/>
    <w:rsid w:val="0068541B"/>
    <w:rsid w:val="006859A1"/>
    <w:rsid w:val="00685AC8"/>
    <w:rsid w:val="0068625A"/>
    <w:rsid w:val="006870D3"/>
    <w:rsid w:val="00687E97"/>
    <w:rsid w:val="00690244"/>
    <w:rsid w:val="006909C4"/>
    <w:rsid w:val="00690C21"/>
    <w:rsid w:val="00691651"/>
    <w:rsid w:val="00691C07"/>
    <w:rsid w:val="00691F86"/>
    <w:rsid w:val="0069208A"/>
    <w:rsid w:val="00692306"/>
    <w:rsid w:val="006933C4"/>
    <w:rsid w:val="00693B11"/>
    <w:rsid w:val="00695443"/>
    <w:rsid w:val="0069584D"/>
    <w:rsid w:val="00695938"/>
    <w:rsid w:val="00695D36"/>
    <w:rsid w:val="0069651A"/>
    <w:rsid w:val="00697820"/>
    <w:rsid w:val="00697B39"/>
    <w:rsid w:val="00697F42"/>
    <w:rsid w:val="006A025B"/>
    <w:rsid w:val="006A04D9"/>
    <w:rsid w:val="006A04EC"/>
    <w:rsid w:val="006A05D8"/>
    <w:rsid w:val="006A0F32"/>
    <w:rsid w:val="006A1051"/>
    <w:rsid w:val="006A1211"/>
    <w:rsid w:val="006A15C9"/>
    <w:rsid w:val="006A16B6"/>
    <w:rsid w:val="006A2382"/>
    <w:rsid w:val="006A2F7E"/>
    <w:rsid w:val="006A367A"/>
    <w:rsid w:val="006A3AD9"/>
    <w:rsid w:val="006A3B17"/>
    <w:rsid w:val="006A3C99"/>
    <w:rsid w:val="006A3CAF"/>
    <w:rsid w:val="006A4117"/>
    <w:rsid w:val="006A74E9"/>
    <w:rsid w:val="006A7B48"/>
    <w:rsid w:val="006B0394"/>
    <w:rsid w:val="006B0994"/>
    <w:rsid w:val="006B0D45"/>
    <w:rsid w:val="006B0F67"/>
    <w:rsid w:val="006B1161"/>
    <w:rsid w:val="006B164F"/>
    <w:rsid w:val="006B16D5"/>
    <w:rsid w:val="006B19CE"/>
    <w:rsid w:val="006B1BAF"/>
    <w:rsid w:val="006B217A"/>
    <w:rsid w:val="006B23C5"/>
    <w:rsid w:val="006B35DF"/>
    <w:rsid w:val="006B44D2"/>
    <w:rsid w:val="006B4E37"/>
    <w:rsid w:val="006B518A"/>
    <w:rsid w:val="006B5900"/>
    <w:rsid w:val="006B5AE4"/>
    <w:rsid w:val="006B6126"/>
    <w:rsid w:val="006B652E"/>
    <w:rsid w:val="006B783E"/>
    <w:rsid w:val="006C027B"/>
    <w:rsid w:val="006C0A82"/>
    <w:rsid w:val="006C10F1"/>
    <w:rsid w:val="006C1EB8"/>
    <w:rsid w:val="006C21D2"/>
    <w:rsid w:val="006C22FB"/>
    <w:rsid w:val="006C28E9"/>
    <w:rsid w:val="006C2C90"/>
    <w:rsid w:val="006C2CC9"/>
    <w:rsid w:val="006C3533"/>
    <w:rsid w:val="006C3F55"/>
    <w:rsid w:val="006C4867"/>
    <w:rsid w:val="006C4A0C"/>
    <w:rsid w:val="006C5615"/>
    <w:rsid w:val="006C57CB"/>
    <w:rsid w:val="006C6D86"/>
    <w:rsid w:val="006C6EC0"/>
    <w:rsid w:val="006C7EA4"/>
    <w:rsid w:val="006D0F47"/>
    <w:rsid w:val="006D11BD"/>
    <w:rsid w:val="006D1931"/>
    <w:rsid w:val="006D1EC7"/>
    <w:rsid w:val="006D2D80"/>
    <w:rsid w:val="006D2E3F"/>
    <w:rsid w:val="006D2F51"/>
    <w:rsid w:val="006D32DC"/>
    <w:rsid w:val="006D389A"/>
    <w:rsid w:val="006D39D2"/>
    <w:rsid w:val="006D3BF1"/>
    <w:rsid w:val="006D427B"/>
    <w:rsid w:val="006D505A"/>
    <w:rsid w:val="006D5138"/>
    <w:rsid w:val="006D5184"/>
    <w:rsid w:val="006D5264"/>
    <w:rsid w:val="006D52B6"/>
    <w:rsid w:val="006D542B"/>
    <w:rsid w:val="006D58F2"/>
    <w:rsid w:val="006D59A1"/>
    <w:rsid w:val="006D6A9D"/>
    <w:rsid w:val="006D72B3"/>
    <w:rsid w:val="006D7333"/>
    <w:rsid w:val="006E0217"/>
    <w:rsid w:val="006E0898"/>
    <w:rsid w:val="006E0906"/>
    <w:rsid w:val="006E1953"/>
    <w:rsid w:val="006E1BB7"/>
    <w:rsid w:val="006E1E15"/>
    <w:rsid w:val="006E1F93"/>
    <w:rsid w:val="006E23D3"/>
    <w:rsid w:val="006E3543"/>
    <w:rsid w:val="006E36C8"/>
    <w:rsid w:val="006E39FD"/>
    <w:rsid w:val="006E4AD7"/>
    <w:rsid w:val="006E51E2"/>
    <w:rsid w:val="006E5496"/>
    <w:rsid w:val="006E5896"/>
    <w:rsid w:val="006E59F4"/>
    <w:rsid w:val="006E5DF9"/>
    <w:rsid w:val="006E6D92"/>
    <w:rsid w:val="006F01A7"/>
    <w:rsid w:val="006F0AE5"/>
    <w:rsid w:val="006F0F7F"/>
    <w:rsid w:val="006F1111"/>
    <w:rsid w:val="006F13E5"/>
    <w:rsid w:val="006F1446"/>
    <w:rsid w:val="006F2B7D"/>
    <w:rsid w:val="006F30EE"/>
    <w:rsid w:val="006F32EB"/>
    <w:rsid w:val="006F34AA"/>
    <w:rsid w:val="006F3625"/>
    <w:rsid w:val="006F3AB3"/>
    <w:rsid w:val="006F46AE"/>
    <w:rsid w:val="006F46FC"/>
    <w:rsid w:val="006F491D"/>
    <w:rsid w:val="006F5089"/>
    <w:rsid w:val="006F5B1F"/>
    <w:rsid w:val="006F5C94"/>
    <w:rsid w:val="006F64F5"/>
    <w:rsid w:val="006F67AB"/>
    <w:rsid w:val="006F68D3"/>
    <w:rsid w:val="006F75D0"/>
    <w:rsid w:val="00700C79"/>
    <w:rsid w:val="00700CD7"/>
    <w:rsid w:val="007012CB"/>
    <w:rsid w:val="00701545"/>
    <w:rsid w:val="007016DE"/>
    <w:rsid w:val="00701B8C"/>
    <w:rsid w:val="00701E4B"/>
    <w:rsid w:val="0070271C"/>
    <w:rsid w:val="007028DD"/>
    <w:rsid w:val="00702E09"/>
    <w:rsid w:val="00702E9B"/>
    <w:rsid w:val="00703219"/>
    <w:rsid w:val="00703341"/>
    <w:rsid w:val="0070349F"/>
    <w:rsid w:val="007041A8"/>
    <w:rsid w:val="0070432C"/>
    <w:rsid w:val="00704572"/>
    <w:rsid w:val="00704645"/>
    <w:rsid w:val="00704A37"/>
    <w:rsid w:val="00704D38"/>
    <w:rsid w:val="007055F8"/>
    <w:rsid w:val="00705B14"/>
    <w:rsid w:val="00706361"/>
    <w:rsid w:val="0070641E"/>
    <w:rsid w:val="00706D2C"/>
    <w:rsid w:val="007070F7"/>
    <w:rsid w:val="0070728B"/>
    <w:rsid w:val="0070731A"/>
    <w:rsid w:val="00710233"/>
    <w:rsid w:val="0071163C"/>
    <w:rsid w:val="0071194E"/>
    <w:rsid w:val="0071256A"/>
    <w:rsid w:val="00712730"/>
    <w:rsid w:val="00713B06"/>
    <w:rsid w:val="00714D66"/>
    <w:rsid w:val="00714DE8"/>
    <w:rsid w:val="0071510C"/>
    <w:rsid w:val="00715304"/>
    <w:rsid w:val="00715388"/>
    <w:rsid w:val="00715742"/>
    <w:rsid w:val="007157D1"/>
    <w:rsid w:val="0071597A"/>
    <w:rsid w:val="00716034"/>
    <w:rsid w:val="00716285"/>
    <w:rsid w:val="00716490"/>
    <w:rsid w:val="007164F9"/>
    <w:rsid w:val="00716C6A"/>
    <w:rsid w:val="007174EA"/>
    <w:rsid w:val="0071792E"/>
    <w:rsid w:val="00717B04"/>
    <w:rsid w:val="00717B47"/>
    <w:rsid w:val="00717DEA"/>
    <w:rsid w:val="0072030A"/>
    <w:rsid w:val="007208DB"/>
    <w:rsid w:val="00720B92"/>
    <w:rsid w:val="00720BA4"/>
    <w:rsid w:val="0072166C"/>
    <w:rsid w:val="00721A02"/>
    <w:rsid w:val="00721C50"/>
    <w:rsid w:val="00721CC7"/>
    <w:rsid w:val="0072208A"/>
    <w:rsid w:val="00722430"/>
    <w:rsid w:val="007228D2"/>
    <w:rsid w:val="00722D67"/>
    <w:rsid w:val="00723838"/>
    <w:rsid w:val="0072420C"/>
    <w:rsid w:val="007244F1"/>
    <w:rsid w:val="0072520F"/>
    <w:rsid w:val="00725525"/>
    <w:rsid w:val="007260DC"/>
    <w:rsid w:val="007261CB"/>
    <w:rsid w:val="00726277"/>
    <w:rsid w:val="00726AD6"/>
    <w:rsid w:val="00727BA7"/>
    <w:rsid w:val="00727C15"/>
    <w:rsid w:val="00727D4C"/>
    <w:rsid w:val="0073014A"/>
    <w:rsid w:val="00730164"/>
    <w:rsid w:val="00730959"/>
    <w:rsid w:val="00730C5B"/>
    <w:rsid w:val="0073106E"/>
    <w:rsid w:val="0073185C"/>
    <w:rsid w:val="00731ACE"/>
    <w:rsid w:val="00731BAE"/>
    <w:rsid w:val="00731F04"/>
    <w:rsid w:val="00731F3D"/>
    <w:rsid w:val="007325FB"/>
    <w:rsid w:val="00732F58"/>
    <w:rsid w:val="007335BD"/>
    <w:rsid w:val="0073364D"/>
    <w:rsid w:val="00733EC5"/>
    <w:rsid w:val="00734504"/>
    <w:rsid w:val="00735238"/>
    <w:rsid w:val="0073538D"/>
    <w:rsid w:val="0073564C"/>
    <w:rsid w:val="0073625B"/>
    <w:rsid w:val="00737199"/>
    <w:rsid w:val="0073739E"/>
    <w:rsid w:val="0074004F"/>
    <w:rsid w:val="007403D3"/>
    <w:rsid w:val="007407B4"/>
    <w:rsid w:val="007408E4"/>
    <w:rsid w:val="007410F7"/>
    <w:rsid w:val="0074118F"/>
    <w:rsid w:val="0074186E"/>
    <w:rsid w:val="00742AD8"/>
    <w:rsid w:val="00742DD6"/>
    <w:rsid w:val="00742DF8"/>
    <w:rsid w:val="00743117"/>
    <w:rsid w:val="00743136"/>
    <w:rsid w:val="007433AB"/>
    <w:rsid w:val="00743976"/>
    <w:rsid w:val="00743C7C"/>
    <w:rsid w:val="00743D45"/>
    <w:rsid w:val="0074418B"/>
    <w:rsid w:val="00744A23"/>
    <w:rsid w:val="00744F5A"/>
    <w:rsid w:val="0074538C"/>
    <w:rsid w:val="00745798"/>
    <w:rsid w:val="0074704D"/>
    <w:rsid w:val="00747586"/>
    <w:rsid w:val="00747E3B"/>
    <w:rsid w:val="0075058A"/>
    <w:rsid w:val="00750E2D"/>
    <w:rsid w:val="007518E5"/>
    <w:rsid w:val="00752322"/>
    <w:rsid w:val="00753C94"/>
    <w:rsid w:val="00753D89"/>
    <w:rsid w:val="00754187"/>
    <w:rsid w:val="007546AB"/>
    <w:rsid w:val="007546E1"/>
    <w:rsid w:val="00754DFF"/>
    <w:rsid w:val="00755332"/>
    <w:rsid w:val="007554EA"/>
    <w:rsid w:val="0075565E"/>
    <w:rsid w:val="00755BDE"/>
    <w:rsid w:val="00756D67"/>
    <w:rsid w:val="007576CF"/>
    <w:rsid w:val="00760E8B"/>
    <w:rsid w:val="00760F7C"/>
    <w:rsid w:val="007614A8"/>
    <w:rsid w:val="00761647"/>
    <w:rsid w:val="007617B8"/>
    <w:rsid w:val="0076188D"/>
    <w:rsid w:val="00761E50"/>
    <w:rsid w:val="007635FA"/>
    <w:rsid w:val="00763948"/>
    <w:rsid w:val="00763B3A"/>
    <w:rsid w:val="0076458C"/>
    <w:rsid w:val="00764C42"/>
    <w:rsid w:val="0076522D"/>
    <w:rsid w:val="007655DD"/>
    <w:rsid w:val="0076578E"/>
    <w:rsid w:val="00765822"/>
    <w:rsid w:val="00765A22"/>
    <w:rsid w:val="007660A4"/>
    <w:rsid w:val="00766542"/>
    <w:rsid w:val="00767BAE"/>
    <w:rsid w:val="00767E05"/>
    <w:rsid w:val="00767E30"/>
    <w:rsid w:val="007702AA"/>
    <w:rsid w:val="007707CD"/>
    <w:rsid w:val="00770D16"/>
    <w:rsid w:val="00770D9D"/>
    <w:rsid w:val="007714BB"/>
    <w:rsid w:val="00771BAB"/>
    <w:rsid w:val="0077211D"/>
    <w:rsid w:val="0077236C"/>
    <w:rsid w:val="007727F7"/>
    <w:rsid w:val="00772843"/>
    <w:rsid w:val="00772C35"/>
    <w:rsid w:val="00772F36"/>
    <w:rsid w:val="007732B7"/>
    <w:rsid w:val="0077330E"/>
    <w:rsid w:val="007742A5"/>
    <w:rsid w:val="007748F6"/>
    <w:rsid w:val="007752B1"/>
    <w:rsid w:val="00775450"/>
    <w:rsid w:val="00775468"/>
    <w:rsid w:val="00775623"/>
    <w:rsid w:val="00775E07"/>
    <w:rsid w:val="00775E93"/>
    <w:rsid w:val="00775EA8"/>
    <w:rsid w:val="0077624F"/>
    <w:rsid w:val="007762F6"/>
    <w:rsid w:val="0077691F"/>
    <w:rsid w:val="00777D65"/>
    <w:rsid w:val="00777EEF"/>
    <w:rsid w:val="0078026E"/>
    <w:rsid w:val="00781409"/>
    <w:rsid w:val="00781E09"/>
    <w:rsid w:val="00782E66"/>
    <w:rsid w:val="00782EB6"/>
    <w:rsid w:val="007837F3"/>
    <w:rsid w:val="007839EA"/>
    <w:rsid w:val="00783CD8"/>
    <w:rsid w:val="00783E98"/>
    <w:rsid w:val="007841A0"/>
    <w:rsid w:val="00784381"/>
    <w:rsid w:val="007843A3"/>
    <w:rsid w:val="00784820"/>
    <w:rsid w:val="00784A32"/>
    <w:rsid w:val="00784C61"/>
    <w:rsid w:val="00784F48"/>
    <w:rsid w:val="00784FC8"/>
    <w:rsid w:val="00785188"/>
    <w:rsid w:val="0078542C"/>
    <w:rsid w:val="00785764"/>
    <w:rsid w:val="00785BA6"/>
    <w:rsid w:val="007860C2"/>
    <w:rsid w:val="0078622C"/>
    <w:rsid w:val="00786612"/>
    <w:rsid w:val="007866E2"/>
    <w:rsid w:val="00786C29"/>
    <w:rsid w:val="00787177"/>
    <w:rsid w:val="00790630"/>
    <w:rsid w:val="007910CA"/>
    <w:rsid w:val="0079122D"/>
    <w:rsid w:val="00791320"/>
    <w:rsid w:val="00791DF5"/>
    <w:rsid w:val="007925D1"/>
    <w:rsid w:val="00792D2F"/>
    <w:rsid w:val="007937CD"/>
    <w:rsid w:val="00793814"/>
    <w:rsid w:val="00794478"/>
    <w:rsid w:val="00794673"/>
    <w:rsid w:val="0079471E"/>
    <w:rsid w:val="007948A7"/>
    <w:rsid w:val="00794CB2"/>
    <w:rsid w:val="00795B7B"/>
    <w:rsid w:val="00795DF9"/>
    <w:rsid w:val="0079658B"/>
    <w:rsid w:val="00796EF6"/>
    <w:rsid w:val="00796FDE"/>
    <w:rsid w:val="007970DA"/>
    <w:rsid w:val="007970F4"/>
    <w:rsid w:val="00797475"/>
    <w:rsid w:val="00797722"/>
    <w:rsid w:val="00797DF4"/>
    <w:rsid w:val="00797E12"/>
    <w:rsid w:val="00797E19"/>
    <w:rsid w:val="007A0402"/>
    <w:rsid w:val="007A040E"/>
    <w:rsid w:val="007A05C9"/>
    <w:rsid w:val="007A0F4C"/>
    <w:rsid w:val="007A10D0"/>
    <w:rsid w:val="007A1650"/>
    <w:rsid w:val="007A20BC"/>
    <w:rsid w:val="007A22E8"/>
    <w:rsid w:val="007A29D0"/>
    <w:rsid w:val="007A306F"/>
    <w:rsid w:val="007A35F9"/>
    <w:rsid w:val="007A383B"/>
    <w:rsid w:val="007A4B1C"/>
    <w:rsid w:val="007A61D4"/>
    <w:rsid w:val="007A6654"/>
    <w:rsid w:val="007A67D7"/>
    <w:rsid w:val="007A69EF"/>
    <w:rsid w:val="007A6C99"/>
    <w:rsid w:val="007A7287"/>
    <w:rsid w:val="007B015D"/>
    <w:rsid w:val="007B0184"/>
    <w:rsid w:val="007B0F34"/>
    <w:rsid w:val="007B12BE"/>
    <w:rsid w:val="007B14AA"/>
    <w:rsid w:val="007B16AE"/>
    <w:rsid w:val="007B1C4D"/>
    <w:rsid w:val="007B20CB"/>
    <w:rsid w:val="007B2512"/>
    <w:rsid w:val="007B267D"/>
    <w:rsid w:val="007B2CA0"/>
    <w:rsid w:val="007B36CB"/>
    <w:rsid w:val="007B4232"/>
    <w:rsid w:val="007B4B22"/>
    <w:rsid w:val="007B564D"/>
    <w:rsid w:val="007B5950"/>
    <w:rsid w:val="007B5BD3"/>
    <w:rsid w:val="007B5F64"/>
    <w:rsid w:val="007B68A9"/>
    <w:rsid w:val="007B6BBD"/>
    <w:rsid w:val="007C0184"/>
    <w:rsid w:val="007C0FD7"/>
    <w:rsid w:val="007C11BB"/>
    <w:rsid w:val="007C21C2"/>
    <w:rsid w:val="007C25D4"/>
    <w:rsid w:val="007C2A41"/>
    <w:rsid w:val="007C306F"/>
    <w:rsid w:val="007C32B9"/>
    <w:rsid w:val="007C3460"/>
    <w:rsid w:val="007C3676"/>
    <w:rsid w:val="007C3706"/>
    <w:rsid w:val="007C3E9A"/>
    <w:rsid w:val="007C43FC"/>
    <w:rsid w:val="007C5962"/>
    <w:rsid w:val="007C5F3C"/>
    <w:rsid w:val="007C606D"/>
    <w:rsid w:val="007C6518"/>
    <w:rsid w:val="007C6732"/>
    <w:rsid w:val="007C7240"/>
    <w:rsid w:val="007C7373"/>
    <w:rsid w:val="007C7516"/>
    <w:rsid w:val="007C757E"/>
    <w:rsid w:val="007C7943"/>
    <w:rsid w:val="007C7B04"/>
    <w:rsid w:val="007C7C86"/>
    <w:rsid w:val="007C7D6C"/>
    <w:rsid w:val="007C7D95"/>
    <w:rsid w:val="007D0D22"/>
    <w:rsid w:val="007D1B1B"/>
    <w:rsid w:val="007D1B4D"/>
    <w:rsid w:val="007D1E2F"/>
    <w:rsid w:val="007D233D"/>
    <w:rsid w:val="007D2AC9"/>
    <w:rsid w:val="007D35EA"/>
    <w:rsid w:val="007D3DEB"/>
    <w:rsid w:val="007D425B"/>
    <w:rsid w:val="007D4343"/>
    <w:rsid w:val="007D481E"/>
    <w:rsid w:val="007D5215"/>
    <w:rsid w:val="007D5C59"/>
    <w:rsid w:val="007D663D"/>
    <w:rsid w:val="007D6E33"/>
    <w:rsid w:val="007D6E50"/>
    <w:rsid w:val="007D714A"/>
    <w:rsid w:val="007E0308"/>
    <w:rsid w:val="007E0863"/>
    <w:rsid w:val="007E10FE"/>
    <w:rsid w:val="007E1719"/>
    <w:rsid w:val="007E1B73"/>
    <w:rsid w:val="007E250B"/>
    <w:rsid w:val="007E2D9A"/>
    <w:rsid w:val="007E2FE1"/>
    <w:rsid w:val="007E31A9"/>
    <w:rsid w:val="007E33FF"/>
    <w:rsid w:val="007E38B1"/>
    <w:rsid w:val="007E4D5E"/>
    <w:rsid w:val="007E4E82"/>
    <w:rsid w:val="007E5AA5"/>
    <w:rsid w:val="007E5BF6"/>
    <w:rsid w:val="007E6094"/>
    <w:rsid w:val="007E665A"/>
    <w:rsid w:val="007E67E9"/>
    <w:rsid w:val="007E7E47"/>
    <w:rsid w:val="007F02FB"/>
    <w:rsid w:val="007F050A"/>
    <w:rsid w:val="007F0A56"/>
    <w:rsid w:val="007F1427"/>
    <w:rsid w:val="007F149B"/>
    <w:rsid w:val="007F210D"/>
    <w:rsid w:val="007F2745"/>
    <w:rsid w:val="007F2D49"/>
    <w:rsid w:val="007F38E2"/>
    <w:rsid w:val="007F41C3"/>
    <w:rsid w:val="007F4301"/>
    <w:rsid w:val="007F46EC"/>
    <w:rsid w:val="007F5077"/>
    <w:rsid w:val="007F58CA"/>
    <w:rsid w:val="007F5FDB"/>
    <w:rsid w:val="007F61A6"/>
    <w:rsid w:val="007F6AE4"/>
    <w:rsid w:val="007F7095"/>
    <w:rsid w:val="007F7DC5"/>
    <w:rsid w:val="007F7FB3"/>
    <w:rsid w:val="00800465"/>
    <w:rsid w:val="008012E3"/>
    <w:rsid w:val="00801646"/>
    <w:rsid w:val="008017D7"/>
    <w:rsid w:val="00801B48"/>
    <w:rsid w:val="00801D32"/>
    <w:rsid w:val="008027F2"/>
    <w:rsid w:val="00802AA3"/>
    <w:rsid w:val="00803AD6"/>
    <w:rsid w:val="00803D35"/>
    <w:rsid w:val="00804260"/>
    <w:rsid w:val="008043E6"/>
    <w:rsid w:val="00804BD7"/>
    <w:rsid w:val="00804FF0"/>
    <w:rsid w:val="008054F9"/>
    <w:rsid w:val="008062CE"/>
    <w:rsid w:val="008066BC"/>
    <w:rsid w:val="0080696D"/>
    <w:rsid w:val="00806E9A"/>
    <w:rsid w:val="00807600"/>
    <w:rsid w:val="00807A4A"/>
    <w:rsid w:val="00807A4E"/>
    <w:rsid w:val="00807D26"/>
    <w:rsid w:val="00807F9C"/>
    <w:rsid w:val="008103E3"/>
    <w:rsid w:val="00810C55"/>
    <w:rsid w:val="00811DC0"/>
    <w:rsid w:val="00811EDF"/>
    <w:rsid w:val="00811EE6"/>
    <w:rsid w:val="0081276A"/>
    <w:rsid w:val="008129D5"/>
    <w:rsid w:val="00812B18"/>
    <w:rsid w:val="00813F27"/>
    <w:rsid w:val="008144C3"/>
    <w:rsid w:val="008146DE"/>
    <w:rsid w:val="008148D1"/>
    <w:rsid w:val="00815794"/>
    <w:rsid w:val="00815865"/>
    <w:rsid w:val="00815F54"/>
    <w:rsid w:val="0081605C"/>
    <w:rsid w:val="008167BF"/>
    <w:rsid w:val="0081695C"/>
    <w:rsid w:val="0081698E"/>
    <w:rsid w:val="0081701E"/>
    <w:rsid w:val="008179F4"/>
    <w:rsid w:val="00817A80"/>
    <w:rsid w:val="00817A87"/>
    <w:rsid w:val="00817C93"/>
    <w:rsid w:val="008201B6"/>
    <w:rsid w:val="00820C00"/>
    <w:rsid w:val="00820C29"/>
    <w:rsid w:val="00820CD6"/>
    <w:rsid w:val="00820E4F"/>
    <w:rsid w:val="008211A8"/>
    <w:rsid w:val="008213C9"/>
    <w:rsid w:val="0082144C"/>
    <w:rsid w:val="00821B52"/>
    <w:rsid w:val="008226C4"/>
    <w:rsid w:val="0082364D"/>
    <w:rsid w:val="0082378E"/>
    <w:rsid w:val="0082385E"/>
    <w:rsid w:val="008238A5"/>
    <w:rsid w:val="00823C9E"/>
    <w:rsid w:val="00823E8A"/>
    <w:rsid w:val="00824EF4"/>
    <w:rsid w:val="00825580"/>
    <w:rsid w:val="0082656F"/>
    <w:rsid w:val="008265DA"/>
    <w:rsid w:val="00826B50"/>
    <w:rsid w:val="00826C7A"/>
    <w:rsid w:val="00826EF2"/>
    <w:rsid w:val="00830033"/>
    <w:rsid w:val="00830E92"/>
    <w:rsid w:val="00830F09"/>
    <w:rsid w:val="00831115"/>
    <w:rsid w:val="00832085"/>
    <w:rsid w:val="00832271"/>
    <w:rsid w:val="008327FD"/>
    <w:rsid w:val="00832982"/>
    <w:rsid w:val="008330B0"/>
    <w:rsid w:val="008337F8"/>
    <w:rsid w:val="00833942"/>
    <w:rsid w:val="00833BB4"/>
    <w:rsid w:val="00833F7A"/>
    <w:rsid w:val="00834F11"/>
    <w:rsid w:val="00835236"/>
    <w:rsid w:val="008352DF"/>
    <w:rsid w:val="00835C99"/>
    <w:rsid w:val="00835F55"/>
    <w:rsid w:val="008361EF"/>
    <w:rsid w:val="00836472"/>
    <w:rsid w:val="008367D5"/>
    <w:rsid w:val="008368C7"/>
    <w:rsid w:val="00836DD6"/>
    <w:rsid w:val="00836FE0"/>
    <w:rsid w:val="0083707A"/>
    <w:rsid w:val="0083786F"/>
    <w:rsid w:val="0083788B"/>
    <w:rsid w:val="008379FB"/>
    <w:rsid w:val="008401C1"/>
    <w:rsid w:val="008407A2"/>
    <w:rsid w:val="00840A20"/>
    <w:rsid w:val="00840BCA"/>
    <w:rsid w:val="00840CD0"/>
    <w:rsid w:val="00841232"/>
    <w:rsid w:val="0084126D"/>
    <w:rsid w:val="008415C6"/>
    <w:rsid w:val="00841896"/>
    <w:rsid w:val="00841BD9"/>
    <w:rsid w:val="00841C12"/>
    <w:rsid w:val="00841D6C"/>
    <w:rsid w:val="00841F37"/>
    <w:rsid w:val="0084276C"/>
    <w:rsid w:val="0084392C"/>
    <w:rsid w:val="00843A2D"/>
    <w:rsid w:val="00843CA6"/>
    <w:rsid w:val="00843DCE"/>
    <w:rsid w:val="0084403D"/>
    <w:rsid w:val="00844EF3"/>
    <w:rsid w:val="00844FD6"/>
    <w:rsid w:val="00845F73"/>
    <w:rsid w:val="008465AD"/>
    <w:rsid w:val="00846E5C"/>
    <w:rsid w:val="008472EC"/>
    <w:rsid w:val="00847374"/>
    <w:rsid w:val="00847BDD"/>
    <w:rsid w:val="0085012A"/>
    <w:rsid w:val="00850429"/>
    <w:rsid w:val="008504BC"/>
    <w:rsid w:val="008509E4"/>
    <w:rsid w:val="00850AF6"/>
    <w:rsid w:val="00850F97"/>
    <w:rsid w:val="00851C70"/>
    <w:rsid w:val="00851E4F"/>
    <w:rsid w:val="00851E63"/>
    <w:rsid w:val="00852331"/>
    <w:rsid w:val="00852740"/>
    <w:rsid w:val="00852BFD"/>
    <w:rsid w:val="00852CE9"/>
    <w:rsid w:val="008536E8"/>
    <w:rsid w:val="0085375F"/>
    <w:rsid w:val="0085395C"/>
    <w:rsid w:val="008541C5"/>
    <w:rsid w:val="00854983"/>
    <w:rsid w:val="008554BA"/>
    <w:rsid w:val="00855D27"/>
    <w:rsid w:val="00856389"/>
    <w:rsid w:val="00856495"/>
    <w:rsid w:val="008565C1"/>
    <w:rsid w:val="008567EC"/>
    <w:rsid w:val="00856950"/>
    <w:rsid w:val="00856C87"/>
    <w:rsid w:val="008572DC"/>
    <w:rsid w:val="00857EBD"/>
    <w:rsid w:val="008604A7"/>
    <w:rsid w:val="00860741"/>
    <w:rsid w:val="008623F6"/>
    <w:rsid w:val="00862468"/>
    <w:rsid w:val="008624FD"/>
    <w:rsid w:val="00862977"/>
    <w:rsid w:val="00862C21"/>
    <w:rsid w:val="00862E4D"/>
    <w:rsid w:val="00862E5F"/>
    <w:rsid w:val="0086337C"/>
    <w:rsid w:val="008640B2"/>
    <w:rsid w:val="00864ADA"/>
    <w:rsid w:val="00864FF0"/>
    <w:rsid w:val="00865416"/>
    <w:rsid w:val="00866420"/>
    <w:rsid w:val="00866AE7"/>
    <w:rsid w:val="00866BEC"/>
    <w:rsid w:val="00867677"/>
    <w:rsid w:val="00870A24"/>
    <w:rsid w:val="00870B3E"/>
    <w:rsid w:val="00870B8E"/>
    <w:rsid w:val="00870DEC"/>
    <w:rsid w:val="00870F65"/>
    <w:rsid w:val="0087124D"/>
    <w:rsid w:val="00871666"/>
    <w:rsid w:val="008716A1"/>
    <w:rsid w:val="008718B7"/>
    <w:rsid w:val="0087355A"/>
    <w:rsid w:val="00873C62"/>
    <w:rsid w:val="008741E6"/>
    <w:rsid w:val="0087459E"/>
    <w:rsid w:val="0087480B"/>
    <w:rsid w:val="00874AE4"/>
    <w:rsid w:val="008750FC"/>
    <w:rsid w:val="0087582A"/>
    <w:rsid w:val="00875F32"/>
    <w:rsid w:val="00876309"/>
    <w:rsid w:val="008765A3"/>
    <w:rsid w:val="0087687C"/>
    <w:rsid w:val="008768C1"/>
    <w:rsid w:val="00876F58"/>
    <w:rsid w:val="00877569"/>
    <w:rsid w:val="008775A3"/>
    <w:rsid w:val="00877888"/>
    <w:rsid w:val="00880076"/>
    <w:rsid w:val="0088085A"/>
    <w:rsid w:val="00880D44"/>
    <w:rsid w:val="008815D3"/>
    <w:rsid w:val="00881AC0"/>
    <w:rsid w:val="00881AD2"/>
    <w:rsid w:val="0088240E"/>
    <w:rsid w:val="0088260F"/>
    <w:rsid w:val="008827E5"/>
    <w:rsid w:val="00882AA3"/>
    <w:rsid w:val="00882AB8"/>
    <w:rsid w:val="00882D49"/>
    <w:rsid w:val="00882EFE"/>
    <w:rsid w:val="0088314C"/>
    <w:rsid w:val="00883863"/>
    <w:rsid w:val="00883F84"/>
    <w:rsid w:val="00884501"/>
    <w:rsid w:val="00884706"/>
    <w:rsid w:val="00885241"/>
    <w:rsid w:val="00885503"/>
    <w:rsid w:val="00885F0B"/>
    <w:rsid w:val="0088676D"/>
    <w:rsid w:val="00886A4F"/>
    <w:rsid w:val="00887009"/>
    <w:rsid w:val="00887BC5"/>
    <w:rsid w:val="00887C0E"/>
    <w:rsid w:val="00890329"/>
    <w:rsid w:val="008903A3"/>
    <w:rsid w:val="00890659"/>
    <w:rsid w:val="00892111"/>
    <w:rsid w:val="00892C2C"/>
    <w:rsid w:val="00892DEC"/>
    <w:rsid w:val="0089399D"/>
    <w:rsid w:val="008943E5"/>
    <w:rsid w:val="0089464D"/>
    <w:rsid w:val="0089476A"/>
    <w:rsid w:val="00894824"/>
    <w:rsid w:val="00895312"/>
    <w:rsid w:val="00895617"/>
    <w:rsid w:val="00896048"/>
    <w:rsid w:val="008964F1"/>
    <w:rsid w:val="0089690B"/>
    <w:rsid w:val="00897A21"/>
    <w:rsid w:val="008A04A7"/>
    <w:rsid w:val="008A086E"/>
    <w:rsid w:val="008A0A24"/>
    <w:rsid w:val="008A0AF6"/>
    <w:rsid w:val="008A0D31"/>
    <w:rsid w:val="008A0F22"/>
    <w:rsid w:val="008A11DD"/>
    <w:rsid w:val="008A1AA7"/>
    <w:rsid w:val="008A1D20"/>
    <w:rsid w:val="008A2170"/>
    <w:rsid w:val="008A2FC0"/>
    <w:rsid w:val="008A3E69"/>
    <w:rsid w:val="008A42B5"/>
    <w:rsid w:val="008A51EA"/>
    <w:rsid w:val="008A53BB"/>
    <w:rsid w:val="008A550C"/>
    <w:rsid w:val="008A56FB"/>
    <w:rsid w:val="008A5905"/>
    <w:rsid w:val="008A5BA3"/>
    <w:rsid w:val="008A6223"/>
    <w:rsid w:val="008A64C1"/>
    <w:rsid w:val="008A64C9"/>
    <w:rsid w:val="008A6718"/>
    <w:rsid w:val="008A7009"/>
    <w:rsid w:val="008A7156"/>
    <w:rsid w:val="008A72A7"/>
    <w:rsid w:val="008A759F"/>
    <w:rsid w:val="008A78D7"/>
    <w:rsid w:val="008A7A83"/>
    <w:rsid w:val="008A7C7C"/>
    <w:rsid w:val="008B003D"/>
    <w:rsid w:val="008B0088"/>
    <w:rsid w:val="008B0133"/>
    <w:rsid w:val="008B0867"/>
    <w:rsid w:val="008B1302"/>
    <w:rsid w:val="008B1484"/>
    <w:rsid w:val="008B2B3C"/>
    <w:rsid w:val="008B2CCE"/>
    <w:rsid w:val="008B2D5B"/>
    <w:rsid w:val="008B2DD9"/>
    <w:rsid w:val="008B2EB5"/>
    <w:rsid w:val="008B3664"/>
    <w:rsid w:val="008B38F1"/>
    <w:rsid w:val="008B39F1"/>
    <w:rsid w:val="008B3CCB"/>
    <w:rsid w:val="008B4616"/>
    <w:rsid w:val="008B48D3"/>
    <w:rsid w:val="008B5187"/>
    <w:rsid w:val="008B54C1"/>
    <w:rsid w:val="008B646B"/>
    <w:rsid w:val="008B6832"/>
    <w:rsid w:val="008B6901"/>
    <w:rsid w:val="008C08C3"/>
    <w:rsid w:val="008C15FB"/>
    <w:rsid w:val="008C161F"/>
    <w:rsid w:val="008C1E90"/>
    <w:rsid w:val="008C253C"/>
    <w:rsid w:val="008C2C3D"/>
    <w:rsid w:val="008C2D95"/>
    <w:rsid w:val="008C3F82"/>
    <w:rsid w:val="008C4110"/>
    <w:rsid w:val="008C4BD2"/>
    <w:rsid w:val="008C51D4"/>
    <w:rsid w:val="008C54C8"/>
    <w:rsid w:val="008C5590"/>
    <w:rsid w:val="008C5635"/>
    <w:rsid w:val="008C5CC5"/>
    <w:rsid w:val="008C5D36"/>
    <w:rsid w:val="008C6F0F"/>
    <w:rsid w:val="008C700C"/>
    <w:rsid w:val="008C74BB"/>
    <w:rsid w:val="008C7A7E"/>
    <w:rsid w:val="008C7EB6"/>
    <w:rsid w:val="008D003E"/>
    <w:rsid w:val="008D006E"/>
    <w:rsid w:val="008D00A7"/>
    <w:rsid w:val="008D0136"/>
    <w:rsid w:val="008D133B"/>
    <w:rsid w:val="008D1535"/>
    <w:rsid w:val="008D16AE"/>
    <w:rsid w:val="008D17E0"/>
    <w:rsid w:val="008D1D87"/>
    <w:rsid w:val="008D1F8E"/>
    <w:rsid w:val="008D24F2"/>
    <w:rsid w:val="008D2B47"/>
    <w:rsid w:val="008D2BCE"/>
    <w:rsid w:val="008D309A"/>
    <w:rsid w:val="008D3568"/>
    <w:rsid w:val="008D400E"/>
    <w:rsid w:val="008D42AF"/>
    <w:rsid w:val="008D4979"/>
    <w:rsid w:val="008D5396"/>
    <w:rsid w:val="008D5889"/>
    <w:rsid w:val="008D5DE7"/>
    <w:rsid w:val="008D6A31"/>
    <w:rsid w:val="008D6B76"/>
    <w:rsid w:val="008D6F57"/>
    <w:rsid w:val="008E0270"/>
    <w:rsid w:val="008E03DB"/>
    <w:rsid w:val="008E139F"/>
    <w:rsid w:val="008E145F"/>
    <w:rsid w:val="008E1718"/>
    <w:rsid w:val="008E297F"/>
    <w:rsid w:val="008E2B20"/>
    <w:rsid w:val="008E34F5"/>
    <w:rsid w:val="008E38B5"/>
    <w:rsid w:val="008E3B34"/>
    <w:rsid w:val="008E3D8E"/>
    <w:rsid w:val="008E40B5"/>
    <w:rsid w:val="008E4B4A"/>
    <w:rsid w:val="008E4BAC"/>
    <w:rsid w:val="008E4C1A"/>
    <w:rsid w:val="008E5060"/>
    <w:rsid w:val="008E50BA"/>
    <w:rsid w:val="008E56F4"/>
    <w:rsid w:val="008E5D04"/>
    <w:rsid w:val="008E5F12"/>
    <w:rsid w:val="008E7140"/>
    <w:rsid w:val="008E7336"/>
    <w:rsid w:val="008E7ABB"/>
    <w:rsid w:val="008E7D72"/>
    <w:rsid w:val="008F0316"/>
    <w:rsid w:val="008F03A2"/>
    <w:rsid w:val="008F0425"/>
    <w:rsid w:val="008F100D"/>
    <w:rsid w:val="008F15AF"/>
    <w:rsid w:val="008F1D54"/>
    <w:rsid w:val="008F286C"/>
    <w:rsid w:val="008F2C95"/>
    <w:rsid w:val="008F3758"/>
    <w:rsid w:val="008F3769"/>
    <w:rsid w:val="008F3F7C"/>
    <w:rsid w:val="008F4264"/>
    <w:rsid w:val="008F4739"/>
    <w:rsid w:val="008F50B4"/>
    <w:rsid w:val="008F5C24"/>
    <w:rsid w:val="008F5D04"/>
    <w:rsid w:val="008F679F"/>
    <w:rsid w:val="008F6FA5"/>
    <w:rsid w:val="008F7608"/>
    <w:rsid w:val="008F7AE6"/>
    <w:rsid w:val="009008F9"/>
    <w:rsid w:val="00900CF2"/>
    <w:rsid w:val="00901A5F"/>
    <w:rsid w:val="00901AA2"/>
    <w:rsid w:val="00901D05"/>
    <w:rsid w:val="00902540"/>
    <w:rsid w:val="00902DEA"/>
    <w:rsid w:val="0090318F"/>
    <w:rsid w:val="00903474"/>
    <w:rsid w:val="00904081"/>
    <w:rsid w:val="0090462F"/>
    <w:rsid w:val="009047AE"/>
    <w:rsid w:val="009052C7"/>
    <w:rsid w:val="00905964"/>
    <w:rsid w:val="00906B83"/>
    <w:rsid w:val="00906C81"/>
    <w:rsid w:val="00910741"/>
    <w:rsid w:val="00910D72"/>
    <w:rsid w:val="00910F17"/>
    <w:rsid w:val="009110CC"/>
    <w:rsid w:val="00911AC1"/>
    <w:rsid w:val="00912053"/>
    <w:rsid w:val="0091280F"/>
    <w:rsid w:val="009129D9"/>
    <w:rsid w:val="009133D5"/>
    <w:rsid w:val="009135CC"/>
    <w:rsid w:val="00913A18"/>
    <w:rsid w:val="00914424"/>
    <w:rsid w:val="009149ED"/>
    <w:rsid w:val="00914A58"/>
    <w:rsid w:val="00915F34"/>
    <w:rsid w:val="00915FF5"/>
    <w:rsid w:val="009161F1"/>
    <w:rsid w:val="0091658F"/>
    <w:rsid w:val="00916C6E"/>
    <w:rsid w:val="00916EBA"/>
    <w:rsid w:val="00917140"/>
    <w:rsid w:val="009172EE"/>
    <w:rsid w:val="00917490"/>
    <w:rsid w:val="00917E08"/>
    <w:rsid w:val="009202D9"/>
    <w:rsid w:val="00920367"/>
    <w:rsid w:val="009207B4"/>
    <w:rsid w:val="0092104A"/>
    <w:rsid w:val="00921C5C"/>
    <w:rsid w:val="0092294B"/>
    <w:rsid w:val="00922FD0"/>
    <w:rsid w:val="00923354"/>
    <w:rsid w:val="009233EE"/>
    <w:rsid w:val="009239AC"/>
    <w:rsid w:val="00923DAE"/>
    <w:rsid w:val="009246F4"/>
    <w:rsid w:val="009250A4"/>
    <w:rsid w:val="009255AE"/>
    <w:rsid w:val="00925B70"/>
    <w:rsid w:val="00925BD6"/>
    <w:rsid w:val="00925BE5"/>
    <w:rsid w:val="0092616F"/>
    <w:rsid w:val="009262A0"/>
    <w:rsid w:val="009262FE"/>
    <w:rsid w:val="00926ABC"/>
    <w:rsid w:val="00926C23"/>
    <w:rsid w:val="0092705F"/>
    <w:rsid w:val="00930C4A"/>
    <w:rsid w:val="0093221A"/>
    <w:rsid w:val="00932282"/>
    <w:rsid w:val="009329BB"/>
    <w:rsid w:val="00932BAA"/>
    <w:rsid w:val="00932D65"/>
    <w:rsid w:val="00932F39"/>
    <w:rsid w:val="00933BE3"/>
    <w:rsid w:val="00934481"/>
    <w:rsid w:val="00934495"/>
    <w:rsid w:val="00935343"/>
    <w:rsid w:val="00935841"/>
    <w:rsid w:val="009360FF"/>
    <w:rsid w:val="009362F5"/>
    <w:rsid w:val="00937017"/>
    <w:rsid w:val="0093728E"/>
    <w:rsid w:val="00937CB6"/>
    <w:rsid w:val="00937E53"/>
    <w:rsid w:val="00937F6D"/>
    <w:rsid w:val="00937F70"/>
    <w:rsid w:val="00937F8D"/>
    <w:rsid w:val="009402AB"/>
    <w:rsid w:val="00940628"/>
    <w:rsid w:val="009412ED"/>
    <w:rsid w:val="00941C3F"/>
    <w:rsid w:val="00941CBB"/>
    <w:rsid w:val="00941E76"/>
    <w:rsid w:val="00942B2C"/>
    <w:rsid w:val="00942F95"/>
    <w:rsid w:val="009430B6"/>
    <w:rsid w:val="00943455"/>
    <w:rsid w:val="009443FD"/>
    <w:rsid w:val="00944DAC"/>
    <w:rsid w:val="0094582B"/>
    <w:rsid w:val="00945B19"/>
    <w:rsid w:val="00945B3F"/>
    <w:rsid w:val="009460CD"/>
    <w:rsid w:val="009466A8"/>
    <w:rsid w:val="009467D7"/>
    <w:rsid w:val="00946AF9"/>
    <w:rsid w:val="00946B05"/>
    <w:rsid w:val="00950A23"/>
    <w:rsid w:val="00951608"/>
    <w:rsid w:val="0095199D"/>
    <w:rsid w:val="00951B66"/>
    <w:rsid w:val="00951F11"/>
    <w:rsid w:val="009522ED"/>
    <w:rsid w:val="00952303"/>
    <w:rsid w:val="009527E8"/>
    <w:rsid w:val="00952AFB"/>
    <w:rsid w:val="00952C36"/>
    <w:rsid w:val="00952E43"/>
    <w:rsid w:val="00952F11"/>
    <w:rsid w:val="009533D9"/>
    <w:rsid w:val="0095346D"/>
    <w:rsid w:val="009545B8"/>
    <w:rsid w:val="00954860"/>
    <w:rsid w:val="00954994"/>
    <w:rsid w:val="00954C42"/>
    <w:rsid w:val="00954CEC"/>
    <w:rsid w:val="00954E61"/>
    <w:rsid w:val="00954EED"/>
    <w:rsid w:val="00955C3B"/>
    <w:rsid w:val="009567EB"/>
    <w:rsid w:val="00956CB2"/>
    <w:rsid w:val="00957023"/>
    <w:rsid w:val="00957280"/>
    <w:rsid w:val="0095739B"/>
    <w:rsid w:val="00957505"/>
    <w:rsid w:val="00957D3A"/>
    <w:rsid w:val="00960231"/>
    <w:rsid w:val="009608F6"/>
    <w:rsid w:val="00960930"/>
    <w:rsid w:val="00960ADE"/>
    <w:rsid w:val="00960C9A"/>
    <w:rsid w:val="00960D12"/>
    <w:rsid w:val="00960E49"/>
    <w:rsid w:val="00961259"/>
    <w:rsid w:val="00962447"/>
    <w:rsid w:val="00962E93"/>
    <w:rsid w:val="00963038"/>
    <w:rsid w:val="0096327B"/>
    <w:rsid w:val="009637FA"/>
    <w:rsid w:val="00963A9D"/>
    <w:rsid w:val="00963B50"/>
    <w:rsid w:val="00963F17"/>
    <w:rsid w:val="00963FB6"/>
    <w:rsid w:val="0096442F"/>
    <w:rsid w:val="00964491"/>
    <w:rsid w:val="009649D9"/>
    <w:rsid w:val="00965732"/>
    <w:rsid w:val="00965FC1"/>
    <w:rsid w:val="00966DE2"/>
    <w:rsid w:val="00967129"/>
    <w:rsid w:val="00967453"/>
    <w:rsid w:val="009709B5"/>
    <w:rsid w:val="009709DB"/>
    <w:rsid w:val="00970DB7"/>
    <w:rsid w:val="0097149F"/>
    <w:rsid w:val="00971BEE"/>
    <w:rsid w:val="009721D6"/>
    <w:rsid w:val="00972410"/>
    <w:rsid w:val="00973106"/>
    <w:rsid w:val="009736A5"/>
    <w:rsid w:val="00973D3A"/>
    <w:rsid w:val="00973DFA"/>
    <w:rsid w:val="00974402"/>
    <w:rsid w:val="00974B93"/>
    <w:rsid w:val="0097506E"/>
    <w:rsid w:val="00976548"/>
    <w:rsid w:val="00976E75"/>
    <w:rsid w:val="00977621"/>
    <w:rsid w:val="009806FF"/>
    <w:rsid w:val="00980E04"/>
    <w:rsid w:val="009814C0"/>
    <w:rsid w:val="0098173A"/>
    <w:rsid w:val="00981B50"/>
    <w:rsid w:val="00984999"/>
    <w:rsid w:val="00984C7B"/>
    <w:rsid w:val="009854A0"/>
    <w:rsid w:val="009854FA"/>
    <w:rsid w:val="00985766"/>
    <w:rsid w:val="00985861"/>
    <w:rsid w:val="00985979"/>
    <w:rsid w:val="00985BA1"/>
    <w:rsid w:val="00985BB6"/>
    <w:rsid w:val="00985CB7"/>
    <w:rsid w:val="00985F17"/>
    <w:rsid w:val="0098640E"/>
    <w:rsid w:val="009867A9"/>
    <w:rsid w:val="00986A23"/>
    <w:rsid w:val="00986E1E"/>
    <w:rsid w:val="0098737D"/>
    <w:rsid w:val="0099034F"/>
    <w:rsid w:val="00990908"/>
    <w:rsid w:val="00990B5F"/>
    <w:rsid w:val="00990E00"/>
    <w:rsid w:val="00990E1C"/>
    <w:rsid w:val="0099102D"/>
    <w:rsid w:val="0099190A"/>
    <w:rsid w:val="009920DC"/>
    <w:rsid w:val="0099241E"/>
    <w:rsid w:val="00992BC3"/>
    <w:rsid w:val="00992EE9"/>
    <w:rsid w:val="00993DE9"/>
    <w:rsid w:val="00993F7D"/>
    <w:rsid w:val="00994104"/>
    <w:rsid w:val="009943FD"/>
    <w:rsid w:val="00997291"/>
    <w:rsid w:val="009A0147"/>
    <w:rsid w:val="009A0787"/>
    <w:rsid w:val="009A0A0E"/>
    <w:rsid w:val="009A0DFF"/>
    <w:rsid w:val="009A1850"/>
    <w:rsid w:val="009A2AC5"/>
    <w:rsid w:val="009A2FB7"/>
    <w:rsid w:val="009A30BB"/>
    <w:rsid w:val="009A3864"/>
    <w:rsid w:val="009A42D8"/>
    <w:rsid w:val="009A4527"/>
    <w:rsid w:val="009A4993"/>
    <w:rsid w:val="009A4FE2"/>
    <w:rsid w:val="009A563A"/>
    <w:rsid w:val="009A5833"/>
    <w:rsid w:val="009A5946"/>
    <w:rsid w:val="009A6999"/>
    <w:rsid w:val="009A7020"/>
    <w:rsid w:val="009A719B"/>
    <w:rsid w:val="009A77F1"/>
    <w:rsid w:val="009A78DC"/>
    <w:rsid w:val="009A7EF0"/>
    <w:rsid w:val="009B00FD"/>
    <w:rsid w:val="009B0561"/>
    <w:rsid w:val="009B1393"/>
    <w:rsid w:val="009B289E"/>
    <w:rsid w:val="009B28C1"/>
    <w:rsid w:val="009B2CD4"/>
    <w:rsid w:val="009B330E"/>
    <w:rsid w:val="009B3918"/>
    <w:rsid w:val="009B42B8"/>
    <w:rsid w:val="009B481D"/>
    <w:rsid w:val="009B4868"/>
    <w:rsid w:val="009B4B66"/>
    <w:rsid w:val="009B4F93"/>
    <w:rsid w:val="009B6243"/>
    <w:rsid w:val="009B68E4"/>
    <w:rsid w:val="009B70BD"/>
    <w:rsid w:val="009B7D6D"/>
    <w:rsid w:val="009B7D86"/>
    <w:rsid w:val="009C01A9"/>
    <w:rsid w:val="009C1245"/>
    <w:rsid w:val="009C2A5D"/>
    <w:rsid w:val="009C300E"/>
    <w:rsid w:val="009C377C"/>
    <w:rsid w:val="009C4A75"/>
    <w:rsid w:val="009C5556"/>
    <w:rsid w:val="009C6348"/>
    <w:rsid w:val="009C65A7"/>
    <w:rsid w:val="009C65BF"/>
    <w:rsid w:val="009C6903"/>
    <w:rsid w:val="009C6EB5"/>
    <w:rsid w:val="009C775D"/>
    <w:rsid w:val="009D0474"/>
    <w:rsid w:val="009D049D"/>
    <w:rsid w:val="009D0AD4"/>
    <w:rsid w:val="009D10D9"/>
    <w:rsid w:val="009D1279"/>
    <w:rsid w:val="009D1433"/>
    <w:rsid w:val="009D1EFD"/>
    <w:rsid w:val="009D1F96"/>
    <w:rsid w:val="009D2529"/>
    <w:rsid w:val="009D2641"/>
    <w:rsid w:val="009D2B48"/>
    <w:rsid w:val="009D3C11"/>
    <w:rsid w:val="009D4A23"/>
    <w:rsid w:val="009D5E99"/>
    <w:rsid w:val="009D6C13"/>
    <w:rsid w:val="009D71A4"/>
    <w:rsid w:val="009D78DC"/>
    <w:rsid w:val="009D7DC4"/>
    <w:rsid w:val="009E18B9"/>
    <w:rsid w:val="009E1CF1"/>
    <w:rsid w:val="009E1DC7"/>
    <w:rsid w:val="009E2115"/>
    <w:rsid w:val="009E2141"/>
    <w:rsid w:val="009E3B49"/>
    <w:rsid w:val="009E4106"/>
    <w:rsid w:val="009E43FA"/>
    <w:rsid w:val="009E45AC"/>
    <w:rsid w:val="009E490C"/>
    <w:rsid w:val="009E4A93"/>
    <w:rsid w:val="009E4FF8"/>
    <w:rsid w:val="009E54CA"/>
    <w:rsid w:val="009E6011"/>
    <w:rsid w:val="009E68C0"/>
    <w:rsid w:val="009E6A59"/>
    <w:rsid w:val="009E6D7A"/>
    <w:rsid w:val="009E7146"/>
    <w:rsid w:val="009E7C2A"/>
    <w:rsid w:val="009E7F63"/>
    <w:rsid w:val="009F0504"/>
    <w:rsid w:val="009F0CE9"/>
    <w:rsid w:val="009F0EE6"/>
    <w:rsid w:val="009F0FF5"/>
    <w:rsid w:val="009F3432"/>
    <w:rsid w:val="009F34BF"/>
    <w:rsid w:val="009F414E"/>
    <w:rsid w:val="009F417D"/>
    <w:rsid w:val="009F431E"/>
    <w:rsid w:val="009F464F"/>
    <w:rsid w:val="009F5ABA"/>
    <w:rsid w:val="009F5F1D"/>
    <w:rsid w:val="009F62F1"/>
    <w:rsid w:val="009F65A6"/>
    <w:rsid w:val="009F690E"/>
    <w:rsid w:val="009F70A0"/>
    <w:rsid w:val="009F75CC"/>
    <w:rsid w:val="009F7FD5"/>
    <w:rsid w:val="00A002A3"/>
    <w:rsid w:val="00A0057F"/>
    <w:rsid w:val="00A0091B"/>
    <w:rsid w:val="00A0107D"/>
    <w:rsid w:val="00A01989"/>
    <w:rsid w:val="00A0205E"/>
    <w:rsid w:val="00A022ED"/>
    <w:rsid w:val="00A0248B"/>
    <w:rsid w:val="00A02A13"/>
    <w:rsid w:val="00A03315"/>
    <w:rsid w:val="00A03488"/>
    <w:rsid w:val="00A035EA"/>
    <w:rsid w:val="00A041FF"/>
    <w:rsid w:val="00A046F0"/>
    <w:rsid w:val="00A047D1"/>
    <w:rsid w:val="00A04C9A"/>
    <w:rsid w:val="00A04FF9"/>
    <w:rsid w:val="00A05D6B"/>
    <w:rsid w:val="00A05EA1"/>
    <w:rsid w:val="00A05EFC"/>
    <w:rsid w:val="00A06489"/>
    <w:rsid w:val="00A064DC"/>
    <w:rsid w:val="00A07498"/>
    <w:rsid w:val="00A07997"/>
    <w:rsid w:val="00A07ED3"/>
    <w:rsid w:val="00A10755"/>
    <w:rsid w:val="00A109EF"/>
    <w:rsid w:val="00A10F8C"/>
    <w:rsid w:val="00A110D0"/>
    <w:rsid w:val="00A113DF"/>
    <w:rsid w:val="00A114F9"/>
    <w:rsid w:val="00A11674"/>
    <w:rsid w:val="00A11901"/>
    <w:rsid w:val="00A11A49"/>
    <w:rsid w:val="00A12895"/>
    <w:rsid w:val="00A1333A"/>
    <w:rsid w:val="00A13515"/>
    <w:rsid w:val="00A13551"/>
    <w:rsid w:val="00A13A9B"/>
    <w:rsid w:val="00A13DCD"/>
    <w:rsid w:val="00A143C2"/>
    <w:rsid w:val="00A144CF"/>
    <w:rsid w:val="00A147F1"/>
    <w:rsid w:val="00A149AA"/>
    <w:rsid w:val="00A15395"/>
    <w:rsid w:val="00A15766"/>
    <w:rsid w:val="00A1659F"/>
    <w:rsid w:val="00A16A0A"/>
    <w:rsid w:val="00A16B25"/>
    <w:rsid w:val="00A17A4A"/>
    <w:rsid w:val="00A17F08"/>
    <w:rsid w:val="00A2069C"/>
    <w:rsid w:val="00A21737"/>
    <w:rsid w:val="00A219C0"/>
    <w:rsid w:val="00A21A95"/>
    <w:rsid w:val="00A21AF0"/>
    <w:rsid w:val="00A21D64"/>
    <w:rsid w:val="00A2230E"/>
    <w:rsid w:val="00A233E5"/>
    <w:rsid w:val="00A2356A"/>
    <w:rsid w:val="00A23D82"/>
    <w:rsid w:val="00A24161"/>
    <w:rsid w:val="00A24F57"/>
    <w:rsid w:val="00A25445"/>
    <w:rsid w:val="00A259B3"/>
    <w:rsid w:val="00A259D3"/>
    <w:rsid w:val="00A25BA2"/>
    <w:rsid w:val="00A25D4E"/>
    <w:rsid w:val="00A26060"/>
    <w:rsid w:val="00A26538"/>
    <w:rsid w:val="00A26696"/>
    <w:rsid w:val="00A26C21"/>
    <w:rsid w:val="00A26CB7"/>
    <w:rsid w:val="00A26D67"/>
    <w:rsid w:val="00A26F7F"/>
    <w:rsid w:val="00A270C2"/>
    <w:rsid w:val="00A27210"/>
    <w:rsid w:val="00A2758A"/>
    <w:rsid w:val="00A30642"/>
    <w:rsid w:val="00A30CA9"/>
    <w:rsid w:val="00A31116"/>
    <w:rsid w:val="00A3187C"/>
    <w:rsid w:val="00A32622"/>
    <w:rsid w:val="00A32E8C"/>
    <w:rsid w:val="00A32FC9"/>
    <w:rsid w:val="00A333C7"/>
    <w:rsid w:val="00A336D2"/>
    <w:rsid w:val="00A348CB"/>
    <w:rsid w:val="00A357FA"/>
    <w:rsid w:val="00A35D41"/>
    <w:rsid w:val="00A36645"/>
    <w:rsid w:val="00A36CE6"/>
    <w:rsid w:val="00A36ECE"/>
    <w:rsid w:val="00A37060"/>
    <w:rsid w:val="00A37449"/>
    <w:rsid w:val="00A37972"/>
    <w:rsid w:val="00A37AD7"/>
    <w:rsid w:val="00A400D6"/>
    <w:rsid w:val="00A402E9"/>
    <w:rsid w:val="00A4043C"/>
    <w:rsid w:val="00A40B81"/>
    <w:rsid w:val="00A40DAF"/>
    <w:rsid w:val="00A41BCB"/>
    <w:rsid w:val="00A41CF6"/>
    <w:rsid w:val="00A42B2E"/>
    <w:rsid w:val="00A42DAE"/>
    <w:rsid w:val="00A43951"/>
    <w:rsid w:val="00A43E59"/>
    <w:rsid w:val="00A440AB"/>
    <w:rsid w:val="00A44881"/>
    <w:rsid w:val="00A4517A"/>
    <w:rsid w:val="00A45317"/>
    <w:rsid w:val="00A466F5"/>
    <w:rsid w:val="00A47632"/>
    <w:rsid w:val="00A50238"/>
    <w:rsid w:val="00A50D80"/>
    <w:rsid w:val="00A50DDB"/>
    <w:rsid w:val="00A5105B"/>
    <w:rsid w:val="00A51262"/>
    <w:rsid w:val="00A517B3"/>
    <w:rsid w:val="00A51DC4"/>
    <w:rsid w:val="00A51F8F"/>
    <w:rsid w:val="00A528D3"/>
    <w:rsid w:val="00A52FDA"/>
    <w:rsid w:val="00A530DE"/>
    <w:rsid w:val="00A53350"/>
    <w:rsid w:val="00A54137"/>
    <w:rsid w:val="00A54699"/>
    <w:rsid w:val="00A54B7A"/>
    <w:rsid w:val="00A5526A"/>
    <w:rsid w:val="00A55455"/>
    <w:rsid w:val="00A5559F"/>
    <w:rsid w:val="00A555D3"/>
    <w:rsid w:val="00A557DF"/>
    <w:rsid w:val="00A55C45"/>
    <w:rsid w:val="00A56072"/>
    <w:rsid w:val="00A569FA"/>
    <w:rsid w:val="00A56D8B"/>
    <w:rsid w:val="00A56E34"/>
    <w:rsid w:val="00A577E6"/>
    <w:rsid w:val="00A6007D"/>
    <w:rsid w:val="00A60232"/>
    <w:rsid w:val="00A60834"/>
    <w:rsid w:val="00A608DF"/>
    <w:rsid w:val="00A60ADE"/>
    <w:rsid w:val="00A60D0A"/>
    <w:rsid w:val="00A60DCC"/>
    <w:rsid w:val="00A60DD0"/>
    <w:rsid w:val="00A61171"/>
    <w:rsid w:val="00A6213C"/>
    <w:rsid w:val="00A633B4"/>
    <w:rsid w:val="00A63897"/>
    <w:rsid w:val="00A63B35"/>
    <w:rsid w:val="00A63B6E"/>
    <w:rsid w:val="00A63F9B"/>
    <w:rsid w:val="00A6479D"/>
    <w:rsid w:val="00A655EF"/>
    <w:rsid w:val="00A658BA"/>
    <w:rsid w:val="00A658F9"/>
    <w:rsid w:val="00A66B41"/>
    <w:rsid w:val="00A66C3B"/>
    <w:rsid w:val="00A67272"/>
    <w:rsid w:val="00A672AC"/>
    <w:rsid w:val="00A70C49"/>
    <w:rsid w:val="00A70C53"/>
    <w:rsid w:val="00A70E04"/>
    <w:rsid w:val="00A70E4B"/>
    <w:rsid w:val="00A72769"/>
    <w:rsid w:val="00A72920"/>
    <w:rsid w:val="00A73E6D"/>
    <w:rsid w:val="00A74F52"/>
    <w:rsid w:val="00A74FB4"/>
    <w:rsid w:val="00A75288"/>
    <w:rsid w:val="00A757D4"/>
    <w:rsid w:val="00A76B20"/>
    <w:rsid w:val="00A76C5D"/>
    <w:rsid w:val="00A76DD5"/>
    <w:rsid w:val="00A76E5A"/>
    <w:rsid w:val="00A76FFA"/>
    <w:rsid w:val="00A77BFF"/>
    <w:rsid w:val="00A77F48"/>
    <w:rsid w:val="00A814D0"/>
    <w:rsid w:val="00A817F8"/>
    <w:rsid w:val="00A8248F"/>
    <w:rsid w:val="00A826AD"/>
    <w:rsid w:val="00A829A6"/>
    <w:rsid w:val="00A82C1E"/>
    <w:rsid w:val="00A82D18"/>
    <w:rsid w:val="00A82D43"/>
    <w:rsid w:val="00A832E8"/>
    <w:rsid w:val="00A83B52"/>
    <w:rsid w:val="00A8420F"/>
    <w:rsid w:val="00A8445F"/>
    <w:rsid w:val="00A84956"/>
    <w:rsid w:val="00A853C5"/>
    <w:rsid w:val="00A8541E"/>
    <w:rsid w:val="00A859F5"/>
    <w:rsid w:val="00A86915"/>
    <w:rsid w:val="00A86B8F"/>
    <w:rsid w:val="00A86DA0"/>
    <w:rsid w:val="00A87218"/>
    <w:rsid w:val="00A8758F"/>
    <w:rsid w:val="00A8778D"/>
    <w:rsid w:val="00A87E11"/>
    <w:rsid w:val="00A90C91"/>
    <w:rsid w:val="00A90D8D"/>
    <w:rsid w:val="00A91782"/>
    <w:rsid w:val="00A918E3"/>
    <w:rsid w:val="00A92B4E"/>
    <w:rsid w:val="00A92C9B"/>
    <w:rsid w:val="00A94946"/>
    <w:rsid w:val="00A94FE5"/>
    <w:rsid w:val="00A95F08"/>
    <w:rsid w:val="00A96196"/>
    <w:rsid w:val="00A961DB"/>
    <w:rsid w:val="00A9637F"/>
    <w:rsid w:val="00A973FC"/>
    <w:rsid w:val="00A974EE"/>
    <w:rsid w:val="00AA0115"/>
    <w:rsid w:val="00AA0178"/>
    <w:rsid w:val="00AA03F9"/>
    <w:rsid w:val="00AA04EC"/>
    <w:rsid w:val="00AA1BDE"/>
    <w:rsid w:val="00AA1DE9"/>
    <w:rsid w:val="00AA1EF5"/>
    <w:rsid w:val="00AA2891"/>
    <w:rsid w:val="00AA2FC5"/>
    <w:rsid w:val="00AA340B"/>
    <w:rsid w:val="00AA3BBB"/>
    <w:rsid w:val="00AA4156"/>
    <w:rsid w:val="00AA423B"/>
    <w:rsid w:val="00AA4369"/>
    <w:rsid w:val="00AA457B"/>
    <w:rsid w:val="00AA5764"/>
    <w:rsid w:val="00AA5BB2"/>
    <w:rsid w:val="00AA5E9F"/>
    <w:rsid w:val="00AA601E"/>
    <w:rsid w:val="00AA69B9"/>
    <w:rsid w:val="00AA6ABA"/>
    <w:rsid w:val="00AA745E"/>
    <w:rsid w:val="00AB0D8D"/>
    <w:rsid w:val="00AB0F5C"/>
    <w:rsid w:val="00AB105B"/>
    <w:rsid w:val="00AB131E"/>
    <w:rsid w:val="00AB137B"/>
    <w:rsid w:val="00AB1873"/>
    <w:rsid w:val="00AB1CBF"/>
    <w:rsid w:val="00AB25FE"/>
    <w:rsid w:val="00AB265E"/>
    <w:rsid w:val="00AB2C14"/>
    <w:rsid w:val="00AB3430"/>
    <w:rsid w:val="00AB3605"/>
    <w:rsid w:val="00AB38B4"/>
    <w:rsid w:val="00AB45BF"/>
    <w:rsid w:val="00AB5126"/>
    <w:rsid w:val="00AB547C"/>
    <w:rsid w:val="00AB630D"/>
    <w:rsid w:val="00AB65F8"/>
    <w:rsid w:val="00AB6F33"/>
    <w:rsid w:val="00AB7458"/>
    <w:rsid w:val="00AB7595"/>
    <w:rsid w:val="00AB7877"/>
    <w:rsid w:val="00AB7BCA"/>
    <w:rsid w:val="00AC10F1"/>
    <w:rsid w:val="00AC12A8"/>
    <w:rsid w:val="00AC2294"/>
    <w:rsid w:val="00AC28F7"/>
    <w:rsid w:val="00AC2A80"/>
    <w:rsid w:val="00AC2B3F"/>
    <w:rsid w:val="00AC45E2"/>
    <w:rsid w:val="00AC5479"/>
    <w:rsid w:val="00AC5B9B"/>
    <w:rsid w:val="00AC613C"/>
    <w:rsid w:val="00AC62AD"/>
    <w:rsid w:val="00AC687B"/>
    <w:rsid w:val="00AC73B0"/>
    <w:rsid w:val="00AD00A7"/>
    <w:rsid w:val="00AD12D8"/>
    <w:rsid w:val="00AD143D"/>
    <w:rsid w:val="00AD14BD"/>
    <w:rsid w:val="00AD1DEA"/>
    <w:rsid w:val="00AD275A"/>
    <w:rsid w:val="00AD27F3"/>
    <w:rsid w:val="00AD30C2"/>
    <w:rsid w:val="00AD34C0"/>
    <w:rsid w:val="00AD3EC2"/>
    <w:rsid w:val="00AD426D"/>
    <w:rsid w:val="00AD4300"/>
    <w:rsid w:val="00AD4A5E"/>
    <w:rsid w:val="00AD4EF9"/>
    <w:rsid w:val="00AD54A7"/>
    <w:rsid w:val="00AD598D"/>
    <w:rsid w:val="00AD5F03"/>
    <w:rsid w:val="00AD5F9D"/>
    <w:rsid w:val="00AD61EB"/>
    <w:rsid w:val="00AD64D1"/>
    <w:rsid w:val="00AD6814"/>
    <w:rsid w:val="00AD6EAA"/>
    <w:rsid w:val="00AD6F9E"/>
    <w:rsid w:val="00AD7045"/>
    <w:rsid w:val="00AD7520"/>
    <w:rsid w:val="00AD776A"/>
    <w:rsid w:val="00AD77E9"/>
    <w:rsid w:val="00AD7A28"/>
    <w:rsid w:val="00AE08A6"/>
    <w:rsid w:val="00AE0A24"/>
    <w:rsid w:val="00AE116D"/>
    <w:rsid w:val="00AE24F6"/>
    <w:rsid w:val="00AE26E4"/>
    <w:rsid w:val="00AE2C50"/>
    <w:rsid w:val="00AE2D68"/>
    <w:rsid w:val="00AE3193"/>
    <w:rsid w:val="00AE32C4"/>
    <w:rsid w:val="00AE36E2"/>
    <w:rsid w:val="00AE45DF"/>
    <w:rsid w:val="00AE461D"/>
    <w:rsid w:val="00AE4686"/>
    <w:rsid w:val="00AE48A1"/>
    <w:rsid w:val="00AE50A9"/>
    <w:rsid w:val="00AE650D"/>
    <w:rsid w:val="00AE66C9"/>
    <w:rsid w:val="00AE673B"/>
    <w:rsid w:val="00AE73B7"/>
    <w:rsid w:val="00AE7944"/>
    <w:rsid w:val="00AE79A4"/>
    <w:rsid w:val="00AEECE1"/>
    <w:rsid w:val="00AF0686"/>
    <w:rsid w:val="00AF0AD0"/>
    <w:rsid w:val="00AF1151"/>
    <w:rsid w:val="00AF14AF"/>
    <w:rsid w:val="00AF14F6"/>
    <w:rsid w:val="00AF1FF2"/>
    <w:rsid w:val="00AF2BFA"/>
    <w:rsid w:val="00AF32DF"/>
    <w:rsid w:val="00AF3534"/>
    <w:rsid w:val="00AF3656"/>
    <w:rsid w:val="00AF51B7"/>
    <w:rsid w:val="00AF59D9"/>
    <w:rsid w:val="00AF61FD"/>
    <w:rsid w:val="00AF6242"/>
    <w:rsid w:val="00AF6593"/>
    <w:rsid w:val="00AF65BD"/>
    <w:rsid w:val="00AF6712"/>
    <w:rsid w:val="00AF79E1"/>
    <w:rsid w:val="00AF7B8E"/>
    <w:rsid w:val="00AF7FE6"/>
    <w:rsid w:val="00B00229"/>
    <w:rsid w:val="00B00855"/>
    <w:rsid w:val="00B00962"/>
    <w:rsid w:val="00B01885"/>
    <w:rsid w:val="00B01D4E"/>
    <w:rsid w:val="00B027B0"/>
    <w:rsid w:val="00B02C8C"/>
    <w:rsid w:val="00B02FE8"/>
    <w:rsid w:val="00B036EE"/>
    <w:rsid w:val="00B03B4A"/>
    <w:rsid w:val="00B03C5C"/>
    <w:rsid w:val="00B04052"/>
    <w:rsid w:val="00B0509A"/>
    <w:rsid w:val="00B05375"/>
    <w:rsid w:val="00B0560D"/>
    <w:rsid w:val="00B06692"/>
    <w:rsid w:val="00B06E19"/>
    <w:rsid w:val="00B0712A"/>
    <w:rsid w:val="00B074F0"/>
    <w:rsid w:val="00B1011E"/>
    <w:rsid w:val="00B10C25"/>
    <w:rsid w:val="00B1108C"/>
    <w:rsid w:val="00B1143A"/>
    <w:rsid w:val="00B1294D"/>
    <w:rsid w:val="00B12D80"/>
    <w:rsid w:val="00B137AE"/>
    <w:rsid w:val="00B14122"/>
    <w:rsid w:val="00B14A66"/>
    <w:rsid w:val="00B14ED6"/>
    <w:rsid w:val="00B16A17"/>
    <w:rsid w:val="00B17768"/>
    <w:rsid w:val="00B17B9D"/>
    <w:rsid w:val="00B17DD7"/>
    <w:rsid w:val="00B20164"/>
    <w:rsid w:val="00B2020E"/>
    <w:rsid w:val="00B20D44"/>
    <w:rsid w:val="00B20EA9"/>
    <w:rsid w:val="00B212B6"/>
    <w:rsid w:val="00B216F4"/>
    <w:rsid w:val="00B2172A"/>
    <w:rsid w:val="00B217A7"/>
    <w:rsid w:val="00B21F15"/>
    <w:rsid w:val="00B21F81"/>
    <w:rsid w:val="00B22BE3"/>
    <w:rsid w:val="00B22D48"/>
    <w:rsid w:val="00B23498"/>
    <w:rsid w:val="00B236A0"/>
    <w:rsid w:val="00B24DCA"/>
    <w:rsid w:val="00B24E27"/>
    <w:rsid w:val="00B25016"/>
    <w:rsid w:val="00B2503E"/>
    <w:rsid w:val="00B2646F"/>
    <w:rsid w:val="00B26B46"/>
    <w:rsid w:val="00B26DBC"/>
    <w:rsid w:val="00B30768"/>
    <w:rsid w:val="00B31244"/>
    <w:rsid w:val="00B31819"/>
    <w:rsid w:val="00B3183C"/>
    <w:rsid w:val="00B32071"/>
    <w:rsid w:val="00B3247D"/>
    <w:rsid w:val="00B33044"/>
    <w:rsid w:val="00B33843"/>
    <w:rsid w:val="00B33EF9"/>
    <w:rsid w:val="00B3403B"/>
    <w:rsid w:val="00B34A2B"/>
    <w:rsid w:val="00B34B8F"/>
    <w:rsid w:val="00B34C9D"/>
    <w:rsid w:val="00B3500A"/>
    <w:rsid w:val="00B35416"/>
    <w:rsid w:val="00B355CE"/>
    <w:rsid w:val="00B35659"/>
    <w:rsid w:val="00B35725"/>
    <w:rsid w:val="00B3615F"/>
    <w:rsid w:val="00B36320"/>
    <w:rsid w:val="00B364FF"/>
    <w:rsid w:val="00B36AD0"/>
    <w:rsid w:val="00B36FC3"/>
    <w:rsid w:val="00B37067"/>
    <w:rsid w:val="00B37654"/>
    <w:rsid w:val="00B37A49"/>
    <w:rsid w:val="00B37E66"/>
    <w:rsid w:val="00B4082D"/>
    <w:rsid w:val="00B40C76"/>
    <w:rsid w:val="00B40E5C"/>
    <w:rsid w:val="00B40E7D"/>
    <w:rsid w:val="00B40E95"/>
    <w:rsid w:val="00B41955"/>
    <w:rsid w:val="00B42198"/>
    <w:rsid w:val="00B42758"/>
    <w:rsid w:val="00B42971"/>
    <w:rsid w:val="00B42AC8"/>
    <w:rsid w:val="00B42B22"/>
    <w:rsid w:val="00B42C69"/>
    <w:rsid w:val="00B43283"/>
    <w:rsid w:val="00B43D5D"/>
    <w:rsid w:val="00B43EBB"/>
    <w:rsid w:val="00B44A90"/>
    <w:rsid w:val="00B44E64"/>
    <w:rsid w:val="00B45359"/>
    <w:rsid w:val="00B45631"/>
    <w:rsid w:val="00B45888"/>
    <w:rsid w:val="00B45A35"/>
    <w:rsid w:val="00B467B8"/>
    <w:rsid w:val="00B46FC3"/>
    <w:rsid w:val="00B477F6"/>
    <w:rsid w:val="00B47AB3"/>
    <w:rsid w:val="00B501BB"/>
    <w:rsid w:val="00B50F38"/>
    <w:rsid w:val="00B50F3C"/>
    <w:rsid w:val="00B510D7"/>
    <w:rsid w:val="00B51852"/>
    <w:rsid w:val="00B51CF4"/>
    <w:rsid w:val="00B52138"/>
    <w:rsid w:val="00B53028"/>
    <w:rsid w:val="00B537B8"/>
    <w:rsid w:val="00B557A9"/>
    <w:rsid w:val="00B55A37"/>
    <w:rsid w:val="00B55F45"/>
    <w:rsid w:val="00B5693A"/>
    <w:rsid w:val="00B56D0D"/>
    <w:rsid w:val="00B56D2D"/>
    <w:rsid w:val="00B56E50"/>
    <w:rsid w:val="00B57EE0"/>
    <w:rsid w:val="00B57F14"/>
    <w:rsid w:val="00B57F1F"/>
    <w:rsid w:val="00B60AD4"/>
    <w:rsid w:val="00B6107D"/>
    <w:rsid w:val="00B61289"/>
    <w:rsid w:val="00B6156A"/>
    <w:rsid w:val="00B6242B"/>
    <w:rsid w:val="00B62767"/>
    <w:rsid w:val="00B62BC3"/>
    <w:rsid w:val="00B62E9C"/>
    <w:rsid w:val="00B632C3"/>
    <w:rsid w:val="00B6366A"/>
    <w:rsid w:val="00B636F1"/>
    <w:rsid w:val="00B644A8"/>
    <w:rsid w:val="00B64B6A"/>
    <w:rsid w:val="00B64F39"/>
    <w:rsid w:val="00B65064"/>
    <w:rsid w:val="00B650CE"/>
    <w:rsid w:val="00B657E8"/>
    <w:rsid w:val="00B65C89"/>
    <w:rsid w:val="00B65CEB"/>
    <w:rsid w:val="00B6632E"/>
    <w:rsid w:val="00B66507"/>
    <w:rsid w:val="00B668FB"/>
    <w:rsid w:val="00B66C7D"/>
    <w:rsid w:val="00B66E0D"/>
    <w:rsid w:val="00B66EB7"/>
    <w:rsid w:val="00B66FFB"/>
    <w:rsid w:val="00B6703E"/>
    <w:rsid w:val="00B67081"/>
    <w:rsid w:val="00B678A4"/>
    <w:rsid w:val="00B70416"/>
    <w:rsid w:val="00B7061A"/>
    <w:rsid w:val="00B70D6E"/>
    <w:rsid w:val="00B71196"/>
    <w:rsid w:val="00B7142F"/>
    <w:rsid w:val="00B71BF1"/>
    <w:rsid w:val="00B72C1E"/>
    <w:rsid w:val="00B73BDD"/>
    <w:rsid w:val="00B73D43"/>
    <w:rsid w:val="00B73F8E"/>
    <w:rsid w:val="00B74741"/>
    <w:rsid w:val="00B74F10"/>
    <w:rsid w:val="00B74FEB"/>
    <w:rsid w:val="00B75F52"/>
    <w:rsid w:val="00B76038"/>
    <w:rsid w:val="00B770F6"/>
    <w:rsid w:val="00B77727"/>
    <w:rsid w:val="00B7779F"/>
    <w:rsid w:val="00B7786C"/>
    <w:rsid w:val="00B77890"/>
    <w:rsid w:val="00B7791D"/>
    <w:rsid w:val="00B77EE6"/>
    <w:rsid w:val="00B77FDF"/>
    <w:rsid w:val="00B8057D"/>
    <w:rsid w:val="00B80E17"/>
    <w:rsid w:val="00B814BD"/>
    <w:rsid w:val="00B81545"/>
    <w:rsid w:val="00B81FD8"/>
    <w:rsid w:val="00B82159"/>
    <w:rsid w:val="00B82653"/>
    <w:rsid w:val="00B829FF"/>
    <w:rsid w:val="00B83C9E"/>
    <w:rsid w:val="00B83E97"/>
    <w:rsid w:val="00B84317"/>
    <w:rsid w:val="00B8449E"/>
    <w:rsid w:val="00B8480A"/>
    <w:rsid w:val="00B84969"/>
    <w:rsid w:val="00B84A49"/>
    <w:rsid w:val="00B84AE7"/>
    <w:rsid w:val="00B85137"/>
    <w:rsid w:val="00B85169"/>
    <w:rsid w:val="00B85559"/>
    <w:rsid w:val="00B85617"/>
    <w:rsid w:val="00B85F8E"/>
    <w:rsid w:val="00B86371"/>
    <w:rsid w:val="00B8648F"/>
    <w:rsid w:val="00B866DD"/>
    <w:rsid w:val="00B86B40"/>
    <w:rsid w:val="00B875AB"/>
    <w:rsid w:val="00B87AAE"/>
    <w:rsid w:val="00B90B09"/>
    <w:rsid w:val="00B919C3"/>
    <w:rsid w:val="00B92278"/>
    <w:rsid w:val="00B925D0"/>
    <w:rsid w:val="00B9306A"/>
    <w:rsid w:val="00B93157"/>
    <w:rsid w:val="00B94233"/>
    <w:rsid w:val="00B950B2"/>
    <w:rsid w:val="00B9556A"/>
    <w:rsid w:val="00B95A4D"/>
    <w:rsid w:val="00B95E17"/>
    <w:rsid w:val="00B9681A"/>
    <w:rsid w:val="00B974C7"/>
    <w:rsid w:val="00B977FB"/>
    <w:rsid w:val="00BA031B"/>
    <w:rsid w:val="00BA064D"/>
    <w:rsid w:val="00BA0ED4"/>
    <w:rsid w:val="00BA2230"/>
    <w:rsid w:val="00BA2BA4"/>
    <w:rsid w:val="00BA3787"/>
    <w:rsid w:val="00BA3A47"/>
    <w:rsid w:val="00BA43C9"/>
    <w:rsid w:val="00BA4C40"/>
    <w:rsid w:val="00BA4F1F"/>
    <w:rsid w:val="00BA5CBD"/>
    <w:rsid w:val="00BA63B1"/>
    <w:rsid w:val="00BA679B"/>
    <w:rsid w:val="00BA7094"/>
    <w:rsid w:val="00BA7544"/>
    <w:rsid w:val="00BA7802"/>
    <w:rsid w:val="00BA78CB"/>
    <w:rsid w:val="00BA7CE6"/>
    <w:rsid w:val="00BA7DC9"/>
    <w:rsid w:val="00BA7F10"/>
    <w:rsid w:val="00BA7F19"/>
    <w:rsid w:val="00BB0289"/>
    <w:rsid w:val="00BB0925"/>
    <w:rsid w:val="00BB0B15"/>
    <w:rsid w:val="00BB0ED1"/>
    <w:rsid w:val="00BB13E2"/>
    <w:rsid w:val="00BB1AE0"/>
    <w:rsid w:val="00BB23EA"/>
    <w:rsid w:val="00BB23ED"/>
    <w:rsid w:val="00BB2404"/>
    <w:rsid w:val="00BB2630"/>
    <w:rsid w:val="00BB3C72"/>
    <w:rsid w:val="00BB5084"/>
    <w:rsid w:val="00BB58A8"/>
    <w:rsid w:val="00BB5E69"/>
    <w:rsid w:val="00BB5F29"/>
    <w:rsid w:val="00BB6523"/>
    <w:rsid w:val="00BB753B"/>
    <w:rsid w:val="00BC00A2"/>
    <w:rsid w:val="00BC0944"/>
    <w:rsid w:val="00BC0A3B"/>
    <w:rsid w:val="00BC0E45"/>
    <w:rsid w:val="00BC20CA"/>
    <w:rsid w:val="00BC33C2"/>
    <w:rsid w:val="00BC3857"/>
    <w:rsid w:val="00BC38C0"/>
    <w:rsid w:val="00BC3EE2"/>
    <w:rsid w:val="00BC4833"/>
    <w:rsid w:val="00BC4887"/>
    <w:rsid w:val="00BC4FD6"/>
    <w:rsid w:val="00BC568F"/>
    <w:rsid w:val="00BC58F5"/>
    <w:rsid w:val="00BC5A64"/>
    <w:rsid w:val="00BC5D82"/>
    <w:rsid w:val="00BC5FCA"/>
    <w:rsid w:val="00BC60D1"/>
    <w:rsid w:val="00BC6563"/>
    <w:rsid w:val="00BC663C"/>
    <w:rsid w:val="00BC6F02"/>
    <w:rsid w:val="00BC753D"/>
    <w:rsid w:val="00BC7557"/>
    <w:rsid w:val="00BC785C"/>
    <w:rsid w:val="00BC7A80"/>
    <w:rsid w:val="00BC7E4E"/>
    <w:rsid w:val="00BD05F6"/>
    <w:rsid w:val="00BD203D"/>
    <w:rsid w:val="00BD2830"/>
    <w:rsid w:val="00BD2E42"/>
    <w:rsid w:val="00BD33B3"/>
    <w:rsid w:val="00BD3A43"/>
    <w:rsid w:val="00BD3DF0"/>
    <w:rsid w:val="00BD4C87"/>
    <w:rsid w:val="00BD4D87"/>
    <w:rsid w:val="00BD4EA6"/>
    <w:rsid w:val="00BD6E20"/>
    <w:rsid w:val="00BD6E9F"/>
    <w:rsid w:val="00BD729A"/>
    <w:rsid w:val="00BD751B"/>
    <w:rsid w:val="00BD7D6F"/>
    <w:rsid w:val="00BD7DF3"/>
    <w:rsid w:val="00BD7ECC"/>
    <w:rsid w:val="00BE04C4"/>
    <w:rsid w:val="00BE0A78"/>
    <w:rsid w:val="00BE0D4E"/>
    <w:rsid w:val="00BE0FA9"/>
    <w:rsid w:val="00BE15C8"/>
    <w:rsid w:val="00BE2477"/>
    <w:rsid w:val="00BE2B56"/>
    <w:rsid w:val="00BE429E"/>
    <w:rsid w:val="00BE45C9"/>
    <w:rsid w:val="00BE463A"/>
    <w:rsid w:val="00BE4BED"/>
    <w:rsid w:val="00BE53BA"/>
    <w:rsid w:val="00BE5682"/>
    <w:rsid w:val="00BE5889"/>
    <w:rsid w:val="00BE5F6C"/>
    <w:rsid w:val="00BE5FD2"/>
    <w:rsid w:val="00BE6915"/>
    <w:rsid w:val="00BE6A88"/>
    <w:rsid w:val="00BE6BDF"/>
    <w:rsid w:val="00BE6D9E"/>
    <w:rsid w:val="00BE76E9"/>
    <w:rsid w:val="00BF05CE"/>
    <w:rsid w:val="00BF0664"/>
    <w:rsid w:val="00BF09C9"/>
    <w:rsid w:val="00BF0C52"/>
    <w:rsid w:val="00BF119F"/>
    <w:rsid w:val="00BF1396"/>
    <w:rsid w:val="00BF1766"/>
    <w:rsid w:val="00BF2D29"/>
    <w:rsid w:val="00BF2EA5"/>
    <w:rsid w:val="00BF313C"/>
    <w:rsid w:val="00BF3166"/>
    <w:rsid w:val="00BF3DFC"/>
    <w:rsid w:val="00BF4412"/>
    <w:rsid w:val="00BF5397"/>
    <w:rsid w:val="00BF5A36"/>
    <w:rsid w:val="00BF6C0A"/>
    <w:rsid w:val="00BF6C17"/>
    <w:rsid w:val="00C0060E"/>
    <w:rsid w:val="00C00A8A"/>
    <w:rsid w:val="00C0122A"/>
    <w:rsid w:val="00C018AB"/>
    <w:rsid w:val="00C018BE"/>
    <w:rsid w:val="00C02984"/>
    <w:rsid w:val="00C02AB5"/>
    <w:rsid w:val="00C02BD5"/>
    <w:rsid w:val="00C037D4"/>
    <w:rsid w:val="00C0423D"/>
    <w:rsid w:val="00C04337"/>
    <w:rsid w:val="00C04E68"/>
    <w:rsid w:val="00C05520"/>
    <w:rsid w:val="00C077B1"/>
    <w:rsid w:val="00C079A3"/>
    <w:rsid w:val="00C100FA"/>
    <w:rsid w:val="00C1071A"/>
    <w:rsid w:val="00C10761"/>
    <w:rsid w:val="00C114CC"/>
    <w:rsid w:val="00C11B1F"/>
    <w:rsid w:val="00C11D9B"/>
    <w:rsid w:val="00C12063"/>
    <w:rsid w:val="00C1219D"/>
    <w:rsid w:val="00C122EC"/>
    <w:rsid w:val="00C12B93"/>
    <w:rsid w:val="00C13A1B"/>
    <w:rsid w:val="00C14390"/>
    <w:rsid w:val="00C14863"/>
    <w:rsid w:val="00C14B30"/>
    <w:rsid w:val="00C150B6"/>
    <w:rsid w:val="00C15627"/>
    <w:rsid w:val="00C157A3"/>
    <w:rsid w:val="00C15E48"/>
    <w:rsid w:val="00C176C9"/>
    <w:rsid w:val="00C2032B"/>
    <w:rsid w:val="00C2079F"/>
    <w:rsid w:val="00C20A59"/>
    <w:rsid w:val="00C20C28"/>
    <w:rsid w:val="00C20C75"/>
    <w:rsid w:val="00C20FC9"/>
    <w:rsid w:val="00C2143B"/>
    <w:rsid w:val="00C216CB"/>
    <w:rsid w:val="00C2222F"/>
    <w:rsid w:val="00C222D9"/>
    <w:rsid w:val="00C22457"/>
    <w:rsid w:val="00C22CA6"/>
    <w:rsid w:val="00C23066"/>
    <w:rsid w:val="00C24A0A"/>
    <w:rsid w:val="00C24D6A"/>
    <w:rsid w:val="00C2509B"/>
    <w:rsid w:val="00C25867"/>
    <w:rsid w:val="00C26204"/>
    <w:rsid w:val="00C2658B"/>
    <w:rsid w:val="00C265AA"/>
    <w:rsid w:val="00C265DD"/>
    <w:rsid w:val="00C26C76"/>
    <w:rsid w:val="00C27137"/>
    <w:rsid w:val="00C275A6"/>
    <w:rsid w:val="00C27A62"/>
    <w:rsid w:val="00C27D90"/>
    <w:rsid w:val="00C27E7F"/>
    <w:rsid w:val="00C30213"/>
    <w:rsid w:val="00C3051E"/>
    <w:rsid w:val="00C30ED1"/>
    <w:rsid w:val="00C313FE"/>
    <w:rsid w:val="00C3141B"/>
    <w:rsid w:val="00C31E2F"/>
    <w:rsid w:val="00C328E0"/>
    <w:rsid w:val="00C33296"/>
    <w:rsid w:val="00C33518"/>
    <w:rsid w:val="00C336D9"/>
    <w:rsid w:val="00C33960"/>
    <w:rsid w:val="00C34F06"/>
    <w:rsid w:val="00C35099"/>
    <w:rsid w:val="00C3522D"/>
    <w:rsid w:val="00C356C0"/>
    <w:rsid w:val="00C35A6B"/>
    <w:rsid w:val="00C35AA9"/>
    <w:rsid w:val="00C369F7"/>
    <w:rsid w:val="00C36C50"/>
    <w:rsid w:val="00C40BB2"/>
    <w:rsid w:val="00C41399"/>
    <w:rsid w:val="00C41600"/>
    <w:rsid w:val="00C41664"/>
    <w:rsid w:val="00C41CB6"/>
    <w:rsid w:val="00C4209D"/>
    <w:rsid w:val="00C42AE6"/>
    <w:rsid w:val="00C42D47"/>
    <w:rsid w:val="00C43200"/>
    <w:rsid w:val="00C438CC"/>
    <w:rsid w:val="00C43B54"/>
    <w:rsid w:val="00C44791"/>
    <w:rsid w:val="00C44F11"/>
    <w:rsid w:val="00C4515B"/>
    <w:rsid w:val="00C4608C"/>
    <w:rsid w:val="00C461B6"/>
    <w:rsid w:val="00C466CF"/>
    <w:rsid w:val="00C46A95"/>
    <w:rsid w:val="00C46A99"/>
    <w:rsid w:val="00C47314"/>
    <w:rsid w:val="00C4761F"/>
    <w:rsid w:val="00C502DA"/>
    <w:rsid w:val="00C5060B"/>
    <w:rsid w:val="00C5071E"/>
    <w:rsid w:val="00C517EE"/>
    <w:rsid w:val="00C51875"/>
    <w:rsid w:val="00C5199D"/>
    <w:rsid w:val="00C51C62"/>
    <w:rsid w:val="00C5209B"/>
    <w:rsid w:val="00C520F6"/>
    <w:rsid w:val="00C53652"/>
    <w:rsid w:val="00C536C0"/>
    <w:rsid w:val="00C539EE"/>
    <w:rsid w:val="00C5421A"/>
    <w:rsid w:val="00C54912"/>
    <w:rsid w:val="00C54B68"/>
    <w:rsid w:val="00C54B87"/>
    <w:rsid w:val="00C55116"/>
    <w:rsid w:val="00C556E7"/>
    <w:rsid w:val="00C55D8C"/>
    <w:rsid w:val="00C56EAC"/>
    <w:rsid w:val="00C57619"/>
    <w:rsid w:val="00C5783A"/>
    <w:rsid w:val="00C57FB5"/>
    <w:rsid w:val="00C60A55"/>
    <w:rsid w:val="00C60BDD"/>
    <w:rsid w:val="00C62002"/>
    <w:rsid w:val="00C621B6"/>
    <w:rsid w:val="00C62777"/>
    <w:rsid w:val="00C62A65"/>
    <w:rsid w:val="00C62B41"/>
    <w:rsid w:val="00C62E31"/>
    <w:rsid w:val="00C62F12"/>
    <w:rsid w:val="00C6329B"/>
    <w:rsid w:val="00C63C39"/>
    <w:rsid w:val="00C640D7"/>
    <w:rsid w:val="00C64207"/>
    <w:rsid w:val="00C6472C"/>
    <w:rsid w:val="00C64967"/>
    <w:rsid w:val="00C649E4"/>
    <w:rsid w:val="00C64BE3"/>
    <w:rsid w:val="00C64D7B"/>
    <w:rsid w:val="00C64EC3"/>
    <w:rsid w:val="00C651D1"/>
    <w:rsid w:val="00C65334"/>
    <w:rsid w:val="00C655F2"/>
    <w:rsid w:val="00C65B19"/>
    <w:rsid w:val="00C65DFA"/>
    <w:rsid w:val="00C666E5"/>
    <w:rsid w:val="00C668C2"/>
    <w:rsid w:val="00C66DE5"/>
    <w:rsid w:val="00C673FC"/>
    <w:rsid w:val="00C6743A"/>
    <w:rsid w:val="00C678EE"/>
    <w:rsid w:val="00C704BC"/>
    <w:rsid w:val="00C7069E"/>
    <w:rsid w:val="00C713A9"/>
    <w:rsid w:val="00C71C00"/>
    <w:rsid w:val="00C721FA"/>
    <w:rsid w:val="00C73538"/>
    <w:rsid w:val="00C73564"/>
    <w:rsid w:val="00C73FF2"/>
    <w:rsid w:val="00C743A1"/>
    <w:rsid w:val="00C7498C"/>
    <w:rsid w:val="00C74FF8"/>
    <w:rsid w:val="00C754B6"/>
    <w:rsid w:val="00C75537"/>
    <w:rsid w:val="00C758F8"/>
    <w:rsid w:val="00C76BC7"/>
    <w:rsid w:val="00C80218"/>
    <w:rsid w:val="00C80816"/>
    <w:rsid w:val="00C81028"/>
    <w:rsid w:val="00C81356"/>
    <w:rsid w:val="00C8141D"/>
    <w:rsid w:val="00C816E3"/>
    <w:rsid w:val="00C81A0F"/>
    <w:rsid w:val="00C82416"/>
    <w:rsid w:val="00C82593"/>
    <w:rsid w:val="00C82ACD"/>
    <w:rsid w:val="00C82F7A"/>
    <w:rsid w:val="00C839ED"/>
    <w:rsid w:val="00C84073"/>
    <w:rsid w:val="00C841D5"/>
    <w:rsid w:val="00C842EC"/>
    <w:rsid w:val="00C84A40"/>
    <w:rsid w:val="00C84C9F"/>
    <w:rsid w:val="00C84D33"/>
    <w:rsid w:val="00C851DC"/>
    <w:rsid w:val="00C85735"/>
    <w:rsid w:val="00C85E04"/>
    <w:rsid w:val="00C85ECD"/>
    <w:rsid w:val="00C8623C"/>
    <w:rsid w:val="00C863D1"/>
    <w:rsid w:val="00C86CB7"/>
    <w:rsid w:val="00C872F2"/>
    <w:rsid w:val="00C87437"/>
    <w:rsid w:val="00C8794B"/>
    <w:rsid w:val="00C87B14"/>
    <w:rsid w:val="00C87E83"/>
    <w:rsid w:val="00C9067D"/>
    <w:rsid w:val="00C90DD3"/>
    <w:rsid w:val="00C90EDB"/>
    <w:rsid w:val="00C91D33"/>
    <w:rsid w:val="00C91FC7"/>
    <w:rsid w:val="00C924E6"/>
    <w:rsid w:val="00C92BCB"/>
    <w:rsid w:val="00C92D84"/>
    <w:rsid w:val="00C9300A"/>
    <w:rsid w:val="00C93213"/>
    <w:rsid w:val="00C9356D"/>
    <w:rsid w:val="00C9366F"/>
    <w:rsid w:val="00C93798"/>
    <w:rsid w:val="00C93B4E"/>
    <w:rsid w:val="00C93D1C"/>
    <w:rsid w:val="00C947E7"/>
    <w:rsid w:val="00C95043"/>
    <w:rsid w:val="00C95DF7"/>
    <w:rsid w:val="00C964BD"/>
    <w:rsid w:val="00C96BEB"/>
    <w:rsid w:val="00C97A18"/>
    <w:rsid w:val="00CA079F"/>
    <w:rsid w:val="00CA0A1D"/>
    <w:rsid w:val="00CA0B64"/>
    <w:rsid w:val="00CA213E"/>
    <w:rsid w:val="00CA30F0"/>
    <w:rsid w:val="00CA4071"/>
    <w:rsid w:val="00CA42EB"/>
    <w:rsid w:val="00CA44FD"/>
    <w:rsid w:val="00CA46BE"/>
    <w:rsid w:val="00CA47DE"/>
    <w:rsid w:val="00CA4FFB"/>
    <w:rsid w:val="00CA560B"/>
    <w:rsid w:val="00CA6310"/>
    <w:rsid w:val="00CA64D1"/>
    <w:rsid w:val="00CA69A3"/>
    <w:rsid w:val="00CA6D4D"/>
    <w:rsid w:val="00CA701D"/>
    <w:rsid w:val="00CA73F7"/>
    <w:rsid w:val="00CA7891"/>
    <w:rsid w:val="00CA789C"/>
    <w:rsid w:val="00CA7B8D"/>
    <w:rsid w:val="00CB0592"/>
    <w:rsid w:val="00CB06EE"/>
    <w:rsid w:val="00CB0BEC"/>
    <w:rsid w:val="00CB11C5"/>
    <w:rsid w:val="00CB158B"/>
    <w:rsid w:val="00CB24E5"/>
    <w:rsid w:val="00CB2528"/>
    <w:rsid w:val="00CB2A88"/>
    <w:rsid w:val="00CB2DA5"/>
    <w:rsid w:val="00CB2FA0"/>
    <w:rsid w:val="00CB31D4"/>
    <w:rsid w:val="00CB3283"/>
    <w:rsid w:val="00CB373F"/>
    <w:rsid w:val="00CB3FF1"/>
    <w:rsid w:val="00CB4B7E"/>
    <w:rsid w:val="00CB524C"/>
    <w:rsid w:val="00CB5314"/>
    <w:rsid w:val="00CB543C"/>
    <w:rsid w:val="00CB5700"/>
    <w:rsid w:val="00CB62FA"/>
    <w:rsid w:val="00CB64CE"/>
    <w:rsid w:val="00CB6763"/>
    <w:rsid w:val="00CB68AA"/>
    <w:rsid w:val="00CB6CC5"/>
    <w:rsid w:val="00CB6F33"/>
    <w:rsid w:val="00CB7DD0"/>
    <w:rsid w:val="00CB7F17"/>
    <w:rsid w:val="00CC047E"/>
    <w:rsid w:val="00CC056C"/>
    <w:rsid w:val="00CC100F"/>
    <w:rsid w:val="00CC112D"/>
    <w:rsid w:val="00CC1595"/>
    <w:rsid w:val="00CC1AFF"/>
    <w:rsid w:val="00CC3DB1"/>
    <w:rsid w:val="00CC4167"/>
    <w:rsid w:val="00CC4203"/>
    <w:rsid w:val="00CC432F"/>
    <w:rsid w:val="00CC54F9"/>
    <w:rsid w:val="00CC5AD5"/>
    <w:rsid w:val="00CC71C8"/>
    <w:rsid w:val="00CC7226"/>
    <w:rsid w:val="00CC7963"/>
    <w:rsid w:val="00CD0D5D"/>
    <w:rsid w:val="00CD0E2B"/>
    <w:rsid w:val="00CD117B"/>
    <w:rsid w:val="00CD1401"/>
    <w:rsid w:val="00CD23A4"/>
    <w:rsid w:val="00CD2757"/>
    <w:rsid w:val="00CD2CAD"/>
    <w:rsid w:val="00CD2CC1"/>
    <w:rsid w:val="00CD4142"/>
    <w:rsid w:val="00CD4211"/>
    <w:rsid w:val="00CD4C00"/>
    <w:rsid w:val="00CD4DA6"/>
    <w:rsid w:val="00CD5369"/>
    <w:rsid w:val="00CD558D"/>
    <w:rsid w:val="00CD5982"/>
    <w:rsid w:val="00CD5D2B"/>
    <w:rsid w:val="00CD6FAE"/>
    <w:rsid w:val="00CD705C"/>
    <w:rsid w:val="00CE0CD5"/>
    <w:rsid w:val="00CE1029"/>
    <w:rsid w:val="00CE1514"/>
    <w:rsid w:val="00CE1869"/>
    <w:rsid w:val="00CE19F3"/>
    <w:rsid w:val="00CE20DF"/>
    <w:rsid w:val="00CE24A2"/>
    <w:rsid w:val="00CE2581"/>
    <w:rsid w:val="00CE2ABF"/>
    <w:rsid w:val="00CE334F"/>
    <w:rsid w:val="00CE39B0"/>
    <w:rsid w:val="00CE3B8E"/>
    <w:rsid w:val="00CE3FF9"/>
    <w:rsid w:val="00CE43AA"/>
    <w:rsid w:val="00CE4A65"/>
    <w:rsid w:val="00CE5722"/>
    <w:rsid w:val="00CE5C30"/>
    <w:rsid w:val="00CE61F5"/>
    <w:rsid w:val="00CE6ADF"/>
    <w:rsid w:val="00CE6B10"/>
    <w:rsid w:val="00CE6D23"/>
    <w:rsid w:val="00CE7126"/>
    <w:rsid w:val="00CE73E1"/>
    <w:rsid w:val="00CE77ED"/>
    <w:rsid w:val="00CE7B24"/>
    <w:rsid w:val="00CE7C36"/>
    <w:rsid w:val="00CE7E7C"/>
    <w:rsid w:val="00CF00EF"/>
    <w:rsid w:val="00CF05D9"/>
    <w:rsid w:val="00CF0A50"/>
    <w:rsid w:val="00CF10C0"/>
    <w:rsid w:val="00CF11F7"/>
    <w:rsid w:val="00CF1A2A"/>
    <w:rsid w:val="00CF28D4"/>
    <w:rsid w:val="00CF2D35"/>
    <w:rsid w:val="00CF2DB6"/>
    <w:rsid w:val="00CF31B7"/>
    <w:rsid w:val="00CF3231"/>
    <w:rsid w:val="00CF3B99"/>
    <w:rsid w:val="00CF40BC"/>
    <w:rsid w:val="00CF4198"/>
    <w:rsid w:val="00CF4216"/>
    <w:rsid w:val="00CF526A"/>
    <w:rsid w:val="00CF5BCC"/>
    <w:rsid w:val="00CF607D"/>
    <w:rsid w:val="00CF6BCE"/>
    <w:rsid w:val="00CF6D38"/>
    <w:rsid w:val="00D0008F"/>
    <w:rsid w:val="00D00482"/>
    <w:rsid w:val="00D0167F"/>
    <w:rsid w:val="00D01BBF"/>
    <w:rsid w:val="00D02176"/>
    <w:rsid w:val="00D0287D"/>
    <w:rsid w:val="00D02A98"/>
    <w:rsid w:val="00D033D4"/>
    <w:rsid w:val="00D033D5"/>
    <w:rsid w:val="00D04DFE"/>
    <w:rsid w:val="00D05E25"/>
    <w:rsid w:val="00D0627E"/>
    <w:rsid w:val="00D06340"/>
    <w:rsid w:val="00D076E1"/>
    <w:rsid w:val="00D07D46"/>
    <w:rsid w:val="00D101B3"/>
    <w:rsid w:val="00D10258"/>
    <w:rsid w:val="00D10CB2"/>
    <w:rsid w:val="00D111D6"/>
    <w:rsid w:val="00D11556"/>
    <w:rsid w:val="00D116AF"/>
    <w:rsid w:val="00D128B7"/>
    <w:rsid w:val="00D129C2"/>
    <w:rsid w:val="00D12EB0"/>
    <w:rsid w:val="00D13093"/>
    <w:rsid w:val="00D14386"/>
    <w:rsid w:val="00D149A9"/>
    <w:rsid w:val="00D14A73"/>
    <w:rsid w:val="00D14CBA"/>
    <w:rsid w:val="00D14CD5"/>
    <w:rsid w:val="00D15081"/>
    <w:rsid w:val="00D15671"/>
    <w:rsid w:val="00D15B5E"/>
    <w:rsid w:val="00D16AA0"/>
    <w:rsid w:val="00D17B3F"/>
    <w:rsid w:val="00D20CF1"/>
    <w:rsid w:val="00D21135"/>
    <w:rsid w:val="00D21ED4"/>
    <w:rsid w:val="00D226AA"/>
    <w:rsid w:val="00D22C16"/>
    <w:rsid w:val="00D23478"/>
    <w:rsid w:val="00D24641"/>
    <w:rsid w:val="00D249E6"/>
    <w:rsid w:val="00D24E60"/>
    <w:rsid w:val="00D250E9"/>
    <w:rsid w:val="00D2520F"/>
    <w:rsid w:val="00D25C90"/>
    <w:rsid w:val="00D25FF1"/>
    <w:rsid w:val="00D2648A"/>
    <w:rsid w:val="00D2689F"/>
    <w:rsid w:val="00D26A12"/>
    <w:rsid w:val="00D27353"/>
    <w:rsid w:val="00D275B4"/>
    <w:rsid w:val="00D27826"/>
    <w:rsid w:val="00D278CF"/>
    <w:rsid w:val="00D27C08"/>
    <w:rsid w:val="00D27D33"/>
    <w:rsid w:val="00D3000F"/>
    <w:rsid w:val="00D3059B"/>
    <w:rsid w:val="00D30ADE"/>
    <w:rsid w:val="00D310CB"/>
    <w:rsid w:val="00D311F5"/>
    <w:rsid w:val="00D31598"/>
    <w:rsid w:val="00D31929"/>
    <w:rsid w:val="00D31ED1"/>
    <w:rsid w:val="00D327FA"/>
    <w:rsid w:val="00D3295D"/>
    <w:rsid w:val="00D32A26"/>
    <w:rsid w:val="00D32E6F"/>
    <w:rsid w:val="00D32FFD"/>
    <w:rsid w:val="00D3315A"/>
    <w:rsid w:val="00D332BB"/>
    <w:rsid w:val="00D33714"/>
    <w:rsid w:val="00D340C9"/>
    <w:rsid w:val="00D34883"/>
    <w:rsid w:val="00D35C2E"/>
    <w:rsid w:val="00D36E0C"/>
    <w:rsid w:val="00D36EE2"/>
    <w:rsid w:val="00D372CB"/>
    <w:rsid w:val="00D379B9"/>
    <w:rsid w:val="00D37F55"/>
    <w:rsid w:val="00D41CA9"/>
    <w:rsid w:val="00D424E7"/>
    <w:rsid w:val="00D42537"/>
    <w:rsid w:val="00D42780"/>
    <w:rsid w:val="00D429EE"/>
    <w:rsid w:val="00D42E06"/>
    <w:rsid w:val="00D42F81"/>
    <w:rsid w:val="00D43536"/>
    <w:rsid w:val="00D435B5"/>
    <w:rsid w:val="00D44269"/>
    <w:rsid w:val="00D449DB"/>
    <w:rsid w:val="00D44ECA"/>
    <w:rsid w:val="00D460F0"/>
    <w:rsid w:val="00D46118"/>
    <w:rsid w:val="00D4653F"/>
    <w:rsid w:val="00D46A12"/>
    <w:rsid w:val="00D46C15"/>
    <w:rsid w:val="00D46DE8"/>
    <w:rsid w:val="00D46FFF"/>
    <w:rsid w:val="00D47200"/>
    <w:rsid w:val="00D47983"/>
    <w:rsid w:val="00D47F80"/>
    <w:rsid w:val="00D50051"/>
    <w:rsid w:val="00D5114D"/>
    <w:rsid w:val="00D514CF"/>
    <w:rsid w:val="00D521B4"/>
    <w:rsid w:val="00D52E73"/>
    <w:rsid w:val="00D5311F"/>
    <w:rsid w:val="00D53699"/>
    <w:rsid w:val="00D537F2"/>
    <w:rsid w:val="00D5399E"/>
    <w:rsid w:val="00D5474F"/>
    <w:rsid w:val="00D548D3"/>
    <w:rsid w:val="00D55092"/>
    <w:rsid w:val="00D552ED"/>
    <w:rsid w:val="00D5583D"/>
    <w:rsid w:val="00D56170"/>
    <w:rsid w:val="00D5648B"/>
    <w:rsid w:val="00D56CEF"/>
    <w:rsid w:val="00D56F77"/>
    <w:rsid w:val="00D57337"/>
    <w:rsid w:val="00D57537"/>
    <w:rsid w:val="00D576C2"/>
    <w:rsid w:val="00D578AE"/>
    <w:rsid w:val="00D57A44"/>
    <w:rsid w:val="00D57E24"/>
    <w:rsid w:val="00D60042"/>
    <w:rsid w:val="00D60E1B"/>
    <w:rsid w:val="00D60F24"/>
    <w:rsid w:val="00D61180"/>
    <w:rsid w:val="00D62160"/>
    <w:rsid w:val="00D62AD1"/>
    <w:rsid w:val="00D63B8A"/>
    <w:rsid w:val="00D63CCD"/>
    <w:rsid w:val="00D6414A"/>
    <w:rsid w:val="00D64646"/>
    <w:rsid w:val="00D64705"/>
    <w:rsid w:val="00D6472C"/>
    <w:rsid w:val="00D64830"/>
    <w:rsid w:val="00D64965"/>
    <w:rsid w:val="00D658FA"/>
    <w:rsid w:val="00D65CFF"/>
    <w:rsid w:val="00D6610C"/>
    <w:rsid w:val="00D662FD"/>
    <w:rsid w:val="00D66C97"/>
    <w:rsid w:val="00D6709D"/>
    <w:rsid w:val="00D670B3"/>
    <w:rsid w:val="00D674A8"/>
    <w:rsid w:val="00D7045E"/>
    <w:rsid w:val="00D708D2"/>
    <w:rsid w:val="00D7101D"/>
    <w:rsid w:val="00D7114C"/>
    <w:rsid w:val="00D71C85"/>
    <w:rsid w:val="00D71DBC"/>
    <w:rsid w:val="00D724D7"/>
    <w:rsid w:val="00D72E78"/>
    <w:rsid w:val="00D73452"/>
    <w:rsid w:val="00D73B61"/>
    <w:rsid w:val="00D73C73"/>
    <w:rsid w:val="00D73D53"/>
    <w:rsid w:val="00D74057"/>
    <w:rsid w:val="00D74C1B"/>
    <w:rsid w:val="00D74E2C"/>
    <w:rsid w:val="00D74E47"/>
    <w:rsid w:val="00D753EA"/>
    <w:rsid w:val="00D758D1"/>
    <w:rsid w:val="00D761E5"/>
    <w:rsid w:val="00D768E8"/>
    <w:rsid w:val="00D76C32"/>
    <w:rsid w:val="00D76E6E"/>
    <w:rsid w:val="00D773C3"/>
    <w:rsid w:val="00D77983"/>
    <w:rsid w:val="00D77F9F"/>
    <w:rsid w:val="00D8019A"/>
    <w:rsid w:val="00D80362"/>
    <w:rsid w:val="00D803B6"/>
    <w:rsid w:val="00D804B6"/>
    <w:rsid w:val="00D8070D"/>
    <w:rsid w:val="00D81101"/>
    <w:rsid w:val="00D82F8F"/>
    <w:rsid w:val="00D83074"/>
    <w:rsid w:val="00D832C9"/>
    <w:rsid w:val="00D858FE"/>
    <w:rsid w:val="00D863C4"/>
    <w:rsid w:val="00D86AF7"/>
    <w:rsid w:val="00D86CB7"/>
    <w:rsid w:val="00D86E45"/>
    <w:rsid w:val="00D87431"/>
    <w:rsid w:val="00D877A2"/>
    <w:rsid w:val="00D90068"/>
    <w:rsid w:val="00D9047B"/>
    <w:rsid w:val="00D90773"/>
    <w:rsid w:val="00D908EF"/>
    <w:rsid w:val="00D90A5B"/>
    <w:rsid w:val="00D90E6A"/>
    <w:rsid w:val="00D91B7D"/>
    <w:rsid w:val="00D92015"/>
    <w:rsid w:val="00D9223E"/>
    <w:rsid w:val="00D92530"/>
    <w:rsid w:val="00D92B38"/>
    <w:rsid w:val="00D933A8"/>
    <w:rsid w:val="00D93581"/>
    <w:rsid w:val="00D93863"/>
    <w:rsid w:val="00D93C4E"/>
    <w:rsid w:val="00D94557"/>
    <w:rsid w:val="00D945A2"/>
    <w:rsid w:val="00D94BCA"/>
    <w:rsid w:val="00D95979"/>
    <w:rsid w:val="00D95BCA"/>
    <w:rsid w:val="00D960DC"/>
    <w:rsid w:val="00D96A09"/>
    <w:rsid w:val="00D96D39"/>
    <w:rsid w:val="00D97456"/>
    <w:rsid w:val="00DA000F"/>
    <w:rsid w:val="00DA0175"/>
    <w:rsid w:val="00DA0B70"/>
    <w:rsid w:val="00DA17DE"/>
    <w:rsid w:val="00DA1ABE"/>
    <w:rsid w:val="00DA1D5C"/>
    <w:rsid w:val="00DA2008"/>
    <w:rsid w:val="00DA22A9"/>
    <w:rsid w:val="00DA2601"/>
    <w:rsid w:val="00DA2B43"/>
    <w:rsid w:val="00DA3106"/>
    <w:rsid w:val="00DA3A51"/>
    <w:rsid w:val="00DA3A85"/>
    <w:rsid w:val="00DA3B1C"/>
    <w:rsid w:val="00DA3CD4"/>
    <w:rsid w:val="00DA40A8"/>
    <w:rsid w:val="00DA42F2"/>
    <w:rsid w:val="00DA4301"/>
    <w:rsid w:val="00DA46B9"/>
    <w:rsid w:val="00DA59E8"/>
    <w:rsid w:val="00DA5C67"/>
    <w:rsid w:val="00DA6000"/>
    <w:rsid w:val="00DA601C"/>
    <w:rsid w:val="00DA622B"/>
    <w:rsid w:val="00DA65BF"/>
    <w:rsid w:val="00DA663C"/>
    <w:rsid w:val="00DA666D"/>
    <w:rsid w:val="00DA78A2"/>
    <w:rsid w:val="00DA7EA1"/>
    <w:rsid w:val="00DB090B"/>
    <w:rsid w:val="00DB0A1C"/>
    <w:rsid w:val="00DB0C66"/>
    <w:rsid w:val="00DB0D7F"/>
    <w:rsid w:val="00DB0EF3"/>
    <w:rsid w:val="00DB0F9C"/>
    <w:rsid w:val="00DB155E"/>
    <w:rsid w:val="00DB2330"/>
    <w:rsid w:val="00DB2DDF"/>
    <w:rsid w:val="00DB30D0"/>
    <w:rsid w:val="00DB3DD4"/>
    <w:rsid w:val="00DB410D"/>
    <w:rsid w:val="00DB4DCA"/>
    <w:rsid w:val="00DB4FD0"/>
    <w:rsid w:val="00DB5375"/>
    <w:rsid w:val="00DB5467"/>
    <w:rsid w:val="00DB560B"/>
    <w:rsid w:val="00DB6E21"/>
    <w:rsid w:val="00DB7163"/>
    <w:rsid w:val="00DB71E9"/>
    <w:rsid w:val="00DB7325"/>
    <w:rsid w:val="00DB7F51"/>
    <w:rsid w:val="00DC0383"/>
    <w:rsid w:val="00DC1ACE"/>
    <w:rsid w:val="00DC1ADF"/>
    <w:rsid w:val="00DC2887"/>
    <w:rsid w:val="00DC2E5E"/>
    <w:rsid w:val="00DC40D0"/>
    <w:rsid w:val="00DC4559"/>
    <w:rsid w:val="00DC4673"/>
    <w:rsid w:val="00DC58EA"/>
    <w:rsid w:val="00DC5BA7"/>
    <w:rsid w:val="00DC5EE9"/>
    <w:rsid w:val="00DC674B"/>
    <w:rsid w:val="00DC6A5E"/>
    <w:rsid w:val="00DC6BC8"/>
    <w:rsid w:val="00DC7553"/>
    <w:rsid w:val="00DD02C7"/>
    <w:rsid w:val="00DD037D"/>
    <w:rsid w:val="00DD0CAF"/>
    <w:rsid w:val="00DD0F95"/>
    <w:rsid w:val="00DD1D92"/>
    <w:rsid w:val="00DD1EF7"/>
    <w:rsid w:val="00DD249A"/>
    <w:rsid w:val="00DD30BC"/>
    <w:rsid w:val="00DD3421"/>
    <w:rsid w:val="00DD3442"/>
    <w:rsid w:val="00DD3B6E"/>
    <w:rsid w:val="00DD3EAB"/>
    <w:rsid w:val="00DD4201"/>
    <w:rsid w:val="00DD444F"/>
    <w:rsid w:val="00DD4C2A"/>
    <w:rsid w:val="00DD56AC"/>
    <w:rsid w:val="00DD6038"/>
    <w:rsid w:val="00DD654A"/>
    <w:rsid w:val="00DD6FA6"/>
    <w:rsid w:val="00DD7C20"/>
    <w:rsid w:val="00DE01D0"/>
    <w:rsid w:val="00DE102B"/>
    <w:rsid w:val="00DE17AF"/>
    <w:rsid w:val="00DE1C01"/>
    <w:rsid w:val="00DE23CA"/>
    <w:rsid w:val="00DE354F"/>
    <w:rsid w:val="00DE358F"/>
    <w:rsid w:val="00DE3605"/>
    <w:rsid w:val="00DE383F"/>
    <w:rsid w:val="00DE386B"/>
    <w:rsid w:val="00DE3893"/>
    <w:rsid w:val="00DE43BD"/>
    <w:rsid w:val="00DE4584"/>
    <w:rsid w:val="00DE4A18"/>
    <w:rsid w:val="00DE4CA3"/>
    <w:rsid w:val="00DE4D04"/>
    <w:rsid w:val="00DE4D77"/>
    <w:rsid w:val="00DE4FA8"/>
    <w:rsid w:val="00DE5033"/>
    <w:rsid w:val="00DE56CF"/>
    <w:rsid w:val="00DE5AB0"/>
    <w:rsid w:val="00DE5E4B"/>
    <w:rsid w:val="00DE61C1"/>
    <w:rsid w:val="00DE62A8"/>
    <w:rsid w:val="00DE6D8F"/>
    <w:rsid w:val="00DE7F4B"/>
    <w:rsid w:val="00DF1094"/>
    <w:rsid w:val="00DF14AC"/>
    <w:rsid w:val="00DF14C9"/>
    <w:rsid w:val="00DF15C4"/>
    <w:rsid w:val="00DF26B8"/>
    <w:rsid w:val="00DF278D"/>
    <w:rsid w:val="00DF2D13"/>
    <w:rsid w:val="00DF2DD3"/>
    <w:rsid w:val="00DF3694"/>
    <w:rsid w:val="00DF3EEA"/>
    <w:rsid w:val="00DF43A2"/>
    <w:rsid w:val="00DF566B"/>
    <w:rsid w:val="00DF57CD"/>
    <w:rsid w:val="00DF5D09"/>
    <w:rsid w:val="00DF658D"/>
    <w:rsid w:val="00DF692D"/>
    <w:rsid w:val="00DF6DA6"/>
    <w:rsid w:val="00E00535"/>
    <w:rsid w:val="00E01450"/>
    <w:rsid w:val="00E01825"/>
    <w:rsid w:val="00E02ECD"/>
    <w:rsid w:val="00E0351F"/>
    <w:rsid w:val="00E03884"/>
    <w:rsid w:val="00E03A1D"/>
    <w:rsid w:val="00E04F0D"/>
    <w:rsid w:val="00E04F71"/>
    <w:rsid w:val="00E057C6"/>
    <w:rsid w:val="00E05BEB"/>
    <w:rsid w:val="00E0620D"/>
    <w:rsid w:val="00E064BF"/>
    <w:rsid w:val="00E06561"/>
    <w:rsid w:val="00E105B8"/>
    <w:rsid w:val="00E10736"/>
    <w:rsid w:val="00E11074"/>
    <w:rsid w:val="00E11131"/>
    <w:rsid w:val="00E11152"/>
    <w:rsid w:val="00E11748"/>
    <w:rsid w:val="00E119F4"/>
    <w:rsid w:val="00E11BD7"/>
    <w:rsid w:val="00E1255F"/>
    <w:rsid w:val="00E13282"/>
    <w:rsid w:val="00E13B59"/>
    <w:rsid w:val="00E13FDE"/>
    <w:rsid w:val="00E1462B"/>
    <w:rsid w:val="00E147BC"/>
    <w:rsid w:val="00E14EA4"/>
    <w:rsid w:val="00E150AB"/>
    <w:rsid w:val="00E15F6E"/>
    <w:rsid w:val="00E16975"/>
    <w:rsid w:val="00E16A03"/>
    <w:rsid w:val="00E17332"/>
    <w:rsid w:val="00E175A4"/>
    <w:rsid w:val="00E177DF"/>
    <w:rsid w:val="00E203ED"/>
    <w:rsid w:val="00E208F7"/>
    <w:rsid w:val="00E215C5"/>
    <w:rsid w:val="00E2165A"/>
    <w:rsid w:val="00E225BD"/>
    <w:rsid w:val="00E22972"/>
    <w:rsid w:val="00E22CE6"/>
    <w:rsid w:val="00E23A32"/>
    <w:rsid w:val="00E2456F"/>
    <w:rsid w:val="00E24720"/>
    <w:rsid w:val="00E260D3"/>
    <w:rsid w:val="00E26967"/>
    <w:rsid w:val="00E2747A"/>
    <w:rsid w:val="00E274F9"/>
    <w:rsid w:val="00E27B4B"/>
    <w:rsid w:val="00E27C43"/>
    <w:rsid w:val="00E27E86"/>
    <w:rsid w:val="00E3004D"/>
    <w:rsid w:val="00E307F1"/>
    <w:rsid w:val="00E309AF"/>
    <w:rsid w:val="00E30B38"/>
    <w:rsid w:val="00E33308"/>
    <w:rsid w:val="00E3385A"/>
    <w:rsid w:val="00E33ABE"/>
    <w:rsid w:val="00E340AD"/>
    <w:rsid w:val="00E349BD"/>
    <w:rsid w:val="00E35BCC"/>
    <w:rsid w:val="00E35D3F"/>
    <w:rsid w:val="00E35D7D"/>
    <w:rsid w:val="00E36D55"/>
    <w:rsid w:val="00E37D48"/>
    <w:rsid w:val="00E37E92"/>
    <w:rsid w:val="00E40172"/>
    <w:rsid w:val="00E40867"/>
    <w:rsid w:val="00E415DB"/>
    <w:rsid w:val="00E416FA"/>
    <w:rsid w:val="00E41BCA"/>
    <w:rsid w:val="00E41BF2"/>
    <w:rsid w:val="00E42757"/>
    <w:rsid w:val="00E42ABB"/>
    <w:rsid w:val="00E43331"/>
    <w:rsid w:val="00E43BF9"/>
    <w:rsid w:val="00E44171"/>
    <w:rsid w:val="00E4463C"/>
    <w:rsid w:val="00E45A20"/>
    <w:rsid w:val="00E45B40"/>
    <w:rsid w:val="00E45D2D"/>
    <w:rsid w:val="00E46169"/>
    <w:rsid w:val="00E463CD"/>
    <w:rsid w:val="00E46437"/>
    <w:rsid w:val="00E46517"/>
    <w:rsid w:val="00E46630"/>
    <w:rsid w:val="00E46706"/>
    <w:rsid w:val="00E47158"/>
    <w:rsid w:val="00E47843"/>
    <w:rsid w:val="00E479FE"/>
    <w:rsid w:val="00E5032B"/>
    <w:rsid w:val="00E509DD"/>
    <w:rsid w:val="00E51AD1"/>
    <w:rsid w:val="00E51DB8"/>
    <w:rsid w:val="00E52300"/>
    <w:rsid w:val="00E525FB"/>
    <w:rsid w:val="00E55159"/>
    <w:rsid w:val="00E565D4"/>
    <w:rsid w:val="00E56D0F"/>
    <w:rsid w:val="00E57160"/>
    <w:rsid w:val="00E5738D"/>
    <w:rsid w:val="00E57CC3"/>
    <w:rsid w:val="00E60DC5"/>
    <w:rsid w:val="00E617B7"/>
    <w:rsid w:val="00E6186B"/>
    <w:rsid w:val="00E6246D"/>
    <w:rsid w:val="00E627B6"/>
    <w:rsid w:val="00E630BE"/>
    <w:rsid w:val="00E63C48"/>
    <w:rsid w:val="00E63F3F"/>
    <w:rsid w:val="00E63FCF"/>
    <w:rsid w:val="00E64FDD"/>
    <w:rsid w:val="00E65585"/>
    <w:rsid w:val="00E6569E"/>
    <w:rsid w:val="00E65E78"/>
    <w:rsid w:val="00E66656"/>
    <w:rsid w:val="00E6690B"/>
    <w:rsid w:val="00E678E0"/>
    <w:rsid w:val="00E7012E"/>
    <w:rsid w:val="00E70495"/>
    <w:rsid w:val="00E707E4"/>
    <w:rsid w:val="00E70833"/>
    <w:rsid w:val="00E70B54"/>
    <w:rsid w:val="00E720E3"/>
    <w:rsid w:val="00E725A3"/>
    <w:rsid w:val="00E72961"/>
    <w:rsid w:val="00E73048"/>
    <w:rsid w:val="00E736E4"/>
    <w:rsid w:val="00E73DA6"/>
    <w:rsid w:val="00E7449B"/>
    <w:rsid w:val="00E74DBE"/>
    <w:rsid w:val="00E752D7"/>
    <w:rsid w:val="00E7550B"/>
    <w:rsid w:val="00E7621B"/>
    <w:rsid w:val="00E766FB"/>
    <w:rsid w:val="00E76D4C"/>
    <w:rsid w:val="00E7740C"/>
    <w:rsid w:val="00E77938"/>
    <w:rsid w:val="00E7794C"/>
    <w:rsid w:val="00E77C32"/>
    <w:rsid w:val="00E806C7"/>
    <w:rsid w:val="00E80F0A"/>
    <w:rsid w:val="00E816CB"/>
    <w:rsid w:val="00E81840"/>
    <w:rsid w:val="00E81A4E"/>
    <w:rsid w:val="00E81BC6"/>
    <w:rsid w:val="00E81C45"/>
    <w:rsid w:val="00E81E79"/>
    <w:rsid w:val="00E81FC2"/>
    <w:rsid w:val="00E83850"/>
    <w:rsid w:val="00E83BEE"/>
    <w:rsid w:val="00E83E31"/>
    <w:rsid w:val="00E83EBD"/>
    <w:rsid w:val="00E83FEF"/>
    <w:rsid w:val="00E84268"/>
    <w:rsid w:val="00E844F0"/>
    <w:rsid w:val="00E84654"/>
    <w:rsid w:val="00E84854"/>
    <w:rsid w:val="00E84B56"/>
    <w:rsid w:val="00E84E83"/>
    <w:rsid w:val="00E8526C"/>
    <w:rsid w:val="00E8551F"/>
    <w:rsid w:val="00E85631"/>
    <w:rsid w:val="00E85704"/>
    <w:rsid w:val="00E85C0A"/>
    <w:rsid w:val="00E85E6E"/>
    <w:rsid w:val="00E85E99"/>
    <w:rsid w:val="00E85F9F"/>
    <w:rsid w:val="00E86049"/>
    <w:rsid w:val="00E86C34"/>
    <w:rsid w:val="00E87078"/>
    <w:rsid w:val="00E8739C"/>
    <w:rsid w:val="00E874CB"/>
    <w:rsid w:val="00E9016F"/>
    <w:rsid w:val="00E906CB"/>
    <w:rsid w:val="00E90708"/>
    <w:rsid w:val="00E90C74"/>
    <w:rsid w:val="00E90EB0"/>
    <w:rsid w:val="00E9180D"/>
    <w:rsid w:val="00E91856"/>
    <w:rsid w:val="00E91A2F"/>
    <w:rsid w:val="00E91D22"/>
    <w:rsid w:val="00E92316"/>
    <w:rsid w:val="00E923A1"/>
    <w:rsid w:val="00E92AFF"/>
    <w:rsid w:val="00E932AA"/>
    <w:rsid w:val="00E93664"/>
    <w:rsid w:val="00E93734"/>
    <w:rsid w:val="00E93AAF"/>
    <w:rsid w:val="00E94118"/>
    <w:rsid w:val="00E95011"/>
    <w:rsid w:val="00E953E7"/>
    <w:rsid w:val="00E95849"/>
    <w:rsid w:val="00E959E0"/>
    <w:rsid w:val="00E95BB4"/>
    <w:rsid w:val="00E961C2"/>
    <w:rsid w:val="00E9715B"/>
    <w:rsid w:val="00E974DB"/>
    <w:rsid w:val="00E97C76"/>
    <w:rsid w:val="00E97DCE"/>
    <w:rsid w:val="00E97FA4"/>
    <w:rsid w:val="00EA049F"/>
    <w:rsid w:val="00EA068F"/>
    <w:rsid w:val="00EA0E9C"/>
    <w:rsid w:val="00EA10DB"/>
    <w:rsid w:val="00EA1DF2"/>
    <w:rsid w:val="00EA2746"/>
    <w:rsid w:val="00EA28CB"/>
    <w:rsid w:val="00EA35DE"/>
    <w:rsid w:val="00EA419A"/>
    <w:rsid w:val="00EA439A"/>
    <w:rsid w:val="00EA4465"/>
    <w:rsid w:val="00EA455D"/>
    <w:rsid w:val="00EA4DE0"/>
    <w:rsid w:val="00EA4E94"/>
    <w:rsid w:val="00EA501D"/>
    <w:rsid w:val="00EA6132"/>
    <w:rsid w:val="00EA6C93"/>
    <w:rsid w:val="00EA7404"/>
    <w:rsid w:val="00EA7D68"/>
    <w:rsid w:val="00EB0120"/>
    <w:rsid w:val="00EB093B"/>
    <w:rsid w:val="00EB124D"/>
    <w:rsid w:val="00EB130A"/>
    <w:rsid w:val="00EB1800"/>
    <w:rsid w:val="00EB20BC"/>
    <w:rsid w:val="00EB29D6"/>
    <w:rsid w:val="00EB2AFB"/>
    <w:rsid w:val="00EB3041"/>
    <w:rsid w:val="00EB3DBD"/>
    <w:rsid w:val="00EB3F4E"/>
    <w:rsid w:val="00EB4862"/>
    <w:rsid w:val="00EB4A9F"/>
    <w:rsid w:val="00EB4FC0"/>
    <w:rsid w:val="00EB545B"/>
    <w:rsid w:val="00EB588A"/>
    <w:rsid w:val="00EB59A6"/>
    <w:rsid w:val="00EB5BF2"/>
    <w:rsid w:val="00EB5EA7"/>
    <w:rsid w:val="00EB637A"/>
    <w:rsid w:val="00EB6F8F"/>
    <w:rsid w:val="00EC0D1E"/>
    <w:rsid w:val="00EC11EA"/>
    <w:rsid w:val="00EC2A5A"/>
    <w:rsid w:val="00EC3724"/>
    <w:rsid w:val="00EC3B69"/>
    <w:rsid w:val="00EC3C39"/>
    <w:rsid w:val="00EC3D1D"/>
    <w:rsid w:val="00EC4077"/>
    <w:rsid w:val="00EC46AA"/>
    <w:rsid w:val="00EC46C3"/>
    <w:rsid w:val="00EC4CDE"/>
    <w:rsid w:val="00EC4E47"/>
    <w:rsid w:val="00EC4F12"/>
    <w:rsid w:val="00EC51DA"/>
    <w:rsid w:val="00EC51EC"/>
    <w:rsid w:val="00EC520B"/>
    <w:rsid w:val="00EC54CC"/>
    <w:rsid w:val="00EC5657"/>
    <w:rsid w:val="00EC5777"/>
    <w:rsid w:val="00EC5872"/>
    <w:rsid w:val="00EC58E9"/>
    <w:rsid w:val="00EC5C0A"/>
    <w:rsid w:val="00EC627D"/>
    <w:rsid w:val="00EC65AD"/>
    <w:rsid w:val="00EC726B"/>
    <w:rsid w:val="00EC75A5"/>
    <w:rsid w:val="00ED0CB0"/>
    <w:rsid w:val="00ED0FEF"/>
    <w:rsid w:val="00ED1461"/>
    <w:rsid w:val="00ED1C2D"/>
    <w:rsid w:val="00ED2081"/>
    <w:rsid w:val="00ED2E15"/>
    <w:rsid w:val="00ED2E70"/>
    <w:rsid w:val="00ED3ED2"/>
    <w:rsid w:val="00ED42AB"/>
    <w:rsid w:val="00ED44F1"/>
    <w:rsid w:val="00ED5234"/>
    <w:rsid w:val="00ED552C"/>
    <w:rsid w:val="00ED5565"/>
    <w:rsid w:val="00ED674A"/>
    <w:rsid w:val="00ED6841"/>
    <w:rsid w:val="00ED6F2A"/>
    <w:rsid w:val="00ED7FBF"/>
    <w:rsid w:val="00EE022F"/>
    <w:rsid w:val="00EE0582"/>
    <w:rsid w:val="00EE1214"/>
    <w:rsid w:val="00EE1884"/>
    <w:rsid w:val="00EE1C6A"/>
    <w:rsid w:val="00EE1CB6"/>
    <w:rsid w:val="00EE213B"/>
    <w:rsid w:val="00EE2341"/>
    <w:rsid w:val="00EE247B"/>
    <w:rsid w:val="00EE38B7"/>
    <w:rsid w:val="00EE3E4E"/>
    <w:rsid w:val="00EE41E5"/>
    <w:rsid w:val="00EE43DE"/>
    <w:rsid w:val="00EE4BBF"/>
    <w:rsid w:val="00EE4BF5"/>
    <w:rsid w:val="00EE52EC"/>
    <w:rsid w:val="00EE5790"/>
    <w:rsid w:val="00EE6515"/>
    <w:rsid w:val="00EE66CF"/>
    <w:rsid w:val="00EE6BF2"/>
    <w:rsid w:val="00EE7245"/>
    <w:rsid w:val="00EE73F2"/>
    <w:rsid w:val="00EE767E"/>
    <w:rsid w:val="00EE7D5D"/>
    <w:rsid w:val="00EE7E34"/>
    <w:rsid w:val="00EF0585"/>
    <w:rsid w:val="00EF0A63"/>
    <w:rsid w:val="00EF2924"/>
    <w:rsid w:val="00EF300A"/>
    <w:rsid w:val="00EF357E"/>
    <w:rsid w:val="00EF37BF"/>
    <w:rsid w:val="00EF3E65"/>
    <w:rsid w:val="00EF59B0"/>
    <w:rsid w:val="00EF5E30"/>
    <w:rsid w:val="00EF62DB"/>
    <w:rsid w:val="00EF64B9"/>
    <w:rsid w:val="00EF65E8"/>
    <w:rsid w:val="00EF704D"/>
    <w:rsid w:val="00EF725F"/>
    <w:rsid w:val="00EF7F3C"/>
    <w:rsid w:val="00EF7F89"/>
    <w:rsid w:val="00EF7FD5"/>
    <w:rsid w:val="00EF7FF1"/>
    <w:rsid w:val="00EFE9D8"/>
    <w:rsid w:val="00F002E4"/>
    <w:rsid w:val="00F0040F"/>
    <w:rsid w:val="00F00BA3"/>
    <w:rsid w:val="00F010A9"/>
    <w:rsid w:val="00F0146D"/>
    <w:rsid w:val="00F02FF7"/>
    <w:rsid w:val="00F030C1"/>
    <w:rsid w:val="00F03DED"/>
    <w:rsid w:val="00F045AC"/>
    <w:rsid w:val="00F04923"/>
    <w:rsid w:val="00F04A17"/>
    <w:rsid w:val="00F04C8E"/>
    <w:rsid w:val="00F04E28"/>
    <w:rsid w:val="00F04FB3"/>
    <w:rsid w:val="00F06562"/>
    <w:rsid w:val="00F06E67"/>
    <w:rsid w:val="00F07640"/>
    <w:rsid w:val="00F077AD"/>
    <w:rsid w:val="00F07B93"/>
    <w:rsid w:val="00F10671"/>
    <w:rsid w:val="00F10DD7"/>
    <w:rsid w:val="00F10F6B"/>
    <w:rsid w:val="00F12D4F"/>
    <w:rsid w:val="00F12D82"/>
    <w:rsid w:val="00F12E87"/>
    <w:rsid w:val="00F13B09"/>
    <w:rsid w:val="00F13C4A"/>
    <w:rsid w:val="00F141BF"/>
    <w:rsid w:val="00F1428D"/>
    <w:rsid w:val="00F14735"/>
    <w:rsid w:val="00F14933"/>
    <w:rsid w:val="00F151B4"/>
    <w:rsid w:val="00F158A6"/>
    <w:rsid w:val="00F1595F"/>
    <w:rsid w:val="00F15C5D"/>
    <w:rsid w:val="00F15D18"/>
    <w:rsid w:val="00F15FC7"/>
    <w:rsid w:val="00F16393"/>
    <w:rsid w:val="00F1656C"/>
    <w:rsid w:val="00F16881"/>
    <w:rsid w:val="00F2001F"/>
    <w:rsid w:val="00F206DA"/>
    <w:rsid w:val="00F209ED"/>
    <w:rsid w:val="00F20E0B"/>
    <w:rsid w:val="00F20E13"/>
    <w:rsid w:val="00F2115E"/>
    <w:rsid w:val="00F21BCD"/>
    <w:rsid w:val="00F22741"/>
    <w:rsid w:val="00F22798"/>
    <w:rsid w:val="00F2297C"/>
    <w:rsid w:val="00F2405A"/>
    <w:rsid w:val="00F240F5"/>
    <w:rsid w:val="00F25EAD"/>
    <w:rsid w:val="00F25FE0"/>
    <w:rsid w:val="00F260E5"/>
    <w:rsid w:val="00F26178"/>
    <w:rsid w:val="00F26738"/>
    <w:rsid w:val="00F268FF"/>
    <w:rsid w:val="00F27282"/>
    <w:rsid w:val="00F27C5E"/>
    <w:rsid w:val="00F302BC"/>
    <w:rsid w:val="00F30400"/>
    <w:rsid w:val="00F30FE6"/>
    <w:rsid w:val="00F3156B"/>
    <w:rsid w:val="00F318E9"/>
    <w:rsid w:val="00F3271F"/>
    <w:rsid w:val="00F327E9"/>
    <w:rsid w:val="00F33B25"/>
    <w:rsid w:val="00F33D7C"/>
    <w:rsid w:val="00F33EC0"/>
    <w:rsid w:val="00F3572E"/>
    <w:rsid w:val="00F35907"/>
    <w:rsid w:val="00F359A2"/>
    <w:rsid w:val="00F36589"/>
    <w:rsid w:val="00F36D8D"/>
    <w:rsid w:val="00F36FCF"/>
    <w:rsid w:val="00F3757E"/>
    <w:rsid w:val="00F37CC5"/>
    <w:rsid w:val="00F40607"/>
    <w:rsid w:val="00F40B2A"/>
    <w:rsid w:val="00F41043"/>
    <w:rsid w:val="00F41351"/>
    <w:rsid w:val="00F41483"/>
    <w:rsid w:val="00F416E5"/>
    <w:rsid w:val="00F41B54"/>
    <w:rsid w:val="00F42A04"/>
    <w:rsid w:val="00F42A47"/>
    <w:rsid w:val="00F432A9"/>
    <w:rsid w:val="00F44531"/>
    <w:rsid w:val="00F44718"/>
    <w:rsid w:val="00F44D43"/>
    <w:rsid w:val="00F44E46"/>
    <w:rsid w:val="00F45442"/>
    <w:rsid w:val="00F469E0"/>
    <w:rsid w:val="00F4746D"/>
    <w:rsid w:val="00F476D2"/>
    <w:rsid w:val="00F47836"/>
    <w:rsid w:val="00F504CC"/>
    <w:rsid w:val="00F50B8B"/>
    <w:rsid w:val="00F50CB9"/>
    <w:rsid w:val="00F51ED9"/>
    <w:rsid w:val="00F521D6"/>
    <w:rsid w:val="00F5300D"/>
    <w:rsid w:val="00F53230"/>
    <w:rsid w:val="00F5324F"/>
    <w:rsid w:val="00F542DD"/>
    <w:rsid w:val="00F54EE8"/>
    <w:rsid w:val="00F5572A"/>
    <w:rsid w:val="00F55A91"/>
    <w:rsid w:val="00F55E62"/>
    <w:rsid w:val="00F563B9"/>
    <w:rsid w:val="00F563CC"/>
    <w:rsid w:val="00F56FFD"/>
    <w:rsid w:val="00F576A3"/>
    <w:rsid w:val="00F5776B"/>
    <w:rsid w:val="00F57DB1"/>
    <w:rsid w:val="00F60223"/>
    <w:rsid w:val="00F60237"/>
    <w:rsid w:val="00F60635"/>
    <w:rsid w:val="00F60DD1"/>
    <w:rsid w:val="00F61280"/>
    <w:rsid w:val="00F612C8"/>
    <w:rsid w:val="00F614A3"/>
    <w:rsid w:val="00F614BC"/>
    <w:rsid w:val="00F61FD7"/>
    <w:rsid w:val="00F623C6"/>
    <w:rsid w:val="00F623D5"/>
    <w:rsid w:val="00F625D8"/>
    <w:rsid w:val="00F62C2A"/>
    <w:rsid w:val="00F63375"/>
    <w:rsid w:val="00F6348D"/>
    <w:rsid w:val="00F63907"/>
    <w:rsid w:val="00F64808"/>
    <w:rsid w:val="00F64B0D"/>
    <w:rsid w:val="00F6505C"/>
    <w:rsid w:val="00F65ED0"/>
    <w:rsid w:val="00F65F3B"/>
    <w:rsid w:val="00F66475"/>
    <w:rsid w:val="00F6656D"/>
    <w:rsid w:val="00F678C8"/>
    <w:rsid w:val="00F70477"/>
    <w:rsid w:val="00F70666"/>
    <w:rsid w:val="00F70F71"/>
    <w:rsid w:val="00F716E2"/>
    <w:rsid w:val="00F71C8E"/>
    <w:rsid w:val="00F72C3C"/>
    <w:rsid w:val="00F72D1B"/>
    <w:rsid w:val="00F72E4C"/>
    <w:rsid w:val="00F73B58"/>
    <w:rsid w:val="00F745AA"/>
    <w:rsid w:val="00F74BD1"/>
    <w:rsid w:val="00F751E5"/>
    <w:rsid w:val="00F76470"/>
    <w:rsid w:val="00F771BD"/>
    <w:rsid w:val="00F7762F"/>
    <w:rsid w:val="00F80931"/>
    <w:rsid w:val="00F80EE1"/>
    <w:rsid w:val="00F8119E"/>
    <w:rsid w:val="00F81562"/>
    <w:rsid w:val="00F81844"/>
    <w:rsid w:val="00F825BF"/>
    <w:rsid w:val="00F82736"/>
    <w:rsid w:val="00F82B1C"/>
    <w:rsid w:val="00F82F2E"/>
    <w:rsid w:val="00F83173"/>
    <w:rsid w:val="00F8336A"/>
    <w:rsid w:val="00F837EF"/>
    <w:rsid w:val="00F83973"/>
    <w:rsid w:val="00F83D0C"/>
    <w:rsid w:val="00F848C6"/>
    <w:rsid w:val="00F84F5F"/>
    <w:rsid w:val="00F8505E"/>
    <w:rsid w:val="00F85321"/>
    <w:rsid w:val="00F853FA"/>
    <w:rsid w:val="00F85476"/>
    <w:rsid w:val="00F862B7"/>
    <w:rsid w:val="00F863AA"/>
    <w:rsid w:val="00F86636"/>
    <w:rsid w:val="00F866D1"/>
    <w:rsid w:val="00F86A15"/>
    <w:rsid w:val="00F86A1F"/>
    <w:rsid w:val="00F87498"/>
    <w:rsid w:val="00F87519"/>
    <w:rsid w:val="00F87860"/>
    <w:rsid w:val="00F90378"/>
    <w:rsid w:val="00F90423"/>
    <w:rsid w:val="00F90D87"/>
    <w:rsid w:val="00F91B0E"/>
    <w:rsid w:val="00F927EA"/>
    <w:rsid w:val="00F930FE"/>
    <w:rsid w:val="00F93198"/>
    <w:rsid w:val="00F93606"/>
    <w:rsid w:val="00F938DE"/>
    <w:rsid w:val="00F9479F"/>
    <w:rsid w:val="00F949C5"/>
    <w:rsid w:val="00F94AAC"/>
    <w:rsid w:val="00F95261"/>
    <w:rsid w:val="00F95726"/>
    <w:rsid w:val="00F9573C"/>
    <w:rsid w:val="00F960BF"/>
    <w:rsid w:val="00F968F9"/>
    <w:rsid w:val="00F96AB7"/>
    <w:rsid w:val="00F9707D"/>
    <w:rsid w:val="00F97739"/>
    <w:rsid w:val="00F9787F"/>
    <w:rsid w:val="00F979A8"/>
    <w:rsid w:val="00F97C5F"/>
    <w:rsid w:val="00F97DA8"/>
    <w:rsid w:val="00F97F83"/>
    <w:rsid w:val="00FA015B"/>
    <w:rsid w:val="00FA0ABD"/>
    <w:rsid w:val="00FA1AFF"/>
    <w:rsid w:val="00FA1BAF"/>
    <w:rsid w:val="00FA26A0"/>
    <w:rsid w:val="00FA2738"/>
    <w:rsid w:val="00FA285A"/>
    <w:rsid w:val="00FA291E"/>
    <w:rsid w:val="00FA2E42"/>
    <w:rsid w:val="00FA3807"/>
    <w:rsid w:val="00FA39FC"/>
    <w:rsid w:val="00FA4E34"/>
    <w:rsid w:val="00FA5F37"/>
    <w:rsid w:val="00FA65C5"/>
    <w:rsid w:val="00FA6B76"/>
    <w:rsid w:val="00FA6B78"/>
    <w:rsid w:val="00FA725A"/>
    <w:rsid w:val="00FA7EAC"/>
    <w:rsid w:val="00FB0310"/>
    <w:rsid w:val="00FB178C"/>
    <w:rsid w:val="00FB1A81"/>
    <w:rsid w:val="00FB25B1"/>
    <w:rsid w:val="00FB27D8"/>
    <w:rsid w:val="00FB2ABC"/>
    <w:rsid w:val="00FB2AE2"/>
    <w:rsid w:val="00FB2B7C"/>
    <w:rsid w:val="00FB2C70"/>
    <w:rsid w:val="00FB349B"/>
    <w:rsid w:val="00FB382F"/>
    <w:rsid w:val="00FB3E49"/>
    <w:rsid w:val="00FB4032"/>
    <w:rsid w:val="00FB4585"/>
    <w:rsid w:val="00FB4CBF"/>
    <w:rsid w:val="00FB5840"/>
    <w:rsid w:val="00FB594B"/>
    <w:rsid w:val="00FB64D0"/>
    <w:rsid w:val="00FB68D8"/>
    <w:rsid w:val="00FB6B12"/>
    <w:rsid w:val="00FB6E3A"/>
    <w:rsid w:val="00FB7861"/>
    <w:rsid w:val="00FB78C3"/>
    <w:rsid w:val="00FC119B"/>
    <w:rsid w:val="00FC18A1"/>
    <w:rsid w:val="00FC18A7"/>
    <w:rsid w:val="00FC1C80"/>
    <w:rsid w:val="00FC2202"/>
    <w:rsid w:val="00FC25F3"/>
    <w:rsid w:val="00FC2644"/>
    <w:rsid w:val="00FC335F"/>
    <w:rsid w:val="00FC33C1"/>
    <w:rsid w:val="00FC3996"/>
    <w:rsid w:val="00FC39E6"/>
    <w:rsid w:val="00FC3C48"/>
    <w:rsid w:val="00FC535E"/>
    <w:rsid w:val="00FC5421"/>
    <w:rsid w:val="00FC5598"/>
    <w:rsid w:val="00FC6382"/>
    <w:rsid w:val="00FC63B2"/>
    <w:rsid w:val="00FC66A2"/>
    <w:rsid w:val="00FC68C4"/>
    <w:rsid w:val="00FC6FD7"/>
    <w:rsid w:val="00FC70B8"/>
    <w:rsid w:val="00FC75F9"/>
    <w:rsid w:val="00FD129C"/>
    <w:rsid w:val="00FD1BD1"/>
    <w:rsid w:val="00FD1C65"/>
    <w:rsid w:val="00FD1D1C"/>
    <w:rsid w:val="00FD24C5"/>
    <w:rsid w:val="00FD2959"/>
    <w:rsid w:val="00FD2C87"/>
    <w:rsid w:val="00FD2ED0"/>
    <w:rsid w:val="00FD328A"/>
    <w:rsid w:val="00FD339F"/>
    <w:rsid w:val="00FD38D1"/>
    <w:rsid w:val="00FD3B67"/>
    <w:rsid w:val="00FD3E58"/>
    <w:rsid w:val="00FD43AE"/>
    <w:rsid w:val="00FD4988"/>
    <w:rsid w:val="00FD4C9E"/>
    <w:rsid w:val="00FD4FB9"/>
    <w:rsid w:val="00FD5123"/>
    <w:rsid w:val="00FD592E"/>
    <w:rsid w:val="00FD5C62"/>
    <w:rsid w:val="00FD5F19"/>
    <w:rsid w:val="00FD60BC"/>
    <w:rsid w:val="00FD6DBB"/>
    <w:rsid w:val="00FD7891"/>
    <w:rsid w:val="00FD79F4"/>
    <w:rsid w:val="00FD7D7B"/>
    <w:rsid w:val="00FE0329"/>
    <w:rsid w:val="00FE0967"/>
    <w:rsid w:val="00FE17D6"/>
    <w:rsid w:val="00FE1C8C"/>
    <w:rsid w:val="00FE1E10"/>
    <w:rsid w:val="00FE211D"/>
    <w:rsid w:val="00FE25AA"/>
    <w:rsid w:val="00FE2A56"/>
    <w:rsid w:val="00FE2D1A"/>
    <w:rsid w:val="00FE3D6F"/>
    <w:rsid w:val="00FE410D"/>
    <w:rsid w:val="00FE4313"/>
    <w:rsid w:val="00FE437C"/>
    <w:rsid w:val="00FE452E"/>
    <w:rsid w:val="00FE4FA5"/>
    <w:rsid w:val="00FE5F6D"/>
    <w:rsid w:val="00FE6C13"/>
    <w:rsid w:val="00FE6D87"/>
    <w:rsid w:val="00FE7649"/>
    <w:rsid w:val="00FE7CF8"/>
    <w:rsid w:val="00FF0013"/>
    <w:rsid w:val="00FF0C14"/>
    <w:rsid w:val="00FF102A"/>
    <w:rsid w:val="00FF149D"/>
    <w:rsid w:val="00FF196D"/>
    <w:rsid w:val="00FF25CB"/>
    <w:rsid w:val="00FF34F8"/>
    <w:rsid w:val="00FF4D4F"/>
    <w:rsid w:val="00FF5A0B"/>
    <w:rsid w:val="00FF5F15"/>
    <w:rsid w:val="00FF6206"/>
    <w:rsid w:val="00FF6348"/>
    <w:rsid w:val="00FF6558"/>
    <w:rsid w:val="00FF6637"/>
    <w:rsid w:val="00FF764C"/>
    <w:rsid w:val="0158846B"/>
    <w:rsid w:val="0165B991"/>
    <w:rsid w:val="019BE3E6"/>
    <w:rsid w:val="01C9A1C2"/>
    <w:rsid w:val="01F5B21F"/>
    <w:rsid w:val="02058905"/>
    <w:rsid w:val="02362ADA"/>
    <w:rsid w:val="02963030"/>
    <w:rsid w:val="02B4B938"/>
    <w:rsid w:val="02D08A66"/>
    <w:rsid w:val="02D5B729"/>
    <w:rsid w:val="02F2C8BA"/>
    <w:rsid w:val="0327C844"/>
    <w:rsid w:val="03521229"/>
    <w:rsid w:val="03C59D6B"/>
    <w:rsid w:val="03DD007D"/>
    <w:rsid w:val="03FF8B40"/>
    <w:rsid w:val="040CDD4E"/>
    <w:rsid w:val="0424C990"/>
    <w:rsid w:val="044A2E81"/>
    <w:rsid w:val="0478AFC7"/>
    <w:rsid w:val="04C33F1C"/>
    <w:rsid w:val="04C6D02E"/>
    <w:rsid w:val="04E51D52"/>
    <w:rsid w:val="055D040A"/>
    <w:rsid w:val="059A88A5"/>
    <w:rsid w:val="05FAD6EE"/>
    <w:rsid w:val="0626BE8E"/>
    <w:rsid w:val="0681ABB3"/>
    <w:rsid w:val="06FDEC34"/>
    <w:rsid w:val="0734C29E"/>
    <w:rsid w:val="07500ABD"/>
    <w:rsid w:val="078658D3"/>
    <w:rsid w:val="07C488AC"/>
    <w:rsid w:val="08187A74"/>
    <w:rsid w:val="0850F6D6"/>
    <w:rsid w:val="085EAA2D"/>
    <w:rsid w:val="088F5913"/>
    <w:rsid w:val="08AEED2D"/>
    <w:rsid w:val="0903267E"/>
    <w:rsid w:val="092C8B70"/>
    <w:rsid w:val="097302C8"/>
    <w:rsid w:val="09DEEDA6"/>
    <w:rsid w:val="09E45593"/>
    <w:rsid w:val="0B030438"/>
    <w:rsid w:val="0BFA4787"/>
    <w:rsid w:val="0C711800"/>
    <w:rsid w:val="0C86B95A"/>
    <w:rsid w:val="0C954484"/>
    <w:rsid w:val="0DFFF28D"/>
    <w:rsid w:val="0E6A5BA0"/>
    <w:rsid w:val="0EAD27C2"/>
    <w:rsid w:val="0EB56C6C"/>
    <w:rsid w:val="0F522475"/>
    <w:rsid w:val="0F53DABA"/>
    <w:rsid w:val="0F65C9D6"/>
    <w:rsid w:val="0F7D9A18"/>
    <w:rsid w:val="0F926CEF"/>
    <w:rsid w:val="0FC14007"/>
    <w:rsid w:val="10710D09"/>
    <w:rsid w:val="10A75453"/>
    <w:rsid w:val="10B51952"/>
    <w:rsid w:val="118A3B40"/>
    <w:rsid w:val="118BC092"/>
    <w:rsid w:val="1196834E"/>
    <w:rsid w:val="11B88750"/>
    <w:rsid w:val="125BDE7B"/>
    <w:rsid w:val="1326A7DE"/>
    <w:rsid w:val="137B1DDC"/>
    <w:rsid w:val="13A9D57B"/>
    <w:rsid w:val="13D604F3"/>
    <w:rsid w:val="142D0218"/>
    <w:rsid w:val="1446C479"/>
    <w:rsid w:val="14E5818C"/>
    <w:rsid w:val="151F4C59"/>
    <w:rsid w:val="152D2D28"/>
    <w:rsid w:val="15551BFA"/>
    <w:rsid w:val="15D46FC6"/>
    <w:rsid w:val="1624E1D7"/>
    <w:rsid w:val="166591B3"/>
    <w:rsid w:val="16CA4F21"/>
    <w:rsid w:val="1713D37E"/>
    <w:rsid w:val="1730734F"/>
    <w:rsid w:val="178415C3"/>
    <w:rsid w:val="17D4FFED"/>
    <w:rsid w:val="17E09142"/>
    <w:rsid w:val="17EF3D00"/>
    <w:rsid w:val="18D6D0BB"/>
    <w:rsid w:val="19037916"/>
    <w:rsid w:val="1922B2D4"/>
    <w:rsid w:val="1983EDBB"/>
    <w:rsid w:val="19BB1D80"/>
    <w:rsid w:val="19ECC535"/>
    <w:rsid w:val="1A06FADD"/>
    <w:rsid w:val="1AA8BA64"/>
    <w:rsid w:val="1AD3157E"/>
    <w:rsid w:val="1AD9DA59"/>
    <w:rsid w:val="1B03901F"/>
    <w:rsid w:val="1B25B9CF"/>
    <w:rsid w:val="1C3DCA5F"/>
    <w:rsid w:val="1C4E3F5E"/>
    <w:rsid w:val="1C4F6543"/>
    <w:rsid w:val="1C5B2DD2"/>
    <w:rsid w:val="1C5C44C9"/>
    <w:rsid w:val="1C795631"/>
    <w:rsid w:val="1C811B15"/>
    <w:rsid w:val="1C81DAF0"/>
    <w:rsid w:val="1CAE9A43"/>
    <w:rsid w:val="1D301F4E"/>
    <w:rsid w:val="1DA978D4"/>
    <w:rsid w:val="1DCC7E16"/>
    <w:rsid w:val="1DF1A13C"/>
    <w:rsid w:val="1E22F137"/>
    <w:rsid w:val="1E3758C5"/>
    <w:rsid w:val="1E3E46D0"/>
    <w:rsid w:val="1F7DC098"/>
    <w:rsid w:val="1FF304A9"/>
    <w:rsid w:val="2003FD35"/>
    <w:rsid w:val="20205F92"/>
    <w:rsid w:val="2024E694"/>
    <w:rsid w:val="20A6585D"/>
    <w:rsid w:val="213CC36E"/>
    <w:rsid w:val="2152F712"/>
    <w:rsid w:val="21A4185C"/>
    <w:rsid w:val="21C43811"/>
    <w:rsid w:val="221E2272"/>
    <w:rsid w:val="22C04DE8"/>
    <w:rsid w:val="22D3B6B2"/>
    <w:rsid w:val="235F47AF"/>
    <w:rsid w:val="23C8AE47"/>
    <w:rsid w:val="2449988F"/>
    <w:rsid w:val="244A13A9"/>
    <w:rsid w:val="2483A15D"/>
    <w:rsid w:val="249B13C2"/>
    <w:rsid w:val="24CAC300"/>
    <w:rsid w:val="24F5C777"/>
    <w:rsid w:val="254791E3"/>
    <w:rsid w:val="2548B0D0"/>
    <w:rsid w:val="254B1C22"/>
    <w:rsid w:val="26475C5A"/>
    <w:rsid w:val="26513CAA"/>
    <w:rsid w:val="26A78AA3"/>
    <w:rsid w:val="26DAE1E8"/>
    <w:rsid w:val="270DE9E2"/>
    <w:rsid w:val="273FE6AE"/>
    <w:rsid w:val="2762B3C8"/>
    <w:rsid w:val="2809662C"/>
    <w:rsid w:val="281C4B62"/>
    <w:rsid w:val="286F2F52"/>
    <w:rsid w:val="28BD80D1"/>
    <w:rsid w:val="294FEBE4"/>
    <w:rsid w:val="29CCBF36"/>
    <w:rsid w:val="29E0CE1F"/>
    <w:rsid w:val="29E28C52"/>
    <w:rsid w:val="2A1836CD"/>
    <w:rsid w:val="2B1F31B1"/>
    <w:rsid w:val="2B4D4EA7"/>
    <w:rsid w:val="2B5EDF3E"/>
    <w:rsid w:val="2B618C11"/>
    <w:rsid w:val="2BD00D00"/>
    <w:rsid w:val="2BE8F98D"/>
    <w:rsid w:val="2C91BD9D"/>
    <w:rsid w:val="2CF376CC"/>
    <w:rsid w:val="2D0912D2"/>
    <w:rsid w:val="2D28EFDC"/>
    <w:rsid w:val="2D3132AD"/>
    <w:rsid w:val="2DE62347"/>
    <w:rsid w:val="2E079959"/>
    <w:rsid w:val="2E2A9B88"/>
    <w:rsid w:val="2E30920B"/>
    <w:rsid w:val="2E410CAD"/>
    <w:rsid w:val="2EDB0D48"/>
    <w:rsid w:val="2F9BC691"/>
    <w:rsid w:val="300D1F3E"/>
    <w:rsid w:val="304724C3"/>
    <w:rsid w:val="30BC4D32"/>
    <w:rsid w:val="312E10BB"/>
    <w:rsid w:val="321CB61A"/>
    <w:rsid w:val="32254A91"/>
    <w:rsid w:val="324670DF"/>
    <w:rsid w:val="32F3B685"/>
    <w:rsid w:val="332BF1E4"/>
    <w:rsid w:val="3337E7FA"/>
    <w:rsid w:val="33660DAE"/>
    <w:rsid w:val="33A78809"/>
    <w:rsid w:val="33E7C3DA"/>
    <w:rsid w:val="33E822E2"/>
    <w:rsid w:val="33EC1188"/>
    <w:rsid w:val="33F5E9D1"/>
    <w:rsid w:val="33FA6CC9"/>
    <w:rsid w:val="34B38103"/>
    <w:rsid w:val="3588FAE5"/>
    <w:rsid w:val="35C33163"/>
    <w:rsid w:val="35F620A1"/>
    <w:rsid w:val="36CE41CB"/>
    <w:rsid w:val="36D1B672"/>
    <w:rsid w:val="36D389D4"/>
    <w:rsid w:val="370885E4"/>
    <w:rsid w:val="37DCF3A8"/>
    <w:rsid w:val="38CBDEA4"/>
    <w:rsid w:val="39396B11"/>
    <w:rsid w:val="3999266F"/>
    <w:rsid w:val="3A4E9D1E"/>
    <w:rsid w:val="3AB60AF7"/>
    <w:rsid w:val="3B1D60F0"/>
    <w:rsid w:val="3B338DF3"/>
    <w:rsid w:val="3B4D4481"/>
    <w:rsid w:val="3B90B4E1"/>
    <w:rsid w:val="3BB05D70"/>
    <w:rsid w:val="3C866DAD"/>
    <w:rsid w:val="3C87C83A"/>
    <w:rsid w:val="3CA59B95"/>
    <w:rsid w:val="3CD29DC8"/>
    <w:rsid w:val="3CE21D5C"/>
    <w:rsid w:val="3CE3F968"/>
    <w:rsid w:val="3D0165CF"/>
    <w:rsid w:val="3D9F9B78"/>
    <w:rsid w:val="3E3BCB83"/>
    <w:rsid w:val="3E617D81"/>
    <w:rsid w:val="3E7FEDAA"/>
    <w:rsid w:val="3F32A9EA"/>
    <w:rsid w:val="3FA322A1"/>
    <w:rsid w:val="3FE5927D"/>
    <w:rsid w:val="404FDBA6"/>
    <w:rsid w:val="410E7033"/>
    <w:rsid w:val="418337B8"/>
    <w:rsid w:val="419C7855"/>
    <w:rsid w:val="41E326F9"/>
    <w:rsid w:val="425BF66D"/>
    <w:rsid w:val="42B08B48"/>
    <w:rsid w:val="42B582BE"/>
    <w:rsid w:val="43330A34"/>
    <w:rsid w:val="4367604F"/>
    <w:rsid w:val="43C74220"/>
    <w:rsid w:val="4405AF35"/>
    <w:rsid w:val="44829C52"/>
    <w:rsid w:val="45AAF037"/>
    <w:rsid w:val="46151C21"/>
    <w:rsid w:val="4683D2BB"/>
    <w:rsid w:val="4688A12C"/>
    <w:rsid w:val="468E42E0"/>
    <w:rsid w:val="47A12141"/>
    <w:rsid w:val="47FE1404"/>
    <w:rsid w:val="4824BCA4"/>
    <w:rsid w:val="49492701"/>
    <w:rsid w:val="49B08EC4"/>
    <w:rsid w:val="49C6C07A"/>
    <w:rsid w:val="4ABB600C"/>
    <w:rsid w:val="4AC5C0C2"/>
    <w:rsid w:val="4AC82175"/>
    <w:rsid w:val="4AEF1400"/>
    <w:rsid w:val="4B9AFF13"/>
    <w:rsid w:val="4C0CD98E"/>
    <w:rsid w:val="4C116ED4"/>
    <w:rsid w:val="4C3CDF96"/>
    <w:rsid w:val="4CDE6859"/>
    <w:rsid w:val="4D167237"/>
    <w:rsid w:val="4D2C082B"/>
    <w:rsid w:val="4D5A183B"/>
    <w:rsid w:val="4D5EDE9E"/>
    <w:rsid w:val="4DE6CF14"/>
    <w:rsid w:val="4E08DA83"/>
    <w:rsid w:val="4E0B03C1"/>
    <w:rsid w:val="4ED6AC7A"/>
    <w:rsid w:val="4F280C79"/>
    <w:rsid w:val="4FB42C7A"/>
    <w:rsid w:val="506CD03C"/>
    <w:rsid w:val="50C77061"/>
    <w:rsid w:val="50F87A6D"/>
    <w:rsid w:val="5143AB78"/>
    <w:rsid w:val="514573F9"/>
    <w:rsid w:val="526BEAF9"/>
    <w:rsid w:val="5339A43C"/>
    <w:rsid w:val="538112F2"/>
    <w:rsid w:val="5382FAAD"/>
    <w:rsid w:val="5400B29C"/>
    <w:rsid w:val="541C7319"/>
    <w:rsid w:val="54571949"/>
    <w:rsid w:val="54C27044"/>
    <w:rsid w:val="54D4D82F"/>
    <w:rsid w:val="558659CC"/>
    <w:rsid w:val="55943A40"/>
    <w:rsid w:val="5642D2CE"/>
    <w:rsid w:val="56A9518C"/>
    <w:rsid w:val="56B15F7A"/>
    <w:rsid w:val="56C10707"/>
    <w:rsid w:val="56C5FC59"/>
    <w:rsid w:val="57648121"/>
    <w:rsid w:val="57C4B23C"/>
    <w:rsid w:val="5923E2EF"/>
    <w:rsid w:val="592B328A"/>
    <w:rsid w:val="5946C4F9"/>
    <w:rsid w:val="594F1BDE"/>
    <w:rsid w:val="59A07455"/>
    <w:rsid w:val="59B7F410"/>
    <w:rsid w:val="59D3A399"/>
    <w:rsid w:val="5A55C921"/>
    <w:rsid w:val="5A8229D5"/>
    <w:rsid w:val="5AB3E3F4"/>
    <w:rsid w:val="5AEC74BD"/>
    <w:rsid w:val="5B04DC8C"/>
    <w:rsid w:val="5BCBE383"/>
    <w:rsid w:val="5C481848"/>
    <w:rsid w:val="5CBB9C4C"/>
    <w:rsid w:val="5CC7F87D"/>
    <w:rsid w:val="5CE0FDE4"/>
    <w:rsid w:val="5D5F14DE"/>
    <w:rsid w:val="5D85419C"/>
    <w:rsid w:val="5DB3828C"/>
    <w:rsid w:val="5DC771AB"/>
    <w:rsid w:val="5E3FD62E"/>
    <w:rsid w:val="5EDBFC48"/>
    <w:rsid w:val="5F23A155"/>
    <w:rsid w:val="5FAB3344"/>
    <w:rsid w:val="6071BC7F"/>
    <w:rsid w:val="60F80C67"/>
    <w:rsid w:val="614E24BB"/>
    <w:rsid w:val="6183A5D9"/>
    <w:rsid w:val="61D59A7D"/>
    <w:rsid w:val="62351A62"/>
    <w:rsid w:val="62BF0B16"/>
    <w:rsid w:val="62BFE665"/>
    <w:rsid w:val="6307BC39"/>
    <w:rsid w:val="633B9D79"/>
    <w:rsid w:val="633D0819"/>
    <w:rsid w:val="635937A0"/>
    <w:rsid w:val="63E0CF9C"/>
    <w:rsid w:val="64B68CA5"/>
    <w:rsid w:val="65613CB4"/>
    <w:rsid w:val="65EBE335"/>
    <w:rsid w:val="6656C3F4"/>
    <w:rsid w:val="6678CE67"/>
    <w:rsid w:val="66A546BC"/>
    <w:rsid w:val="66CFF882"/>
    <w:rsid w:val="67250857"/>
    <w:rsid w:val="672F4110"/>
    <w:rsid w:val="6741DB7F"/>
    <w:rsid w:val="6764CB57"/>
    <w:rsid w:val="67A711A2"/>
    <w:rsid w:val="68182A5A"/>
    <w:rsid w:val="683737B0"/>
    <w:rsid w:val="684C5B05"/>
    <w:rsid w:val="68FB2548"/>
    <w:rsid w:val="691F463D"/>
    <w:rsid w:val="69919462"/>
    <w:rsid w:val="6AC3A7DE"/>
    <w:rsid w:val="6B151ABE"/>
    <w:rsid w:val="6BAABA48"/>
    <w:rsid w:val="6BC26289"/>
    <w:rsid w:val="6BC6AF42"/>
    <w:rsid w:val="6BDB08F4"/>
    <w:rsid w:val="6BEEE707"/>
    <w:rsid w:val="6C0B1816"/>
    <w:rsid w:val="6C184FAB"/>
    <w:rsid w:val="6C258F85"/>
    <w:rsid w:val="6C419543"/>
    <w:rsid w:val="6C7A53B9"/>
    <w:rsid w:val="6C8A2C8C"/>
    <w:rsid w:val="6D7DDB87"/>
    <w:rsid w:val="6DA17DDB"/>
    <w:rsid w:val="6DDC021A"/>
    <w:rsid w:val="6E8BCB7F"/>
    <w:rsid w:val="6EC96838"/>
    <w:rsid w:val="6ECF0A8B"/>
    <w:rsid w:val="6EF9A4EB"/>
    <w:rsid w:val="6F2E0A14"/>
    <w:rsid w:val="6F43167C"/>
    <w:rsid w:val="6F4D48FD"/>
    <w:rsid w:val="7004D6B5"/>
    <w:rsid w:val="709EB6DD"/>
    <w:rsid w:val="70ADDA1E"/>
    <w:rsid w:val="70B0C898"/>
    <w:rsid w:val="70F04F99"/>
    <w:rsid w:val="711CF37F"/>
    <w:rsid w:val="71306416"/>
    <w:rsid w:val="7179D1E6"/>
    <w:rsid w:val="717F642D"/>
    <w:rsid w:val="7199B16E"/>
    <w:rsid w:val="72004287"/>
    <w:rsid w:val="72347A1E"/>
    <w:rsid w:val="7267BF77"/>
    <w:rsid w:val="72B75AA5"/>
    <w:rsid w:val="730B2B9B"/>
    <w:rsid w:val="73174D98"/>
    <w:rsid w:val="73230812"/>
    <w:rsid w:val="73B15363"/>
    <w:rsid w:val="741D0E05"/>
    <w:rsid w:val="74A44064"/>
    <w:rsid w:val="7521D5F3"/>
    <w:rsid w:val="756E2BDB"/>
    <w:rsid w:val="75C8648E"/>
    <w:rsid w:val="7656790E"/>
    <w:rsid w:val="7658E797"/>
    <w:rsid w:val="765C1C79"/>
    <w:rsid w:val="76923549"/>
    <w:rsid w:val="76964E25"/>
    <w:rsid w:val="76E8ADCA"/>
    <w:rsid w:val="76F7C7B5"/>
    <w:rsid w:val="774CAFF4"/>
    <w:rsid w:val="777C39EC"/>
    <w:rsid w:val="778E7986"/>
    <w:rsid w:val="77E906FA"/>
    <w:rsid w:val="781F42EB"/>
    <w:rsid w:val="782EF028"/>
    <w:rsid w:val="78B2DABD"/>
    <w:rsid w:val="78D20D40"/>
    <w:rsid w:val="791483E6"/>
    <w:rsid w:val="7918DF8A"/>
    <w:rsid w:val="791D5017"/>
    <w:rsid w:val="79691657"/>
    <w:rsid w:val="798A3C27"/>
    <w:rsid w:val="799694CF"/>
    <w:rsid w:val="79A0EB5B"/>
    <w:rsid w:val="7A0A1B14"/>
    <w:rsid w:val="7A2623D5"/>
    <w:rsid w:val="7A7635AD"/>
    <w:rsid w:val="7AD56761"/>
    <w:rsid w:val="7AE9A7D0"/>
    <w:rsid w:val="7B6D880C"/>
    <w:rsid w:val="7BDB7B06"/>
    <w:rsid w:val="7BDD7C66"/>
    <w:rsid w:val="7C33163D"/>
    <w:rsid w:val="7C5A9AC9"/>
    <w:rsid w:val="7C84F932"/>
    <w:rsid w:val="7CD6F987"/>
    <w:rsid w:val="7D806A19"/>
    <w:rsid w:val="7D88C025"/>
    <w:rsid w:val="7DADD3E3"/>
    <w:rsid w:val="7E199787"/>
    <w:rsid w:val="7E68B171"/>
    <w:rsid w:val="7E85A578"/>
    <w:rsid w:val="7F600A4B"/>
    <w:rsid w:val="7FC0E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5BED"/>
  <w15:chartTrackingRefBased/>
  <w15:docId w15:val="{ECA58552-0EC6-495B-8517-2FE5E4C0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46F"/>
    <w:pPr>
      <w:spacing w:after="240" w:line="276" w:lineRule="auto"/>
    </w:pPr>
  </w:style>
  <w:style w:type="paragraph" w:styleId="Heading1">
    <w:name w:val="heading 1"/>
    <w:basedOn w:val="Normal"/>
    <w:next w:val="Normal"/>
    <w:link w:val="Heading1Char"/>
    <w:uiPriority w:val="9"/>
    <w:qFormat/>
    <w:rsid w:val="00017EDF"/>
    <w:pPr>
      <w:keepNext/>
      <w:keepLines/>
      <w:numPr>
        <w:numId w:val="2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4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1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131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21B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E4D7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77EA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7131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311F5"/>
    <w:pPr>
      <w:keepNext/>
      <w:jc w:val="both"/>
      <w:outlineLvl w:val="8"/>
    </w:pPr>
    <w:rPr>
      <w:rFonts w:ascii="Calibri" w:eastAsia="Calibri" w:hAnsi="Calibri" w:cs="Calibri"/>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A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A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A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56C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2CC" w:themeFill="accent4" w:themeFillTint="33"/>
    </w:tcPr>
  </w:style>
  <w:style w:type="paragraph" w:styleId="Caption">
    <w:name w:val="caption"/>
    <w:basedOn w:val="Normal"/>
    <w:next w:val="Normal"/>
    <w:uiPriority w:val="35"/>
    <w:unhideWhenUsed/>
    <w:qFormat/>
    <w:rsid w:val="00440B00"/>
    <w:pPr>
      <w:spacing w:before="240"/>
      <w:jc w:val="center"/>
    </w:pPr>
    <w:rPr>
      <w:b/>
      <w:iCs/>
      <w:color w:val="000000" w:themeColor="text1"/>
      <w:szCs w:val="18"/>
    </w:rPr>
  </w:style>
  <w:style w:type="paragraph" w:styleId="ListParagraph">
    <w:name w:val="List Paragraph"/>
    <w:basedOn w:val="Normal"/>
    <w:uiPriority w:val="34"/>
    <w:qFormat/>
    <w:rsid w:val="00F045AC"/>
    <w:pPr>
      <w:ind w:left="720"/>
      <w:contextualSpacing/>
    </w:pPr>
  </w:style>
  <w:style w:type="paragraph" w:styleId="Date">
    <w:name w:val="Date"/>
    <w:basedOn w:val="Normal"/>
    <w:next w:val="Normal"/>
    <w:link w:val="DateChar"/>
    <w:uiPriority w:val="99"/>
    <w:unhideWhenUsed/>
    <w:rsid w:val="00796EF6"/>
  </w:style>
  <w:style w:type="character" w:customStyle="1" w:styleId="DateChar">
    <w:name w:val="Date Char"/>
    <w:basedOn w:val="DefaultParagraphFont"/>
    <w:link w:val="Date"/>
    <w:uiPriority w:val="99"/>
    <w:rsid w:val="00796EF6"/>
  </w:style>
  <w:style w:type="paragraph" w:styleId="Footer">
    <w:name w:val="footer"/>
    <w:basedOn w:val="Normal"/>
    <w:link w:val="FooterChar"/>
    <w:uiPriority w:val="99"/>
    <w:unhideWhenUsed/>
    <w:rsid w:val="000A7ABA"/>
    <w:pPr>
      <w:tabs>
        <w:tab w:val="center" w:pos="4680"/>
        <w:tab w:val="right" w:pos="9360"/>
      </w:tabs>
    </w:pPr>
  </w:style>
  <w:style w:type="character" w:customStyle="1" w:styleId="FooterChar">
    <w:name w:val="Footer Char"/>
    <w:basedOn w:val="DefaultParagraphFont"/>
    <w:link w:val="Footer"/>
    <w:uiPriority w:val="99"/>
    <w:rsid w:val="000A7ABA"/>
  </w:style>
  <w:style w:type="character" w:styleId="PageNumber">
    <w:name w:val="page number"/>
    <w:basedOn w:val="DefaultParagraphFont"/>
    <w:uiPriority w:val="99"/>
    <w:semiHidden/>
    <w:unhideWhenUsed/>
    <w:rsid w:val="000A7ABA"/>
  </w:style>
  <w:style w:type="paragraph" w:styleId="Header">
    <w:name w:val="header"/>
    <w:basedOn w:val="Normal"/>
    <w:link w:val="HeaderChar"/>
    <w:uiPriority w:val="99"/>
    <w:unhideWhenUsed/>
    <w:rsid w:val="000A7ABA"/>
    <w:pPr>
      <w:tabs>
        <w:tab w:val="center" w:pos="4680"/>
        <w:tab w:val="right" w:pos="9360"/>
      </w:tabs>
    </w:pPr>
  </w:style>
  <w:style w:type="character" w:customStyle="1" w:styleId="HeaderChar">
    <w:name w:val="Header Char"/>
    <w:basedOn w:val="DefaultParagraphFont"/>
    <w:link w:val="Header"/>
    <w:uiPriority w:val="99"/>
    <w:rsid w:val="000A7ABA"/>
  </w:style>
  <w:style w:type="character" w:customStyle="1" w:styleId="Heading2Char">
    <w:name w:val="Heading 2 Char"/>
    <w:basedOn w:val="DefaultParagraphFont"/>
    <w:link w:val="Heading2"/>
    <w:uiPriority w:val="9"/>
    <w:rsid w:val="00B6242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unhideWhenUsed/>
    <w:rsid w:val="00020686"/>
    <w:rPr>
      <w:rFonts w:ascii="Segoe UI" w:hAnsi="Segoe UI" w:cs="Segoe UI"/>
      <w:sz w:val="18"/>
      <w:szCs w:val="18"/>
    </w:rPr>
  </w:style>
  <w:style w:type="character" w:customStyle="1" w:styleId="BalloonTextChar">
    <w:name w:val="Balloon Text Char"/>
    <w:basedOn w:val="DefaultParagraphFont"/>
    <w:link w:val="BalloonText"/>
    <w:uiPriority w:val="99"/>
    <w:rsid w:val="00020686"/>
    <w:rPr>
      <w:rFonts w:ascii="Segoe UI" w:hAnsi="Segoe UI" w:cs="Segoe UI"/>
      <w:sz w:val="18"/>
      <w:szCs w:val="18"/>
    </w:rPr>
  </w:style>
  <w:style w:type="paragraph" w:styleId="BodyText">
    <w:name w:val="Body Text"/>
    <w:basedOn w:val="Normal"/>
    <w:link w:val="BodyTextChar"/>
    <w:uiPriority w:val="99"/>
    <w:unhideWhenUsed/>
    <w:rsid w:val="00C713A9"/>
    <w:pPr>
      <w:jc w:val="both"/>
    </w:pPr>
    <w:rPr>
      <w:sz w:val="22"/>
      <w:szCs w:val="22"/>
    </w:rPr>
  </w:style>
  <w:style w:type="character" w:customStyle="1" w:styleId="BodyTextChar">
    <w:name w:val="Body Text Char"/>
    <w:basedOn w:val="DefaultParagraphFont"/>
    <w:link w:val="BodyText"/>
    <w:uiPriority w:val="99"/>
    <w:rsid w:val="00C713A9"/>
    <w:rPr>
      <w:sz w:val="22"/>
      <w:szCs w:val="22"/>
    </w:rPr>
  </w:style>
  <w:style w:type="character" w:customStyle="1" w:styleId="Heading3Char">
    <w:name w:val="Heading 3 Char"/>
    <w:basedOn w:val="DefaultParagraphFont"/>
    <w:link w:val="Heading3"/>
    <w:uiPriority w:val="9"/>
    <w:rsid w:val="003E21B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3E21B4"/>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3E21B4"/>
    <w:rPr>
      <w:sz w:val="16"/>
      <w:szCs w:val="16"/>
    </w:rPr>
  </w:style>
  <w:style w:type="paragraph" w:styleId="CommentText">
    <w:name w:val="annotation text"/>
    <w:basedOn w:val="Normal"/>
    <w:link w:val="CommentTextChar"/>
    <w:uiPriority w:val="99"/>
    <w:unhideWhenUsed/>
    <w:rsid w:val="003E21B4"/>
    <w:pPr>
      <w:spacing w:after="160"/>
    </w:pPr>
    <w:rPr>
      <w:rFonts w:ascii="Ideal Sans Light" w:eastAsiaTheme="minorHAnsi" w:hAnsi="Ideal Sans Light"/>
      <w:sz w:val="20"/>
      <w:szCs w:val="20"/>
      <w:lang w:eastAsia="en-US"/>
    </w:rPr>
  </w:style>
  <w:style w:type="character" w:customStyle="1" w:styleId="CommentTextChar">
    <w:name w:val="Comment Text Char"/>
    <w:basedOn w:val="DefaultParagraphFont"/>
    <w:link w:val="CommentText"/>
    <w:uiPriority w:val="99"/>
    <w:rsid w:val="003E21B4"/>
    <w:rPr>
      <w:rFonts w:ascii="Ideal Sans Light" w:eastAsiaTheme="minorHAnsi" w:hAnsi="Ideal Sans Light"/>
      <w:sz w:val="20"/>
      <w:szCs w:val="20"/>
      <w:lang w:eastAsia="en-US"/>
    </w:rPr>
  </w:style>
  <w:style w:type="character" w:customStyle="1" w:styleId="Heading7Char">
    <w:name w:val="Heading 7 Char"/>
    <w:basedOn w:val="DefaultParagraphFont"/>
    <w:link w:val="Heading7"/>
    <w:uiPriority w:val="9"/>
    <w:rsid w:val="00177EA4"/>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rsid w:val="00DE4D7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71312"/>
    <w:rPr>
      <w:rFonts w:asciiTheme="majorHAnsi" w:eastAsiaTheme="majorEastAsia" w:hAnsiTheme="majorHAnsi" w:cstheme="majorBidi"/>
      <w:i/>
      <w:iCs/>
      <w:color w:val="2F5496" w:themeColor="accent1" w:themeShade="BF"/>
    </w:rPr>
  </w:style>
  <w:style w:type="character" w:customStyle="1" w:styleId="Heading8Char">
    <w:name w:val="Heading 8 Char"/>
    <w:basedOn w:val="DefaultParagraphFont"/>
    <w:link w:val="Heading8"/>
    <w:uiPriority w:val="9"/>
    <w:rsid w:val="006713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311F5"/>
    <w:rPr>
      <w:rFonts w:ascii="Calibri" w:eastAsia="Calibri" w:hAnsi="Calibri" w:cs="Calibri"/>
      <w:sz w:val="22"/>
      <w:szCs w:val="22"/>
      <w:u w:val="single"/>
    </w:rPr>
  </w:style>
  <w:style w:type="paragraph" w:styleId="BodyText2">
    <w:name w:val="Body Text 2"/>
    <w:basedOn w:val="Normal"/>
    <w:link w:val="BodyText2Char"/>
    <w:uiPriority w:val="99"/>
    <w:unhideWhenUsed/>
    <w:rsid w:val="00B56E50"/>
    <w:pPr>
      <w:jc w:val="both"/>
    </w:pPr>
    <w:rPr>
      <w:rFonts w:eastAsia="Ideal Sans Light" w:cstheme="minorHAnsi"/>
    </w:rPr>
  </w:style>
  <w:style w:type="character" w:customStyle="1" w:styleId="BodyText2Char">
    <w:name w:val="Body Text 2 Char"/>
    <w:basedOn w:val="DefaultParagraphFont"/>
    <w:link w:val="BodyText2"/>
    <w:uiPriority w:val="99"/>
    <w:rsid w:val="00B56E50"/>
    <w:rPr>
      <w:rFonts w:eastAsia="Ideal Sans Light" w:cstheme="minorHAnsi"/>
    </w:rPr>
  </w:style>
  <w:style w:type="paragraph" w:styleId="TOC1">
    <w:name w:val="toc 1"/>
    <w:basedOn w:val="Normal"/>
    <w:next w:val="Normal"/>
    <w:autoRedefine/>
    <w:uiPriority w:val="39"/>
    <w:unhideWhenUsed/>
    <w:rsid w:val="004A77B0"/>
    <w:pPr>
      <w:spacing w:before="120" w:after="120"/>
    </w:pPr>
    <w:rPr>
      <w:rFonts w:cstheme="minorHAnsi"/>
      <w:b/>
      <w:bCs/>
      <w:caps/>
      <w:sz w:val="20"/>
    </w:rPr>
  </w:style>
  <w:style w:type="paragraph" w:styleId="TOC2">
    <w:name w:val="toc 2"/>
    <w:basedOn w:val="Normal"/>
    <w:next w:val="Normal"/>
    <w:autoRedefine/>
    <w:uiPriority w:val="39"/>
    <w:unhideWhenUsed/>
    <w:rsid w:val="004A77B0"/>
    <w:pPr>
      <w:spacing w:after="0"/>
      <w:ind w:left="240"/>
    </w:pPr>
    <w:rPr>
      <w:rFonts w:cstheme="minorHAnsi"/>
      <w:smallCaps/>
      <w:sz w:val="20"/>
    </w:rPr>
  </w:style>
  <w:style w:type="paragraph" w:styleId="TOC3">
    <w:name w:val="toc 3"/>
    <w:basedOn w:val="Normal"/>
    <w:next w:val="Normal"/>
    <w:autoRedefine/>
    <w:uiPriority w:val="39"/>
    <w:unhideWhenUsed/>
    <w:rsid w:val="004A77B0"/>
    <w:pPr>
      <w:spacing w:after="0"/>
      <w:ind w:left="480"/>
    </w:pPr>
    <w:rPr>
      <w:rFonts w:cstheme="minorHAnsi"/>
      <w:i/>
      <w:iCs/>
      <w:sz w:val="20"/>
    </w:rPr>
  </w:style>
  <w:style w:type="paragraph" w:styleId="TOC4">
    <w:name w:val="toc 4"/>
    <w:basedOn w:val="Normal"/>
    <w:next w:val="Normal"/>
    <w:autoRedefine/>
    <w:uiPriority w:val="39"/>
    <w:unhideWhenUsed/>
    <w:rsid w:val="004A77B0"/>
    <w:pPr>
      <w:spacing w:after="0"/>
      <w:ind w:left="720"/>
    </w:pPr>
    <w:rPr>
      <w:rFonts w:cstheme="minorHAnsi"/>
      <w:sz w:val="18"/>
      <w:szCs w:val="21"/>
    </w:rPr>
  </w:style>
  <w:style w:type="paragraph" w:styleId="TOC5">
    <w:name w:val="toc 5"/>
    <w:basedOn w:val="Normal"/>
    <w:next w:val="Normal"/>
    <w:autoRedefine/>
    <w:uiPriority w:val="39"/>
    <w:unhideWhenUsed/>
    <w:rsid w:val="004A77B0"/>
    <w:pPr>
      <w:spacing w:after="0"/>
      <w:ind w:left="960"/>
    </w:pPr>
    <w:rPr>
      <w:rFonts w:cstheme="minorHAnsi"/>
      <w:sz w:val="18"/>
      <w:szCs w:val="21"/>
    </w:rPr>
  </w:style>
  <w:style w:type="paragraph" w:styleId="TOC6">
    <w:name w:val="toc 6"/>
    <w:basedOn w:val="Normal"/>
    <w:next w:val="Normal"/>
    <w:autoRedefine/>
    <w:uiPriority w:val="39"/>
    <w:unhideWhenUsed/>
    <w:rsid w:val="004A77B0"/>
    <w:pPr>
      <w:spacing w:after="0"/>
      <w:ind w:left="1200"/>
    </w:pPr>
    <w:rPr>
      <w:rFonts w:cstheme="minorHAnsi"/>
      <w:sz w:val="18"/>
      <w:szCs w:val="21"/>
    </w:rPr>
  </w:style>
  <w:style w:type="paragraph" w:styleId="TOC7">
    <w:name w:val="toc 7"/>
    <w:basedOn w:val="Normal"/>
    <w:next w:val="Normal"/>
    <w:autoRedefine/>
    <w:uiPriority w:val="39"/>
    <w:unhideWhenUsed/>
    <w:rsid w:val="004A77B0"/>
    <w:pPr>
      <w:spacing w:after="0"/>
      <w:ind w:left="1440"/>
    </w:pPr>
    <w:rPr>
      <w:rFonts w:cstheme="minorHAnsi"/>
      <w:sz w:val="18"/>
      <w:szCs w:val="21"/>
    </w:rPr>
  </w:style>
  <w:style w:type="paragraph" w:styleId="TOC8">
    <w:name w:val="toc 8"/>
    <w:basedOn w:val="Normal"/>
    <w:next w:val="Normal"/>
    <w:autoRedefine/>
    <w:uiPriority w:val="39"/>
    <w:unhideWhenUsed/>
    <w:rsid w:val="004A77B0"/>
    <w:pPr>
      <w:spacing w:after="0"/>
      <w:ind w:left="1680"/>
    </w:pPr>
    <w:rPr>
      <w:rFonts w:cstheme="minorHAnsi"/>
      <w:sz w:val="18"/>
      <w:szCs w:val="21"/>
    </w:rPr>
  </w:style>
  <w:style w:type="paragraph" w:styleId="TOC9">
    <w:name w:val="toc 9"/>
    <w:basedOn w:val="Normal"/>
    <w:next w:val="Normal"/>
    <w:autoRedefine/>
    <w:uiPriority w:val="39"/>
    <w:unhideWhenUsed/>
    <w:rsid w:val="004A77B0"/>
    <w:pPr>
      <w:spacing w:after="0"/>
      <w:ind w:left="1920"/>
    </w:pPr>
    <w:rPr>
      <w:rFonts w:cstheme="minorHAnsi"/>
      <w:sz w:val="18"/>
      <w:szCs w:val="21"/>
    </w:rPr>
  </w:style>
  <w:style w:type="character" w:styleId="Hyperlink">
    <w:name w:val="Hyperlink"/>
    <w:basedOn w:val="DefaultParagraphFont"/>
    <w:uiPriority w:val="99"/>
    <w:unhideWhenUsed/>
    <w:rsid w:val="004A77B0"/>
    <w:rPr>
      <w:color w:val="0563C1" w:themeColor="hyperlink"/>
      <w:u w:val="single"/>
    </w:rPr>
  </w:style>
  <w:style w:type="paragraph" w:styleId="TOCHeading">
    <w:name w:val="TOC Heading"/>
    <w:basedOn w:val="Heading1"/>
    <w:next w:val="Normal"/>
    <w:uiPriority w:val="39"/>
    <w:unhideWhenUsed/>
    <w:qFormat/>
    <w:rsid w:val="00D57337"/>
    <w:pPr>
      <w:spacing w:line="259" w:lineRule="auto"/>
      <w:outlineLvl w:val="9"/>
    </w:pPr>
    <w:rPr>
      <w:lang w:eastAsia="en-US"/>
    </w:rPr>
  </w:style>
  <w:style w:type="paragraph" w:styleId="CommentSubject">
    <w:name w:val="annotation subject"/>
    <w:basedOn w:val="CommentText"/>
    <w:next w:val="CommentText"/>
    <w:link w:val="CommentSubjectChar"/>
    <w:uiPriority w:val="99"/>
    <w:semiHidden/>
    <w:unhideWhenUsed/>
    <w:rsid w:val="004B7B32"/>
    <w:pPr>
      <w:spacing w:after="0"/>
    </w:pPr>
    <w:rPr>
      <w:rFonts w:asciiTheme="minorHAnsi" w:eastAsiaTheme="minorEastAsia" w:hAnsiTheme="minorHAnsi"/>
      <w:b/>
      <w:bCs/>
      <w:lang w:eastAsia="zh-CN"/>
    </w:rPr>
  </w:style>
  <w:style w:type="character" w:customStyle="1" w:styleId="CommentSubjectChar">
    <w:name w:val="Comment Subject Char"/>
    <w:basedOn w:val="CommentTextChar"/>
    <w:link w:val="CommentSubject"/>
    <w:uiPriority w:val="99"/>
    <w:semiHidden/>
    <w:rsid w:val="004B7B32"/>
    <w:rPr>
      <w:rFonts w:ascii="Ideal Sans Light" w:eastAsiaTheme="minorHAnsi" w:hAnsi="Ideal Sans Light"/>
      <w:b/>
      <w:bCs/>
      <w:sz w:val="20"/>
      <w:szCs w:val="20"/>
      <w:lang w:eastAsia="en-US"/>
    </w:rPr>
  </w:style>
  <w:style w:type="character" w:styleId="UnresolvedMention">
    <w:name w:val="Unresolved Mention"/>
    <w:basedOn w:val="DefaultParagraphFont"/>
    <w:uiPriority w:val="99"/>
    <w:semiHidden/>
    <w:unhideWhenUsed/>
    <w:rsid w:val="00BA2BA4"/>
    <w:rPr>
      <w:color w:val="605E5C"/>
      <w:shd w:val="clear" w:color="auto" w:fill="E1DFDD"/>
    </w:rPr>
  </w:style>
  <w:style w:type="character" w:styleId="PlaceholderText">
    <w:name w:val="Placeholder Text"/>
    <w:basedOn w:val="DefaultParagraphFont"/>
    <w:uiPriority w:val="99"/>
    <w:semiHidden/>
    <w:rsid w:val="00A11674"/>
    <w:rPr>
      <w:color w:val="808080"/>
    </w:rPr>
  </w:style>
  <w:style w:type="paragraph" w:styleId="FootnoteText">
    <w:name w:val="footnote text"/>
    <w:basedOn w:val="Normal"/>
    <w:link w:val="FootnoteTextChar"/>
    <w:uiPriority w:val="99"/>
    <w:semiHidden/>
    <w:unhideWhenUsed/>
    <w:rsid w:val="0015317A"/>
    <w:pPr>
      <w:spacing w:line="240" w:lineRule="auto"/>
    </w:pPr>
    <w:rPr>
      <w:sz w:val="20"/>
      <w:szCs w:val="20"/>
    </w:rPr>
  </w:style>
  <w:style w:type="character" w:customStyle="1" w:styleId="FootnoteTextChar">
    <w:name w:val="Footnote Text Char"/>
    <w:basedOn w:val="DefaultParagraphFont"/>
    <w:link w:val="FootnoteText"/>
    <w:uiPriority w:val="99"/>
    <w:semiHidden/>
    <w:rsid w:val="0015317A"/>
    <w:rPr>
      <w:sz w:val="20"/>
      <w:szCs w:val="20"/>
    </w:rPr>
  </w:style>
  <w:style w:type="character" w:styleId="FootnoteReference">
    <w:name w:val="footnote reference"/>
    <w:basedOn w:val="DefaultParagraphFont"/>
    <w:uiPriority w:val="99"/>
    <w:semiHidden/>
    <w:unhideWhenUsed/>
    <w:rsid w:val="0015317A"/>
    <w:rPr>
      <w:vertAlign w:val="superscript"/>
    </w:rPr>
  </w:style>
  <w:style w:type="paragraph" w:styleId="NormalWeb">
    <w:name w:val="Normal (Web)"/>
    <w:basedOn w:val="Normal"/>
    <w:uiPriority w:val="99"/>
    <w:semiHidden/>
    <w:unhideWhenUsed/>
    <w:rsid w:val="001014A4"/>
    <w:pPr>
      <w:spacing w:before="100" w:beforeAutospacing="1" w:after="100" w:afterAutospacing="1" w:line="240" w:lineRule="auto"/>
    </w:pPr>
    <w:rPr>
      <w:rFonts w:ascii="Times New Roman" w:eastAsia="Times New Roman" w:hAnsi="Times New Roman" w:cs="Times New Roman"/>
      <w:lang w:bidi="he-IL"/>
    </w:rPr>
  </w:style>
  <w:style w:type="character" w:styleId="LineNumber">
    <w:name w:val="line number"/>
    <w:basedOn w:val="DefaultParagraphFont"/>
    <w:uiPriority w:val="99"/>
    <w:semiHidden/>
    <w:unhideWhenUsed/>
    <w:rsid w:val="00A63B35"/>
  </w:style>
  <w:style w:type="numbering" w:customStyle="1" w:styleId="CurrentList1">
    <w:name w:val="Current List1"/>
    <w:uiPriority w:val="99"/>
    <w:rsid w:val="00017EDF"/>
    <w:pPr>
      <w:numPr>
        <w:numId w:val="26"/>
      </w:numPr>
    </w:pPr>
  </w:style>
  <w:style w:type="numbering" w:customStyle="1" w:styleId="CurrentList2">
    <w:name w:val="Current List2"/>
    <w:uiPriority w:val="99"/>
    <w:rsid w:val="00017EDF"/>
    <w:pPr>
      <w:numPr>
        <w:numId w:val="27"/>
      </w:numPr>
    </w:pPr>
  </w:style>
  <w:style w:type="paragraph" w:customStyle="1" w:styleId="BoxReferences">
    <w:name w:val="Box References"/>
    <w:basedOn w:val="Box"/>
    <w:qFormat/>
    <w:rsid w:val="00DC0383"/>
    <w:pPr>
      <w:ind w:left="284" w:hanging="284"/>
    </w:pPr>
  </w:style>
  <w:style w:type="paragraph" w:customStyle="1" w:styleId="Notes">
    <w:name w:val="Notes"/>
    <w:basedOn w:val="Normal"/>
    <w:qFormat/>
    <w:rsid w:val="004533A2"/>
    <w:pPr>
      <w:tabs>
        <w:tab w:val="left" w:pos="709"/>
      </w:tabs>
      <w:spacing w:after="120" w:line="240" w:lineRule="auto"/>
      <w:ind w:left="709" w:hanging="709"/>
    </w:pPr>
    <w:rPr>
      <w:sz w:val="16"/>
    </w:rPr>
  </w:style>
  <w:style w:type="paragraph" w:customStyle="1" w:styleId="NotesAbbreviations">
    <w:name w:val="Notes Abbreviations"/>
    <w:basedOn w:val="Notes"/>
    <w:qFormat/>
    <w:rsid w:val="004533A2"/>
    <w:pPr>
      <w:ind w:left="0" w:firstLine="0"/>
    </w:pPr>
  </w:style>
  <w:style w:type="paragraph" w:styleId="TableofFigures">
    <w:name w:val="table of figures"/>
    <w:basedOn w:val="Normal"/>
    <w:next w:val="Normal"/>
    <w:uiPriority w:val="99"/>
    <w:unhideWhenUsed/>
    <w:rsid w:val="004B7F63"/>
    <w:pPr>
      <w:spacing w:after="0"/>
    </w:pPr>
  </w:style>
  <w:style w:type="paragraph" w:customStyle="1" w:styleId="References">
    <w:name w:val="References"/>
    <w:basedOn w:val="Normal"/>
    <w:qFormat/>
    <w:rsid w:val="00EC4CDE"/>
    <w:pPr>
      <w:ind w:left="567" w:hanging="567"/>
    </w:pPr>
    <w:rPr>
      <w:rFonts w:ascii="Calibri" w:eastAsia="Calibri" w:hAnsi="Calibri" w:cs="Calibri"/>
    </w:rPr>
  </w:style>
  <w:style w:type="paragraph" w:customStyle="1" w:styleId="Box">
    <w:name w:val="Box"/>
    <w:basedOn w:val="Normal"/>
    <w:qFormat/>
    <w:rsid w:val="00DE56CF"/>
    <w:pPr>
      <w:spacing w:after="120"/>
    </w:pPr>
    <w:rPr>
      <w:rFonts w:eastAsia="Calibri" w:cstheme="minorHAnsi"/>
      <w:color w:val="000000" w:themeColor="text1"/>
      <w:sz w:val="20"/>
      <w:szCs w:val="22"/>
    </w:rPr>
  </w:style>
  <w:style w:type="paragraph" w:customStyle="1" w:styleId="NotesBottom">
    <w:name w:val="Notes Bottom"/>
    <w:basedOn w:val="Notes"/>
    <w:qFormat/>
    <w:rsid w:val="004533A2"/>
    <w:pPr>
      <w:spacing w:after="360"/>
    </w:pPr>
  </w:style>
  <w:style w:type="character" w:styleId="Strong">
    <w:name w:val="Strong"/>
    <w:basedOn w:val="DefaultParagraphFont"/>
    <w:uiPriority w:val="22"/>
    <w:qFormat/>
    <w:rsid w:val="00A76DD5"/>
    <w:rPr>
      <w:b/>
      <w:bCs/>
    </w:rPr>
  </w:style>
  <w:style w:type="paragraph" w:styleId="ListNumber">
    <w:name w:val="List Number"/>
    <w:basedOn w:val="Normal"/>
    <w:uiPriority w:val="99"/>
    <w:semiHidden/>
    <w:unhideWhenUsed/>
    <w:rsid w:val="00732F58"/>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0211">
      <w:bodyDiv w:val="1"/>
      <w:marLeft w:val="0"/>
      <w:marRight w:val="0"/>
      <w:marTop w:val="0"/>
      <w:marBottom w:val="0"/>
      <w:divBdr>
        <w:top w:val="none" w:sz="0" w:space="0" w:color="auto"/>
        <w:left w:val="none" w:sz="0" w:space="0" w:color="auto"/>
        <w:bottom w:val="none" w:sz="0" w:space="0" w:color="auto"/>
        <w:right w:val="none" w:sz="0" w:space="0" w:color="auto"/>
      </w:divBdr>
      <w:divsChild>
        <w:div w:id="1052729728">
          <w:marLeft w:val="0"/>
          <w:marRight w:val="0"/>
          <w:marTop w:val="0"/>
          <w:marBottom w:val="0"/>
          <w:divBdr>
            <w:top w:val="none" w:sz="0" w:space="0" w:color="auto"/>
            <w:left w:val="none" w:sz="0" w:space="0" w:color="auto"/>
            <w:bottom w:val="none" w:sz="0" w:space="0" w:color="auto"/>
            <w:right w:val="none" w:sz="0" w:space="0" w:color="auto"/>
          </w:divBdr>
          <w:divsChild>
            <w:div w:id="949779720">
              <w:marLeft w:val="0"/>
              <w:marRight w:val="0"/>
              <w:marTop w:val="0"/>
              <w:marBottom w:val="0"/>
              <w:divBdr>
                <w:top w:val="none" w:sz="0" w:space="0" w:color="auto"/>
                <w:left w:val="none" w:sz="0" w:space="0" w:color="auto"/>
                <w:bottom w:val="none" w:sz="0" w:space="0" w:color="auto"/>
                <w:right w:val="none" w:sz="0" w:space="0" w:color="auto"/>
              </w:divBdr>
              <w:divsChild>
                <w:div w:id="630942422">
                  <w:marLeft w:val="0"/>
                  <w:marRight w:val="0"/>
                  <w:marTop w:val="0"/>
                  <w:marBottom w:val="0"/>
                  <w:divBdr>
                    <w:top w:val="none" w:sz="0" w:space="0" w:color="auto"/>
                    <w:left w:val="none" w:sz="0" w:space="0" w:color="auto"/>
                    <w:bottom w:val="none" w:sz="0" w:space="0" w:color="auto"/>
                    <w:right w:val="none" w:sz="0" w:space="0" w:color="auto"/>
                  </w:divBdr>
                  <w:divsChild>
                    <w:div w:id="248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28024">
      <w:bodyDiv w:val="1"/>
      <w:marLeft w:val="0"/>
      <w:marRight w:val="0"/>
      <w:marTop w:val="0"/>
      <w:marBottom w:val="0"/>
      <w:divBdr>
        <w:top w:val="none" w:sz="0" w:space="0" w:color="auto"/>
        <w:left w:val="none" w:sz="0" w:space="0" w:color="auto"/>
        <w:bottom w:val="none" w:sz="0" w:space="0" w:color="auto"/>
        <w:right w:val="none" w:sz="0" w:space="0" w:color="auto"/>
      </w:divBdr>
    </w:div>
    <w:div w:id="1029916478">
      <w:bodyDiv w:val="1"/>
      <w:marLeft w:val="0"/>
      <w:marRight w:val="0"/>
      <w:marTop w:val="0"/>
      <w:marBottom w:val="0"/>
      <w:divBdr>
        <w:top w:val="none" w:sz="0" w:space="0" w:color="auto"/>
        <w:left w:val="none" w:sz="0" w:space="0" w:color="auto"/>
        <w:bottom w:val="none" w:sz="0" w:space="0" w:color="auto"/>
        <w:right w:val="none" w:sz="0" w:space="0" w:color="auto"/>
      </w:divBdr>
      <w:divsChild>
        <w:div w:id="401488415">
          <w:marLeft w:val="0"/>
          <w:marRight w:val="0"/>
          <w:marTop w:val="0"/>
          <w:marBottom w:val="0"/>
          <w:divBdr>
            <w:top w:val="none" w:sz="0" w:space="0" w:color="auto"/>
            <w:left w:val="none" w:sz="0" w:space="0" w:color="auto"/>
            <w:bottom w:val="none" w:sz="0" w:space="0" w:color="auto"/>
            <w:right w:val="none" w:sz="0" w:space="0" w:color="auto"/>
          </w:divBdr>
          <w:divsChild>
            <w:div w:id="599068667">
              <w:marLeft w:val="0"/>
              <w:marRight w:val="0"/>
              <w:marTop w:val="0"/>
              <w:marBottom w:val="0"/>
              <w:divBdr>
                <w:top w:val="none" w:sz="0" w:space="0" w:color="auto"/>
                <w:left w:val="none" w:sz="0" w:space="0" w:color="auto"/>
                <w:bottom w:val="none" w:sz="0" w:space="0" w:color="auto"/>
                <w:right w:val="none" w:sz="0" w:space="0" w:color="auto"/>
              </w:divBdr>
              <w:divsChild>
                <w:div w:id="1605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7570">
      <w:bodyDiv w:val="1"/>
      <w:marLeft w:val="0"/>
      <w:marRight w:val="0"/>
      <w:marTop w:val="0"/>
      <w:marBottom w:val="0"/>
      <w:divBdr>
        <w:top w:val="none" w:sz="0" w:space="0" w:color="auto"/>
        <w:left w:val="none" w:sz="0" w:space="0" w:color="auto"/>
        <w:bottom w:val="none" w:sz="0" w:space="0" w:color="auto"/>
        <w:right w:val="none" w:sz="0" w:space="0" w:color="auto"/>
      </w:divBdr>
      <w:divsChild>
        <w:div w:id="1915818037">
          <w:marLeft w:val="0"/>
          <w:marRight w:val="0"/>
          <w:marTop w:val="0"/>
          <w:marBottom w:val="0"/>
          <w:divBdr>
            <w:top w:val="none" w:sz="0" w:space="0" w:color="auto"/>
            <w:left w:val="none" w:sz="0" w:space="0" w:color="auto"/>
            <w:bottom w:val="none" w:sz="0" w:space="0" w:color="auto"/>
            <w:right w:val="none" w:sz="0" w:space="0" w:color="auto"/>
          </w:divBdr>
          <w:divsChild>
            <w:div w:id="947083456">
              <w:marLeft w:val="0"/>
              <w:marRight w:val="0"/>
              <w:marTop w:val="0"/>
              <w:marBottom w:val="0"/>
              <w:divBdr>
                <w:top w:val="none" w:sz="0" w:space="0" w:color="auto"/>
                <w:left w:val="none" w:sz="0" w:space="0" w:color="auto"/>
                <w:bottom w:val="none" w:sz="0" w:space="0" w:color="auto"/>
                <w:right w:val="none" w:sz="0" w:space="0" w:color="auto"/>
              </w:divBdr>
              <w:divsChild>
                <w:div w:id="2029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249">
      <w:bodyDiv w:val="1"/>
      <w:marLeft w:val="0"/>
      <w:marRight w:val="0"/>
      <w:marTop w:val="0"/>
      <w:marBottom w:val="0"/>
      <w:divBdr>
        <w:top w:val="none" w:sz="0" w:space="0" w:color="auto"/>
        <w:left w:val="none" w:sz="0" w:space="0" w:color="auto"/>
        <w:bottom w:val="none" w:sz="0" w:space="0" w:color="auto"/>
        <w:right w:val="none" w:sz="0" w:space="0" w:color="auto"/>
      </w:divBdr>
    </w:div>
    <w:div w:id="1264653003">
      <w:bodyDiv w:val="1"/>
      <w:marLeft w:val="0"/>
      <w:marRight w:val="0"/>
      <w:marTop w:val="0"/>
      <w:marBottom w:val="0"/>
      <w:divBdr>
        <w:top w:val="none" w:sz="0" w:space="0" w:color="auto"/>
        <w:left w:val="none" w:sz="0" w:space="0" w:color="auto"/>
        <w:bottom w:val="none" w:sz="0" w:space="0" w:color="auto"/>
        <w:right w:val="none" w:sz="0" w:space="0" w:color="auto"/>
      </w:divBdr>
      <w:divsChild>
        <w:div w:id="191918582">
          <w:marLeft w:val="0"/>
          <w:marRight w:val="0"/>
          <w:marTop w:val="0"/>
          <w:marBottom w:val="0"/>
          <w:divBdr>
            <w:top w:val="none" w:sz="0" w:space="0" w:color="auto"/>
            <w:left w:val="none" w:sz="0" w:space="0" w:color="auto"/>
            <w:bottom w:val="none" w:sz="0" w:space="0" w:color="auto"/>
            <w:right w:val="none" w:sz="0" w:space="0" w:color="auto"/>
          </w:divBdr>
          <w:divsChild>
            <w:div w:id="769159730">
              <w:marLeft w:val="0"/>
              <w:marRight w:val="0"/>
              <w:marTop w:val="0"/>
              <w:marBottom w:val="0"/>
              <w:divBdr>
                <w:top w:val="none" w:sz="0" w:space="0" w:color="auto"/>
                <w:left w:val="none" w:sz="0" w:space="0" w:color="auto"/>
                <w:bottom w:val="none" w:sz="0" w:space="0" w:color="auto"/>
                <w:right w:val="none" w:sz="0" w:space="0" w:color="auto"/>
              </w:divBdr>
            </w:div>
          </w:divsChild>
        </w:div>
        <w:div w:id="511384721">
          <w:marLeft w:val="0"/>
          <w:marRight w:val="0"/>
          <w:marTop w:val="0"/>
          <w:marBottom w:val="0"/>
          <w:divBdr>
            <w:top w:val="none" w:sz="0" w:space="0" w:color="auto"/>
            <w:left w:val="none" w:sz="0" w:space="0" w:color="auto"/>
            <w:bottom w:val="none" w:sz="0" w:space="0" w:color="auto"/>
            <w:right w:val="none" w:sz="0" w:space="0" w:color="auto"/>
          </w:divBdr>
          <w:divsChild>
            <w:div w:id="342704363">
              <w:marLeft w:val="0"/>
              <w:marRight w:val="0"/>
              <w:marTop w:val="0"/>
              <w:marBottom w:val="0"/>
              <w:divBdr>
                <w:top w:val="none" w:sz="0" w:space="0" w:color="auto"/>
                <w:left w:val="none" w:sz="0" w:space="0" w:color="auto"/>
                <w:bottom w:val="none" w:sz="0" w:space="0" w:color="auto"/>
                <w:right w:val="none" w:sz="0" w:space="0" w:color="auto"/>
              </w:divBdr>
            </w:div>
            <w:div w:id="552811341">
              <w:marLeft w:val="0"/>
              <w:marRight w:val="0"/>
              <w:marTop w:val="0"/>
              <w:marBottom w:val="0"/>
              <w:divBdr>
                <w:top w:val="none" w:sz="0" w:space="0" w:color="auto"/>
                <w:left w:val="none" w:sz="0" w:space="0" w:color="auto"/>
                <w:bottom w:val="none" w:sz="0" w:space="0" w:color="auto"/>
                <w:right w:val="none" w:sz="0" w:space="0" w:color="auto"/>
              </w:divBdr>
            </w:div>
          </w:divsChild>
        </w:div>
        <w:div w:id="555549006">
          <w:marLeft w:val="0"/>
          <w:marRight w:val="0"/>
          <w:marTop w:val="0"/>
          <w:marBottom w:val="0"/>
          <w:divBdr>
            <w:top w:val="none" w:sz="0" w:space="0" w:color="auto"/>
            <w:left w:val="none" w:sz="0" w:space="0" w:color="auto"/>
            <w:bottom w:val="none" w:sz="0" w:space="0" w:color="auto"/>
            <w:right w:val="none" w:sz="0" w:space="0" w:color="auto"/>
          </w:divBdr>
          <w:divsChild>
            <w:div w:id="1642610203">
              <w:marLeft w:val="0"/>
              <w:marRight w:val="0"/>
              <w:marTop w:val="0"/>
              <w:marBottom w:val="0"/>
              <w:divBdr>
                <w:top w:val="none" w:sz="0" w:space="0" w:color="auto"/>
                <w:left w:val="none" w:sz="0" w:space="0" w:color="auto"/>
                <w:bottom w:val="none" w:sz="0" w:space="0" w:color="auto"/>
                <w:right w:val="none" w:sz="0" w:space="0" w:color="auto"/>
              </w:divBdr>
            </w:div>
          </w:divsChild>
        </w:div>
        <w:div w:id="559831811">
          <w:marLeft w:val="0"/>
          <w:marRight w:val="0"/>
          <w:marTop w:val="0"/>
          <w:marBottom w:val="0"/>
          <w:divBdr>
            <w:top w:val="none" w:sz="0" w:space="0" w:color="auto"/>
            <w:left w:val="none" w:sz="0" w:space="0" w:color="auto"/>
            <w:bottom w:val="none" w:sz="0" w:space="0" w:color="auto"/>
            <w:right w:val="none" w:sz="0" w:space="0" w:color="auto"/>
          </w:divBdr>
          <w:divsChild>
            <w:div w:id="2114283575">
              <w:marLeft w:val="0"/>
              <w:marRight w:val="0"/>
              <w:marTop w:val="0"/>
              <w:marBottom w:val="0"/>
              <w:divBdr>
                <w:top w:val="none" w:sz="0" w:space="0" w:color="auto"/>
                <w:left w:val="none" w:sz="0" w:space="0" w:color="auto"/>
                <w:bottom w:val="none" w:sz="0" w:space="0" w:color="auto"/>
                <w:right w:val="none" w:sz="0" w:space="0" w:color="auto"/>
              </w:divBdr>
            </w:div>
          </w:divsChild>
        </w:div>
        <w:div w:id="648946366">
          <w:marLeft w:val="0"/>
          <w:marRight w:val="0"/>
          <w:marTop w:val="0"/>
          <w:marBottom w:val="0"/>
          <w:divBdr>
            <w:top w:val="none" w:sz="0" w:space="0" w:color="auto"/>
            <w:left w:val="none" w:sz="0" w:space="0" w:color="auto"/>
            <w:bottom w:val="none" w:sz="0" w:space="0" w:color="auto"/>
            <w:right w:val="none" w:sz="0" w:space="0" w:color="auto"/>
          </w:divBdr>
          <w:divsChild>
            <w:div w:id="1596354132">
              <w:marLeft w:val="0"/>
              <w:marRight w:val="0"/>
              <w:marTop w:val="0"/>
              <w:marBottom w:val="0"/>
              <w:divBdr>
                <w:top w:val="none" w:sz="0" w:space="0" w:color="auto"/>
                <w:left w:val="none" w:sz="0" w:space="0" w:color="auto"/>
                <w:bottom w:val="none" w:sz="0" w:space="0" w:color="auto"/>
                <w:right w:val="none" w:sz="0" w:space="0" w:color="auto"/>
              </w:divBdr>
            </w:div>
          </w:divsChild>
        </w:div>
        <w:div w:id="938492096">
          <w:marLeft w:val="0"/>
          <w:marRight w:val="0"/>
          <w:marTop w:val="0"/>
          <w:marBottom w:val="0"/>
          <w:divBdr>
            <w:top w:val="none" w:sz="0" w:space="0" w:color="auto"/>
            <w:left w:val="none" w:sz="0" w:space="0" w:color="auto"/>
            <w:bottom w:val="none" w:sz="0" w:space="0" w:color="auto"/>
            <w:right w:val="none" w:sz="0" w:space="0" w:color="auto"/>
          </w:divBdr>
          <w:divsChild>
            <w:div w:id="493766469">
              <w:marLeft w:val="0"/>
              <w:marRight w:val="0"/>
              <w:marTop w:val="0"/>
              <w:marBottom w:val="0"/>
              <w:divBdr>
                <w:top w:val="none" w:sz="0" w:space="0" w:color="auto"/>
                <w:left w:val="none" w:sz="0" w:space="0" w:color="auto"/>
                <w:bottom w:val="none" w:sz="0" w:space="0" w:color="auto"/>
                <w:right w:val="none" w:sz="0" w:space="0" w:color="auto"/>
              </w:divBdr>
            </w:div>
          </w:divsChild>
        </w:div>
        <w:div w:id="976759261">
          <w:marLeft w:val="0"/>
          <w:marRight w:val="0"/>
          <w:marTop w:val="0"/>
          <w:marBottom w:val="0"/>
          <w:divBdr>
            <w:top w:val="none" w:sz="0" w:space="0" w:color="auto"/>
            <w:left w:val="none" w:sz="0" w:space="0" w:color="auto"/>
            <w:bottom w:val="none" w:sz="0" w:space="0" w:color="auto"/>
            <w:right w:val="none" w:sz="0" w:space="0" w:color="auto"/>
          </w:divBdr>
          <w:divsChild>
            <w:div w:id="81688993">
              <w:marLeft w:val="0"/>
              <w:marRight w:val="0"/>
              <w:marTop w:val="0"/>
              <w:marBottom w:val="0"/>
              <w:divBdr>
                <w:top w:val="none" w:sz="0" w:space="0" w:color="auto"/>
                <w:left w:val="none" w:sz="0" w:space="0" w:color="auto"/>
                <w:bottom w:val="none" w:sz="0" w:space="0" w:color="auto"/>
                <w:right w:val="none" w:sz="0" w:space="0" w:color="auto"/>
              </w:divBdr>
            </w:div>
          </w:divsChild>
        </w:div>
        <w:div w:id="1243881054">
          <w:marLeft w:val="0"/>
          <w:marRight w:val="0"/>
          <w:marTop w:val="0"/>
          <w:marBottom w:val="0"/>
          <w:divBdr>
            <w:top w:val="none" w:sz="0" w:space="0" w:color="auto"/>
            <w:left w:val="none" w:sz="0" w:space="0" w:color="auto"/>
            <w:bottom w:val="none" w:sz="0" w:space="0" w:color="auto"/>
            <w:right w:val="none" w:sz="0" w:space="0" w:color="auto"/>
          </w:divBdr>
          <w:divsChild>
            <w:div w:id="592586993">
              <w:marLeft w:val="0"/>
              <w:marRight w:val="0"/>
              <w:marTop w:val="0"/>
              <w:marBottom w:val="0"/>
              <w:divBdr>
                <w:top w:val="none" w:sz="0" w:space="0" w:color="auto"/>
                <w:left w:val="none" w:sz="0" w:space="0" w:color="auto"/>
                <w:bottom w:val="none" w:sz="0" w:space="0" w:color="auto"/>
                <w:right w:val="none" w:sz="0" w:space="0" w:color="auto"/>
              </w:divBdr>
            </w:div>
          </w:divsChild>
        </w:div>
        <w:div w:id="1288779052">
          <w:marLeft w:val="0"/>
          <w:marRight w:val="0"/>
          <w:marTop w:val="0"/>
          <w:marBottom w:val="0"/>
          <w:divBdr>
            <w:top w:val="none" w:sz="0" w:space="0" w:color="auto"/>
            <w:left w:val="none" w:sz="0" w:space="0" w:color="auto"/>
            <w:bottom w:val="none" w:sz="0" w:space="0" w:color="auto"/>
            <w:right w:val="none" w:sz="0" w:space="0" w:color="auto"/>
          </w:divBdr>
          <w:divsChild>
            <w:div w:id="551157962">
              <w:marLeft w:val="0"/>
              <w:marRight w:val="0"/>
              <w:marTop w:val="0"/>
              <w:marBottom w:val="0"/>
              <w:divBdr>
                <w:top w:val="none" w:sz="0" w:space="0" w:color="auto"/>
                <w:left w:val="none" w:sz="0" w:space="0" w:color="auto"/>
                <w:bottom w:val="none" w:sz="0" w:space="0" w:color="auto"/>
                <w:right w:val="none" w:sz="0" w:space="0" w:color="auto"/>
              </w:divBdr>
            </w:div>
          </w:divsChild>
        </w:div>
        <w:div w:id="1420830103">
          <w:marLeft w:val="0"/>
          <w:marRight w:val="0"/>
          <w:marTop w:val="0"/>
          <w:marBottom w:val="0"/>
          <w:divBdr>
            <w:top w:val="none" w:sz="0" w:space="0" w:color="auto"/>
            <w:left w:val="none" w:sz="0" w:space="0" w:color="auto"/>
            <w:bottom w:val="none" w:sz="0" w:space="0" w:color="auto"/>
            <w:right w:val="none" w:sz="0" w:space="0" w:color="auto"/>
          </w:divBdr>
          <w:divsChild>
            <w:div w:id="184559464">
              <w:marLeft w:val="0"/>
              <w:marRight w:val="0"/>
              <w:marTop w:val="0"/>
              <w:marBottom w:val="0"/>
              <w:divBdr>
                <w:top w:val="none" w:sz="0" w:space="0" w:color="auto"/>
                <w:left w:val="none" w:sz="0" w:space="0" w:color="auto"/>
                <w:bottom w:val="none" w:sz="0" w:space="0" w:color="auto"/>
                <w:right w:val="none" w:sz="0" w:space="0" w:color="auto"/>
              </w:divBdr>
            </w:div>
          </w:divsChild>
        </w:div>
        <w:div w:id="1637025360">
          <w:marLeft w:val="0"/>
          <w:marRight w:val="0"/>
          <w:marTop w:val="0"/>
          <w:marBottom w:val="0"/>
          <w:divBdr>
            <w:top w:val="none" w:sz="0" w:space="0" w:color="auto"/>
            <w:left w:val="none" w:sz="0" w:space="0" w:color="auto"/>
            <w:bottom w:val="none" w:sz="0" w:space="0" w:color="auto"/>
            <w:right w:val="none" w:sz="0" w:space="0" w:color="auto"/>
          </w:divBdr>
          <w:divsChild>
            <w:div w:id="465970548">
              <w:marLeft w:val="0"/>
              <w:marRight w:val="0"/>
              <w:marTop w:val="0"/>
              <w:marBottom w:val="0"/>
              <w:divBdr>
                <w:top w:val="none" w:sz="0" w:space="0" w:color="auto"/>
                <w:left w:val="none" w:sz="0" w:space="0" w:color="auto"/>
                <w:bottom w:val="none" w:sz="0" w:space="0" w:color="auto"/>
                <w:right w:val="none" w:sz="0" w:space="0" w:color="auto"/>
              </w:divBdr>
            </w:div>
          </w:divsChild>
        </w:div>
        <w:div w:id="1822425782">
          <w:marLeft w:val="0"/>
          <w:marRight w:val="0"/>
          <w:marTop w:val="0"/>
          <w:marBottom w:val="0"/>
          <w:divBdr>
            <w:top w:val="none" w:sz="0" w:space="0" w:color="auto"/>
            <w:left w:val="none" w:sz="0" w:space="0" w:color="auto"/>
            <w:bottom w:val="none" w:sz="0" w:space="0" w:color="auto"/>
            <w:right w:val="none" w:sz="0" w:space="0" w:color="auto"/>
          </w:divBdr>
          <w:divsChild>
            <w:div w:id="11469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780">
      <w:bodyDiv w:val="1"/>
      <w:marLeft w:val="0"/>
      <w:marRight w:val="0"/>
      <w:marTop w:val="0"/>
      <w:marBottom w:val="0"/>
      <w:divBdr>
        <w:top w:val="none" w:sz="0" w:space="0" w:color="auto"/>
        <w:left w:val="none" w:sz="0" w:space="0" w:color="auto"/>
        <w:bottom w:val="none" w:sz="0" w:space="0" w:color="auto"/>
        <w:right w:val="none" w:sz="0" w:space="0" w:color="auto"/>
      </w:divBdr>
      <w:divsChild>
        <w:div w:id="900023760">
          <w:marLeft w:val="0"/>
          <w:marRight w:val="0"/>
          <w:marTop w:val="0"/>
          <w:marBottom w:val="0"/>
          <w:divBdr>
            <w:top w:val="none" w:sz="0" w:space="0" w:color="auto"/>
            <w:left w:val="none" w:sz="0" w:space="0" w:color="auto"/>
            <w:bottom w:val="none" w:sz="0" w:space="0" w:color="auto"/>
            <w:right w:val="none" w:sz="0" w:space="0" w:color="auto"/>
          </w:divBdr>
          <w:divsChild>
            <w:div w:id="663898001">
              <w:marLeft w:val="0"/>
              <w:marRight w:val="0"/>
              <w:marTop w:val="0"/>
              <w:marBottom w:val="0"/>
              <w:divBdr>
                <w:top w:val="none" w:sz="0" w:space="0" w:color="auto"/>
                <w:left w:val="none" w:sz="0" w:space="0" w:color="auto"/>
                <w:bottom w:val="none" w:sz="0" w:space="0" w:color="auto"/>
                <w:right w:val="none" w:sz="0" w:space="0" w:color="auto"/>
              </w:divBdr>
              <w:divsChild>
                <w:div w:id="454786748">
                  <w:marLeft w:val="0"/>
                  <w:marRight w:val="0"/>
                  <w:marTop w:val="0"/>
                  <w:marBottom w:val="0"/>
                  <w:divBdr>
                    <w:top w:val="none" w:sz="0" w:space="0" w:color="auto"/>
                    <w:left w:val="none" w:sz="0" w:space="0" w:color="auto"/>
                    <w:bottom w:val="none" w:sz="0" w:space="0" w:color="auto"/>
                    <w:right w:val="none" w:sz="0" w:space="0" w:color="auto"/>
                  </w:divBdr>
                  <w:divsChild>
                    <w:div w:id="2001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86165">
      <w:bodyDiv w:val="1"/>
      <w:marLeft w:val="0"/>
      <w:marRight w:val="0"/>
      <w:marTop w:val="0"/>
      <w:marBottom w:val="0"/>
      <w:divBdr>
        <w:top w:val="none" w:sz="0" w:space="0" w:color="auto"/>
        <w:left w:val="none" w:sz="0" w:space="0" w:color="auto"/>
        <w:bottom w:val="none" w:sz="0" w:space="0" w:color="auto"/>
        <w:right w:val="none" w:sz="0" w:space="0" w:color="auto"/>
      </w:divBdr>
    </w:div>
    <w:div w:id="1662856244">
      <w:bodyDiv w:val="1"/>
      <w:marLeft w:val="0"/>
      <w:marRight w:val="0"/>
      <w:marTop w:val="0"/>
      <w:marBottom w:val="0"/>
      <w:divBdr>
        <w:top w:val="none" w:sz="0" w:space="0" w:color="auto"/>
        <w:left w:val="none" w:sz="0" w:space="0" w:color="auto"/>
        <w:bottom w:val="none" w:sz="0" w:space="0" w:color="auto"/>
        <w:right w:val="none" w:sz="0" w:space="0" w:color="auto"/>
      </w:divBdr>
      <w:divsChild>
        <w:div w:id="913665948">
          <w:marLeft w:val="0"/>
          <w:marRight w:val="0"/>
          <w:marTop w:val="0"/>
          <w:marBottom w:val="0"/>
          <w:divBdr>
            <w:top w:val="none" w:sz="0" w:space="0" w:color="auto"/>
            <w:left w:val="none" w:sz="0" w:space="0" w:color="auto"/>
            <w:bottom w:val="none" w:sz="0" w:space="0" w:color="auto"/>
            <w:right w:val="none" w:sz="0" w:space="0" w:color="auto"/>
          </w:divBdr>
          <w:divsChild>
            <w:div w:id="1752198910">
              <w:marLeft w:val="0"/>
              <w:marRight w:val="0"/>
              <w:marTop w:val="0"/>
              <w:marBottom w:val="0"/>
              <w:divBdr>
                <w:top w:val="none" w:sz="0" w:space="0" w:color="auto"/>
                <w:left w:val="none" w:sz="0" w:space="0" w:color="auto"/>
                <w:bottom w:val="none" w:sz="0" w:space="0" w:color="auto"/>
                <w:right w:val="none" w:sz="0" w:space="0" w:color="auto"/>
              </w:divBdr>
              <w:divsChild>
                <w:div w:id="369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Bal16</b:Tag>
    <b:SourceType>Book</b:SourceType>
    <b:Guid>{36896628-A213-2542-98D6-F87EC18D2B36}</b:Guid>
    <b:Title>The great convergence: Information technology and the new globalization</b:Title>
    <b:Publisher>Harvard University Press</b:Publisher>
    <b:City>Cambridge, MA</b:City>
    <b:Year>2016</b:Year>
    <b:Author>
      <b:Author>
        <b:NameList>
          <b:Person>
            <b:Last>Baldwin</b:Last>
            <b:First>R.</b:First>
          </b:Person>
        </b:NameList>
      </b:Author>
    </b:Author>
    <b:RefOrder>1</b:RefOrder>
  </b:Source>
  <b:Source>
    <b:Tag>Hum01</b:Tag>
    <b:SourceType>JournalArticle</b:SourceType>
    <b:Guid>{B14E5DCD-2BE8-FD44-AD5B-AEC8D2C9F19C}</b:Guid>
    <b:Author>
      <b:Author>
        <b:NameList>
          <b:Person>
            <b:Last>Hummels</b:Last>
            <b:First>D</b:First>
          </b:Person>
          <b:Person>
            <b:Last>Ishii</b:Last>
            <b:First>J.</b:First>
          </b:Person>
          <b:Person>
            <b:Last>Yi</b:Last>
            <b:First>K.</b:First>
          </b:Person>
        </b:NameList>
      </b:Author>
    </b:Author>
    <b:Title>The nature and growth of vertical specialization in world trade</b:Title>
    <b:Publisher>Journal of International Economics</b:Publisher>
    <b:Year>2001</b:Year>
    <b:Pages>75–96</b:Pages>
    <b:Volume>54</b:Volume>
    <b:Issue>1</b:Issue>
    <b:RefOrder>2</b:RefOrder>
  </b:Source>
  <b:Source>
    <b:Tag>Ded10</b:Tag>
    <b:SourceType>JournalArticle</b:SourceType>
    <b:Guid>{393502DD-9D57-F142-A39A-93A4BB911100}</b:Guid>
    <b:Author>
      <b:Author>
        <b:NameList>
          <b:Person>
            <b:Last>Dedrick</b:Last>
            <b:First>J.</b:First>
          </b:Person>
          <b:Person>
            <b:Last>Kraemer</b:Last>
            <b:First>K.</b:First>
            <b:Middle>L.</b:Middle>
          </b:Person>
          <b:Person>
            <b:Last>Linden</b:Last>
            <b:First>G.</b:First>
          </b:Person>
        </b:NameList>
      </b:Author>
    </b:Author>
    <b:Title>Who profits from innovation in global value chains? A study of the iPod and notebook PCs</b:Title>
    <b:JournalName>Industrial and corporate change</b:JournalName>
    <b:Year>2010</b:Year>
    <b:Pages>81–116</b:Pages>
    <b:Volume>19</b:Volume>
    <b:Issue>1</b:Issue>
    <b:RefOrder>3</b:RefOrder>
  </b:Source>
  <b:Source>
    <b:Tag>Tim15</b:Tag>
    <b:SourceType>JournalArticle</b:SourceType>
    <b:Guid>{A688B1A5-1C21-9147-8724-7FBB8F32C6FE}</b:Guid>
    <b:Author>
      <b:Author>
        <b:NameList>
          <b:Person>
            <b:Last>Timmer</b:Last>
            <b:First>M.</b:First>
            <b:Middle>P.</b:Middle>
          </b:Person>
          <b:Person>
            <b:Last>Dietzenbacher</b:Last>
            <b:First>E.</b:First>
          </b:Person>
          <b:Person>
            <b:Last>Los</b:Last>
            <b:First>B.</b:First>
          </b:Person>
          <b:Person>
            <b:Last>Stehrer</b:Last>
            <b:First>R.</b:First>
          </b:Person>
          <b:Person>
            <b:Last>de Vries</b:Last>
            <b:First>G.</b:First>
            <b:Middle>J.</b:Middle>
          </b:Person>
        </b:NameList>
      </b:Author>
    </b:Author>
    <b:Title>An illustrated user guide to the World Input-Output Database: The case of global automotive production</b:Title>
    <b:Year>2015</b:Year>
    <b:JournalName>Review of International Economics</b:JournalName>
    <b:Pages>575–605</b:Pages>
    <b:Volume>23</b:Volume>
    <b:Issue>3</b:Issue>
    <b:RefOrder>4</b:RefOrder>
  </b:Source>
  <b:Source>
    <b:Tag>The20</b:Tag>
    <b:SourceType>JournalArticle</b:SourceType>
    <b:Guid>{7BDEB2A4-A42A-E842-BF78-69462B467D25}</b:Guid>
    <b:Title>If you thought the trade war was bad for global commerce...</b:Title>
    <b:Year>2020</b:Year>
    <b:Author>
      <b:Author>
        <b:Corporate>The Economist</b:Corporate>
      </b:Author>
    </b:Author>
    <b:JournalName>The Economist</b:JournalName>
    <b:Month>March</b:Month>
    <b:Day>26</b:Day>
    <b:URL>https://www.economist.com/finance-and-economics/2020/03/26/if-you-thought-the-trade-war-was-bad-for-global-commerce</b:URL>
    <b:RefOrder>5</b:RefOrder>
  </b:Source>
  <b:Source>
    <b:Tag>The19</b:Tag>
    <b:SourceType>JournalArticle</b:SourceType>
    <b:Guid>{66B38D17-F426-AC4C-BF49-B591B7328235}</b:Guid>
    <b:Author>
      <b:Author>
        <b:Corporate>The Economist</b:Corporate>
      </b:Author>
    </b:Author>
    <b:Title>Amazon and Alibaba are pacesetters of the next supply-chain revolution</b:Title>
    <b:JournalName>The Economist</b:JournalName>
    <b:Year>2019</b:Year>
    <b:Month>July</b:Month>
    <b:Day>11</b:Day>
    <b:URL>https://www.economist.com/special-report/2019/07/11/amazon-and-alibaba-are-pacesetters-of-the-next-supply-chain-revolution</b:URL>
    <b:RefOrder>6</b:RefOrder>
  </b:Source>
  <b:Source>
    <b:Tag>Leo36</b:Tag>
    <b:SourceType>JournalArticle</b:SourceType>
    <b:Guid>{9644974D-2455-A84D-83FC-352A66A8CF9B}</b:Guid>
    <b:Author>
      <b:Author>
        <b:NameList>
          <b:Person>
            <b:Last>Leontief</b:Last>
            <b:First>W.</b:First>
          </b:Person>
        </b:NameList>
      </b:Author>
    </b:Author>
    <b:Title>Quantitative input and output relations in the economic system of the United States</b:Title>
    <b:JournalName>Review of Economics and Statistics</b:JournalName>
    <b:Year>1936</b:Year>
    <b:Pages>105–125</b:Pages>
    <b:Volume>18</b:Volume>
    <b:Issue>3</b:Issue>
    <b:RefOrder>7</b:RefOrder>
  </b:Source>
  <b:Source>
    <b:Tag>Joh12</b:Tag>
    <b:SourceType>JournalArticle</b:SourceType>
    <b:Guid>{135E3DF2-3F32-D34B-B5C4-1BEDCECD504A}</b:Guid>
    <b:Author>
      <b:Author>
        <b:NameList>
          <b:Person>
            <b:Last>Johnson</b:Last>
            <b:First>R.</b:First>
            <b:Middle>C.</b:Middle>
          </b:Person>
          <b:Person>
            <b:Last>Noguera</b:Last>
            <b:First>G.</b:First>
          </b:Person>
        </b:NameList>
      </b:Author>
    </b:Author>
    <b:Title>Accounting for intermediates: Production sharing and trade in value added</b:Title>
    <b:JournalName>Journal of International Economics</b:JournalName>
    <b:Year>2012</b:Year>
    <b:Pages>224–236</b:Pages>
    <b:Volume>86</b:Volume>
    <b:Issue>2</b:Issue>
    <b:RefOrder>8</b:RefOrder>
  </b:Source>
  <b:Source>
    <b:Tag>Ant12</b:Tag>
    <b:SourceType>JournalArticle</b:SourceType>
    <b:Guid>{19970FEF-1FED-2445-8F82-E55760D76904}</b:Guid>
    <b:Author>
      <b:Author>
        <b:NameList>
          <b:Person>
            <b:Last>Antràs</b:Last>
            <b:First>P.</b:First>
          </b:Person>
          <b:Person>
            <b:Last>Chor</b:Last>
            <b:First>D.</b:First>
          </b:Person>
          <b:Person>
            <b:Last>Fally</b:Last>
            <b:First>T.</b:First>
          </b:Person>
          <b:Person>
            <b:Last>Hillberry</b:Last>
            <b:First>R.</b:First>
          </b:Person>
        </b:NameList>
      </b:Author>
    </b:Author>
    <b:Title>Measuring the upstreamness of production and trade flows</b:Title>
    <b:JournalName>American Economic Review: Papers and Proceedings</b:JournalName>
    <b:Year>2012</b:Year>
    <b:Pages>412–416</b:Pages>
    <b:Volume>102</b:Volume>
    <b:Issue>3</b:Issue>
    <b:RefOrder>9</b:RefOrder>
  </b:Source>
  <b:Source>
    <b:Tag>Koo14</b:Tag>
    <b:SourceType>JournalArticle</b:SourceType>
    <b:Guid>{F6933755-72A3-3244-ADE6-AF4ECB840368}</b:Guid>
    <b:Author>
      <b:Author>
        <b:NameList>
          <b:Person>
            <b:Last>Koopman</b:Last>
            <b:First>R.</b:First>
          </b:Person>
          <b:Person>
            <b:Last>Wang</b:Last>
            <b:First>Z.</b:First>
          </b:Person>
          <b:Person>
            <b:Last>Wei</b:Last>
            <b:First>S.</b:First>
          </b:Person>
        </b:NameList>
      </b:Author>
    </b:Author>
    <b:Title>Tracing value-added and double counting in gross exports</b:Title>
    <b:JournalName>American Economic Review</b:JournalName>
    <b:Year>2014</b:Year>
    <b:Pages>459–494</b:Pages>
    <b:Volume>104</b:Volume>
    <b:Issue>2</b:Issue>
    <b:RefOrder>10</b:RefOrder>
  </b:Source>
  <b:Source>
    <b:Tag>Wan18</b:Tag>
    <b:SourceType>Report</b:SourceType>
    <b:Guid>{C66585A7-A661-B749-95A3-E4939C18C2CC}</b:Guid>
    <b:Author>
      <b:Author>
        <b:NameList>
          <b:Person>
            <b:Last>Wang</b:Last>
            <b:First>Z.</b:First>
          </b:Person>
          <b:Person>
            <b:Last>Wei</b:Last>
            <b:First>S.</b:First>
          </b:Person>
          <b:Person>
            <b:Last>Zhu</b:Last>
            <b:First>K.</b:First>
          </b:Person>
        </b:NameList>
      </b:Author>
    </b:Author>
    <b:Title>Quantifying international production sharing at the bilateral and sector levels</b:Title>
    <b:Year>2018</b:Year>
    <b:Publisher>National Bureau of Economic Research</b:Publisher>
    <b:City>NBER Working Paper No. 19677. Cambridge, MA</b:City>
    <b:RefOrder>11</b:RefOrder>
  </b:Source>
</b:Sources>
</file>

<file path=customXml/itemProps1.xml><?xml version="1.0" encoding="utf-8"?>
<ds:datastoreItem xmlns:ds="http://schemas.openxmlformats.org/officeDocument/2006/customXml" ds:itemID="{EBDF7A3A-D3A7-E24E-A946-A44B1621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14</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Anthony Luigi S. Reyes</dc:creator>
  <cp:keywords/>
  <dc:description/>
  <cp:lastModifiedBy>Kenneth Reyes</cp:lastModifiedBy>
  <cp:revision>4551</cp:revision>
  <cp:lastPrinted>2021-01-30T01:52:00Z</cp:lastPrinted>
  <dcterms:created xsi:type="dcterms:W3CDTF">2020-09-20T15:09:00Z</dcterms:created>
  <dcterms:modified xsi:type="dcterms:W3CDTF">2023-06-27T09:35:00Z</dcterms:modified>
</cp:coreProperties>
</file>