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84BF3" w14:textId="193659FC" w:rsidR="00E47843" w:rsidRDefault="00E47843" w:rsidP="00E47843"/>
    <w:p w14:paraId="5526CE92" w14:textId="4CCF9AF5" w:rsidR="00E47843" w:rsidRDefault="00E47843" w:rsidP="00E47843"/>
    <w:p w14:paraId="537877FA" w14:textId="77777777" w:rsidR="00E47843" w:rsidRDefault="00E47843" w:rsidP="00E47843"/>
    <w:p w14:paraId="218D8AF1" w14:textId="66EB539A" w:rsidR="00C2222F" w:rsidRDefault="00C30027" w:rsidP="00C2222F">
      <w:pPr>
        <w:pStyle w:val="Title"/>
        <w:jc w:val="center"/>
      </w:pPr>
      <w:r>
        <w:t>Kazakhstan</w:t>
      </w:r>
      <w:r w:rsidR="00737D87">
        <w:t>'s Resource Economy</w:t>
      </w:r>
      <w:r w:rsidR="0018539B">
        <w:t>:</w:t>
      </w:r>
      <w:r>
        <w:t xml:space="preserve"> </w:t>
      </w:r>
      <w:r w:rsidR="00EC3346">
        <w:br/>
      </w:r>
      <w:r w:rsidR="0018539B">
        <w:t>Diversification Through</w:t>
      </w:r>
      <w:r w:rsidR="00EC3346">
        <w:t xml:space="preserve"> </w:t>
      </w:r>
      <w:r w:rsidR="0018539B">
        <w:br/>
      </w:r>
      <w:r w:rsidR="008D006E">
        <w:t>Global Value Chain</w:t>
      </w:r>
      <w:r w:rsidR="0018539B">
        <w:t>s</w:t>
      </w:r>
    </w:p>
    <w:p w14:paraId="3952C652" w14:textId="77777777" w:rsidR="00E47843" w:rsidRDefault="00E47843" w:rsidP="00C2222F">
      <w:pPr>
        <w:jc w:val="center"/>
      </w:pPr>
    </w:p>
    <w:p w14:paraId="214E424B" w14:textId="53AF5C89" w:rsidR="00C2222F" w:rsidRDefault="00C2222F" w:rsidP="00C2222F">
      <w:pPr>
        <w:jc w:val="center"/>
      </w:pPr>
      <w:r>
        <w:t xml:space="preserve">This draft: </w:t>
      </w:r>
      <w:r w:rsidR="00C30027">
        <w:t>31</w:t>
      </w:r>
      <w:r w:rsidR="0097733D">
        <w:t xml:space="preserve"> </w:t>
      </w:r>
      <w:r w:rsidR="00C30027">
        <w:t xml:space="preserve">July </w:t>
      </w:r>
      <w:r>
        <w:t>202</w:t>
      </w:r>
      <w:r w:rsidR="00E21885">
        <w:t>3</w:t>
      </w:r>
    </w:p>
    <w:p w14:paraId="7838B2D5" w14:textId="77777777" w:rsidR="00D47F80" w:rsidRDefault="00D47F80" w:rsidP="00AA04EC"/>
    <w:p w14:paraId="64D7ED48" w14:textId="77777777" w:rsidR="006405C0" w:rsidRDefault="006405C0">
      <w:pPr>
        <w:spacing w:after="0" w:line="240" w:lineRule="auto"/>
      </w:pPr>
      <w:r>
        <w:br w:type="page"/>
      </w:r>
    </w:p>
    <w:sdt>
      <w:sdtPr>
        <w:rPr>
          <w:rFonts w:asciiTheme="minorHAnsi" w:eastAsiaTheme="minorEastAsia" w:hAnsiTheme="minorHAnsi" w:cstheme="minorBidi"/>
          <w:color w:val="auto"/>
          <w:sz w:val="24"/>
          <w:szCs w:val="24"/>
          <w:lang w:eastAsia="zh-CN"/>
        </w:rPr>
        <w:id w:val="-1702541068"/>
        <w:docPartObj>
          <w:docPartGallery w:val="Table of Contents"/>
          <w:docPartUnique/>
        </w:docPartObj>
      </w:sdtPr>
      <w:sdtEndPr>
        <w:rPr>
          <w:b/>
          <w:bCs/>
          <w:noProof/>
        </w:rPr>
      </w:sdtEndPr>
      <w:sdtContent>
        <w:p w14:paraId="5B3B1B19" w14:textId="4AB6CE3A" w:rsidR="00DD6FA6" w:rsidRDefault="00DD6FA6" w:rsidP="00DD6FA6">
          <w:pPr>
            <w:pStyle w:val="TOCHeading"/>
            <w:numPr>
              <w:ilvl w:val="0"/>
              <w:numId w:val="0"/>
            </w:numPr>
          </w:pPr>
          <w:r>
            <w:t>Contents</w:t>
          </w:r>
        </w:p>
        <w:p w14:paraId="3F736D77" w14:textId="4C42FEAC" w:rsidR="00F03ADA" w:rsidRDefault="00DD6FA6">
          <w:pPr>
            <w:pStyle w:val="TOC1"/>
            <w:tabs>
              <w:tab w:val="right" w:leader="dot" w:pos="9016"/>
            </w:tabs>
            <w:rPr>
              <w:rFonts w:cstheme="minorBidi"/>
              <w:b w:val="0"/>
              <w:bCs w:val="0"/>
              <w:caps w:val="0"/>
              <w:noProof/>
              <w:kern w:val="2"/>
              <w:sz w:val="24"/>
              <w:lang w:val="en-PH" w:eastAsia="en-US"/>
              <w14:ligatures w14:val="standardContextual"/>
            </w:rPr>
          </w:pPr>
          <w:r>
            <w:rPr>
              <w:b w:val="0"/>
              <w:bCs w:val="0"/>
            </w:rPr>
            <w:fldChar w:fldCharType="begin"/>
          </w:r>
          <w:r>
            <w:instrText xml:space="preserve"> TOC \o "1-3" \h \z \u </w:instrText>
          </w:r>
          <w:r>
            <w:rPr>
              <w:b w:val="0"/>
              <w:bCs w:val="0"/>
            </w:rPr>
            <w:fldChar w:fldCharType="separate"/>
          </w:r>
          <w:hyperlink w:anchor="_Toc141647934" w:history="1">
            <w:r w:rsidR="00F03ADA" w:rsidRPr="0009019C">
              <w:rPr>
                <w:rStyle w:val="Hyperlink"/>
                <w:noProof/>
              </w:rPr>
              <w:t>Tables, Figures, and Boxes</w:t>
            </w:r>
            <w:r w:rsidR="00F03ADA">
              <w:rPr>
                <w:noProof/>
                <w:webHidden/>
              </w:rPr>
              <w:tab/>
            </w:r>
            <w:r w:rsidR="00F03ADA">
              <w:rPr>
                <w:noProof/>
                <w:webHidden/>
              </w:rPr>
              <w:fldChar w:fldCharType="begin"/>
            </w:r>
            <w:r w:rsidR="00F03ADA">
              <w:rPr>
                <w:noProof/>
                <w:webHidden/>
              </w:rPr>
              <w:instrText xml:space="preserve"> PAGEREF _Toc141647934 \h </w:instrText>
            </w:r>
            <w:r w:rsidR="00F03ADA">
              <w:rPr>
                <w:noProof/>
                <w:webHidden/>
              </w:rPr>
            </w:r>
            <w:r w:rsidR="00F03ADA">
              <w:rPr>
                <w:noProof/>
                <w:webHidden/>
              </w:rPr>
              <w:fldChar w:fldCharType="separate"/>
            </w:r>
            <w:r w:rsidR="00F03ADA">
              <w:rPr>
                <w:noProof/>
                <w:webHidden/>
              </w:rPr>
              <w:t>3</w:t>
            </w:r>
            <w:r w:rsidR="00F03ADA">
              <w:rPr>
                <w:noProof/>
                <w:webHidden/>
              </w:rPr>
              <w:fldChar w:fldCharType="end"/>
            </w:r>
          </w:hyperlink>
        </w:p>
        <w:p w14:paraId="4A3B5123" w14:textId="353B7D99" w:rsidR="00F03ADA" w:rsidRDefault="00000000">
          <w:pPr>
            <w:pStyle w:val="TOC1"/>
            <w:tabs>
              <w:tab w:val="right" w:leader="dot" w:pos="9016"/>
            </w:tabs>
            <w:rPr>
              <w:rFonts w:cstheme="minorBidi"/>
              <w:b w:val="0"/>
              <w:bCs w:val="0"/>
              <w:caps w:val="0"/>
              <w:noProof/>
              <w:kern w:val="2"/>
              <w:sz w:val="24"/>
              <w:lang w:val="en-PH" w:eastAsia="en-US"/>
              <w14:ligatures w14:val="standardContextual"/>
            </w:rPr>
          </w:pPr>
          <w:hyperlink w:anchor="_Toc141647935" w:history="1">
            <w:r w:rsidR="00F03ADA" w:rsidRPr="0009019C">
              <w:rPr>
                <w:rStyle w:val="Hyperlink"/>
                <w:noProof/>
              </w:rPr>
              <w:t>Foreword</w:t>
            </w:r>
            <w:r w:rsidR="00F03ADA">
              <w:rPr>
                <w:noProof/>
                <w:webHidden/>
              </w:rPr>
              <w:tab/>
            </w:r>
            <w:r w:rsidR="00F03ADA">
              <w:rPr>
                <w:noProof/>
                <w:webHidden/>
              </w:rPr>
              <w:fldChar w:fldCharType="begin"/>
            </w:r>
            <w:r w:rsidR="00F03ADA">
              <w:rPr>
                <w:noProof/>
                <w:webHidden/>
              </w:rPr>
              <w:instrText xml:space="preserve"> PAGEREF _Toc141647935 \h </w:instrText>
            </w:r>
            <w:r w:rsidR="00F03ADA">
              <w:rPr>
                <w:noProof/>
                <w:webHidden/>
              </w:rPr>
            </w:r>
            <w:r w:rsidR="00F03ADA">
              <w:rPr>
                <w:noProof/>
                <w:webHidden/>
              </w:rPr>
              <w:fldChar w:fldCharType="separate"/>
            </w:r>
            <w:r w:rsidR="00F03ADA">
              <w:rPr>
                <w:noProof/>
                <w:webHidden/>
              </w:rPr>
              <w:t>5</w:t>
            </w:r>
            <w:r w:rsidR="00F03ADA">
              <w:rPr>
                <w:noProof/>
                <w:webHidden/>
              </w:rPr>
              <w:fldChar w:fldCharType="end"/>
            </w:r>
          </w:hyperlink>
        </w:p>
        <w:p w14:paraId="60A47C90" w14:textId="3C73BD5D" w:rsidR="00F03ADA" w:rsidRDefault="00000000">
          <w:pPr>
            <w:pStyle w:val="TOC1"/>
            <w:tabs>
              <w:tab w:val="right" w:leader="dot" w:pos="9016"/>
            </w:tabs>
            <w:rPr>
              <w:rFonts w:cstheme="minorBidi"/>
              <w:b w:val="0"/>
              <w:bCs w:val="0"/>
              <w:caps w:val="0"/>
              <w:noProof/>
              <w:kern w:val="2"/>
              <w:sz w:val="24"/>
              <w:lang w:val="en-PH" w:eastAsia="en-US"/>
              <w14:ligatures w14:val="standardContextual"/>
            </w:rPr>
          </w:pPr>
          <w:hyperlink w:anchor="_Toc141647936" w:history="1">
            <w:r w:rsidR="00F03ADA" w:rsidRPr="0009019C">
              <w:rPr>
                <w:rStyle w:val="Hyperlink"/>
                <w:noProof/>
              </w:rPr>
              <w:t>Acknowledgments</w:t>
            </w:r>
            <w:r w:rsidR="00F03ADA">
              <w:rPr>
                <w:noProof/>
                <w:webHidden/>
              </w:rPr>
              <w:tab/>
            </w:r>
            <w:r w:rsidR="00F03ADA">
              <w:rPr>
                <w:noProof/>
                <w:webHidden/>
              </w:rPr>
              <w:fldChar w:fldCharType="begin"/>
            </w:r>
            <w:r w:rsidR="00F03ADA">
              <w:rPr>
                <w:noProof/>
                <w:webHidden/>
              </w:rPr>
              <w:instrText xml:space="preserve"> PAGEREF _Toc141647936 \h </w:instrText>
            </w:r>
            <w:r w:rsidR="00F03ADA">
              <w:rPr>
                <w:noProof/>
                <w:webHidden/>
              </w:rPr>
            </w:r>
            <w:r w:rsidR="00F03ADA">
              <w:rPr>
                <w:noProof/>
                <w:webHidden/>
              </w:rPr>
              <w:fldChar w:fldCharType="separate"/>
            </w:r>
            <w:r w:rsidR="00F03ADA">
              <w:rPr>
                <w:noProof/>
                <w:webHidden/>
              </w:rPr>
              <w:t>6</w:t>
            </w:r>
            <w:r w:rsidR="00F03ADA">
              <w:rPr>
                <w:noProof/>
                <w:webHidden/>
              </w:rPr>
              <w:fldChar w:fldCharType="end"/>
            </w:r>
          </w:hyperlink>
        </w:p>
        <w:p w14:paraId="214B79C7" w14:textId="3311F5E1" w:rsidR="00F03ADA" w:rsidRDefault="00000000">
          <w:pPr>
            <w:pStyle w:val="TOC1"/>
            <w:tabs>
              <w:tab w:val="right" w:leader="dot" w:pos="9016"/>
            </w:tabs>
            <w:rPr>
              <w:rFonts w:cstheme="minorBidi"/>
              <w:b w:val="0"/>
              <w:bCs w:val="0"/>
              <w:caps w:val="0"/>
              <w:noProof/>
              <w:kern w:val="2"/>
              <w:sz w:val="24"/>
              <w:lang w:val="en-PH" w:eastAsia="en-US"/>
              <w14:ligatures w14:val="standardContextual"/>
            </w:rPr>
          </w:pPr>
          <w:hyperlink w:anchor="_Toc141647937" w:history="1">
            <w:r w:rsidR="00F03ADA" w:rsidRPr="0009019C">
              <w:rPr>
                <w:rStyle w:val="Hyperlink"/>
                <w:noProof/>
              </w:rPr>
              <w:t>Abbreviations</w:t>
            </w:r>
            <w:r w:rsidR="00F03ADA">
              <w:rPr>
                <w:noProof/>
                <w:webHidden/>
              </w:rPr>
              <w:tab/>
            </w:r>
            <w:r w:rsidR="00F03ADA">
              <w:rPr>
                <w:noProof/>
                <w:webHidden/>
              </w:rPr>
              <w:fldChar w:fldCharType="begin"/>
            </w:r>
            <w:r w:rsidR="00F03ADA">
              <w:rPr>
                <w:noProof/>
                <w:webHidden/>
              </w:rPr>
              <w:instrText xml:space="preserve"> PAGEREF _Toc141647937 \h </w:instrText>
            </w:r>
            <w:r w:rsidR="00F03ADA">
              <w:rPr>
                <w:noProof/>
                <w:webHidden/>
              </w:rPr>
            </w:r>
            <w:r w:rsidR="00F03ADA">
              <w:rPr>
                <w:noProof/>
                <w:webHidden/>
              </w:rPr>
              <w:fldChar w:fldCharType="separate"/>
            </w:r>
            <w:r w:rsidR="00F03ADA">
              <w:rPr>
                <w:noProof/>
                <w:webHidden/>
              </w:rPr>
              <w:t>7</w:t>
            </w:r>
            <w:r w:rsidR="00F03ADA">
              <w:rPr>
                <w:noProof/>
                <w:webHidden/>
              </w:rPr>
              <w:fldChar w:fldCharType="end"/>
            </w:r>
          </w:hyperlink>
        </w:p>
        <w:p w14:paraId="678B9C7C" w14:textId="433290FB" w:rsidR="00F03ADA" w:rsidRDefault="00000000">
          <w:pPr>
            <w:pStyle w:val="TOC1"/>
            <w:tabs>
              <w:tab w:val="right" w:leader="dot" w:pos="9016"/>
            </w:tabs>
            <w:rPr>
              <w:rFonts w:cstheme="minorBidi"/>
              <w:b w:val="0"/>
              <w:bCs w:val="0"/>
              <w:caps w:val="0"/>
              <w:noProof/>
              <w:kern w:val="2"/>
              <w:sz w:val="24"/>
              <w:lang w:val="en-PH" w:eastAsia="en-US"/>
              <w14:ligatures w14:val="standardContextual"/>
            </w:rPr>
          </w:pPr>
          <w:hyperlink w:anchor="_Toc141647938" w:history="1">
            <w:r w:rsidR="00F03ADA" w:rsidRPr="0009019C">
              <w:rPr>
                <w:rStyle w:val="Hyperlink"/>
                <w:noProof/>
              </w:rPr>
              <w:t>Highlights</w:t>
            </w:r>
            <w:r w:rsidR="00F03ADA">
              <w:rPr>
                <w:noProof/>
                <w:webHidden/>
              </w:rPr>
              <w:tab/>
            </w:r>
            <w:r w:rsidR="00F03ADA">
              <w:rPr>
                <w:noProof/>
                <w:webHidden/>
              </w:rPr>
              <w:fldChar w:fldCharType="begin"/>
            </w:r>
            <w:r w:rsidR="00F03ADA">
              <w:rPr>
                <w:noProof/>
                <w:webHidden/>
              </w:rPr>
              <w:instrText xml:space="preserve"> PAGEREF _Toc141647938 \h </w:instrText>
            </w:r>
            <w:r w:rsidR="00F03ADA">
              <w:rPr>
                <w:noProof/>
                <w:webHidden/>
              </w:rPr>
            </w:r>
            <w:r w:rsidR="00F03ADA">
              <w:rPr>
                <w:noProof/>
                <w:webHidden/>
              </w:rPr>
              <w:fldChar w:fldCharType="separate"/>
            </w:r>
            <w:r w:rsidR="00F03ADA">
              <w:rPr>
                <w:noProof/>
                <w:webHidden/>
              </w:rPr>
              <w:t>8</w:t>
            </w:r>
            <w:r w:rsidR="00F03ADA">
              <w:rPr>
                <w:noProof/>
                <w:webHidden/>
              </w:rPr>
              <w:fldChar w:fldCharType="end"/>
            </w:r>
          </w:hyperlink>
        </w:p>
        <w:p w14:paraId="71FF2F0A" w14:textId="58383B12" w:rsidR="00F03ADA" w:rsidRDefault="00000000">
          <w:pPr>
            <w:pStyle w:val="TOC1"/>
            <w:tabs>
              <w:tab w:val="left" w:pos="480"/>
              <w:tab w:val="right" w:leader="dot" w:pos="9016"/>
            </w:tabs>
            <w:rPr>
              <w:rFonts w:cstheme="minorBidi"/>
              <w:b w:val="0"/>
              <w:bCs w:val="0"/>
              <w:caps w:val="0"/>
              <w:noProof/>
              <w:kern w:val="2"/>
              <w:sz w:val="24"/>
              <w:lang w:val="en-PH" w:eastAsia="en-US"/>
              <w14:ligatures w14:val="standardContextual"/>
            </w:rPr>
          </w:pPr>
          <w:hyperlink w:anchor="_Toc141647939" w:history="1">
            <w:r w:rsidR="00F03ADA" w:rsidRPr="0009019C">
              <w:rPr>
                <w:rStyle w:val="Hyperlink"/>
                <w:noProof/>
              </w:rPr>
              <w:t>1</w:t>
            </w:r>
            <w:r w:rsidR="00F03ADA">
              <w:rPr>
                <w:rFonts w:cstheme="minorBidi"/>
                <w:b w:val="0"/>
                <w:bCs w:val="0"/>
                <w:caps w:val="0"/>
                <w:noProof/>
                <w:kern w:val="2"/>
                <w:sz w:val="24"/>
                <w:lang w:val="en-PH" w:eastAsia="en-US"/>
                <w14:ligatures w14:val="standardContextual"/>
              </w:rPr>
              <w:tab/>
            </w:r>
            <w:r w:rsidR="00F03ADA" w:rsidRPr="0009019C">
              <w:rPr>
                <w:rStyle w:val="Hyperlink"/>
                <w:noProof/>
              </w:rPr>
              <w:t>Introduction</w:t>
            </w:r>
            <w:r w:rsidR="00F03ADA">
              <w:rPr>
                <w:noProof/>
                <w:webHidden/>
              </w:rPr>
              <w:tab/>
            </w:r>
            <w:r w:rsidR="00F03ADA">
              <w:rPr>
                <w:noProof/>
                <w:webHidden/>
              </w:rPr>
              <w:fldChar w:fldCharType="begin"/>
            </w:r>
            <w:r w:rsidR="00F03ADA">
              <w:rPr>
                <w:noProof/>
                <w:webHidden/>
              </w:rPr>
              <w:instrText xml:space="preserve"> PAGEREF _Toc141647939 \h </w:instrText>
            </w:r>
            <w:r w:rsidR="00F03ADA">
              <w:rPr>
                <w:noProof/>
                <w:webHidden/>
              </w:rPr>
            </w:r>
            <w:r w:rsidR="00F03ADA">
              <w:rPr>
                <w:noProof/>
                <w:webHidden/>
              </w:rPr>
              <w:fldChar w:fldCharType="separate"/>
            </w:r>
            <w:r w:rsidR="00F03ADA">
              <w:rPr>
                <w:noProof/>
                <w:webHidden/>
              </w:rPr>
              <w:t>13</w:t>
            </w:r>
            <w:r w:rsidR="00F03ADA">
              <w:rPr>
                <w:noProof/>
                <w:webHidden/>
              </w:rPr>
              <w:fldChar w:fldCharType="end"/>
            </w:r>
          </w:hyperlink>
        </w:p>
        <w:p w14:paraId="65BC8559" w14:textId="19B3D2B9" w:rsidR="00F03ADA" w:rsidRDefault="00000000">
          <w:pPr>
            <w:pStyle w:val="TOC1"/>
            <w:tabs>
              <w:tab w:val="left" w:pos="480"/>
              <w:tab w:val="right" w:leader="dot" w:pos="9016"/>
            </w:tabs>
            <w:rPr>
              <w:rFonts w:cstheme="minorBidi"/>
              <w:b w:val="0"/>
              <w:bCs w:val="0"/>
              <w:caps w:val="0"/>
              <w:noProof/>
              <w:kern w:val="2"/>
              <w:sz w:val="24"/>
              <w:lang w:val="en-PH" w:eastAsia="en-US"/>
              <w14:ligatures w14:val="standardContextual"/>
            </w:rPr>
          </w:pPr>
          <w:hyperlink w:anchor="_Toc141647940" w:history="1">
            <w:r w:rsidR="00F03ADA" w:rsidRPr="0009019C">
              <w:rPr>
                <w:rStyle w:val="Hyperlink"/>
                <w:noProof/>
              </w:rPr>
              <w:t>2</w:t>
            </w:r>
            <w:r w:rsidR="00F03ADA">
              <w:rPr>
                <w:rFonts w:cstheme="minorBidi"/>
                <w:b w:val="0"/>
                <w:bCs w:val="0"/>
                <w:caps w:val="0"/>
                <w:noProof/>
                <w:kern w:val="2"/>
                <w:sz w:val="24"/>
                <w:lang w:val="en-PH" w:eastAsia="en-US"/>
                <w14:ligatures w14:val="standardContextual"/>
              </w:rPr>
              <w:tab/>
            </w:r>
            <w:r w:rsidR="00F03ADA" w:rsidRPr="0009019C">
              <w:rPr>
                <w:rStyle w:val="Hyperlink"/>
                <w:noProof/>
              </w:rPr>
              <w:t>Overview of Economy and Trade</w:t>
            </w:r>
            <w:r w:rsidR="00F03ADA">
              <w:rPr>
                <w:noProof/>
                <w:webHidden/>
              </w:rPr>
              <w:tab/>
            </w:r>
            <w:r w:rsidR="00F03ADA">
              <w:rPr>
                <w:noProof/>
                <w:webHidden/>
              </w:rPr>
              <w:fldChar w:fldCharType="begin"/>
            </w:r>
            <w:r w:rsidR="00F03ADA">
              <w:rPr>
                <w:noProof/>
                <w:webHidden/>
              </w:rPr>
              <w:instrText xml:space="preserve"> PAGEREF _Toc141647940 \h </w:instrText>
            </w:r>
            <w:r w:rsidR="00F03ADA">
              <w:rPr>
                <w:noProof/>
                <w:webHidden/>
              </w:rPr>
            </w:r>
            <w:r w:rsidR="00F03ADA">
              <w:rPr>
                <w:noProof/>
                <w:webHidden/>
              </w:rPr>
              <w:fldChar w:fldCharType="separate"/>
            </w:r>
            <w:r w:rsidR="00F03ADA">
              <w:rPr>
                <w:noProof/>
                <w:webHidden/>
              </w:rPr>
              <w:t>16</w:t>
            </w:r>
            <w:r w:rsidR="00F03ADA">
              <w:rPr>
                <w:noProof/>
                <w:webHidden/>
              </w:rPr>
              <w:fldChar w:fldCharType="end"/>
            </w:r>
          </w:hyperlink>
        </w:p>
        <w:p w14:paraId="0C5484C5" w14:textId="112D2E72" w:rsidR="00F03ADA" w:rsidRDefault="00000000">
          <w:pPr>
            <w:pStyle w:val="TOC1"/>
            <w:tabs>
              <w:tab w:val="left" w:pos="480"/>
              <w:tab w:val="right" w:leader="dot" w:pos="9016"/>
            </w:tabs>
            <w:rPr>
              <w:rFonts w:cstheme="minorBidi"/>
              <w:b w:val="0"/>
              <w:bCs w:val="0"/>
              <w:caps w:val="0"/>
              <w:noProof/>
              <w:kern w:val="2"/>
              <w:sz w:val="24"/>
              <w:lang w:val="en-PH" w:eastAsia="en-US"/>
              <w14:ligatures w14:val="standardContextual"/>
            </w:rPr>
          </w:pPr>
          <w:hyperlink w:anchor="_Toc141647941" w:history="1">
            <w:r w:rsidR="00F03ADA" w:rsidRPr="0009019C">
              <w:rPr>
                <w:rStyle w:val="Hyperlink"/>
                <w:noProof/>
              </w:rPr>
              <w:t>3</w:t>
            </w:r>
            <w:r w:rsidR="00F03ADA">
              <w:rPr>
                <w:rFonts w:cstheme="minorBidi"/>
                <w:b w:val="0"/>
                <w:bCs w:val="0"/>
                <w:caps w:val="0"/>
                <w:noProof/>
                <w:kern w:val="2"/>
                <w:sz w:val="24"/>
                <w:lang w:val="en-PH" w:eastAsia="en-US"/>
                <w14:ligatures w14:val="standardContextual"/>
              </w:rPr>
              <w:tab/>
            </w:r>
            <w:r w:rsidR="00F03ADA" w:rsidRPr="0009019C">
              <w:rPr>
                <w:rStyle w:val="Hyperlink"/>
                <w:noProof/>
              </w:rPr>
              <w:t>Participation in Global Value Chains</w:t>
            </w:r>
            <w:r w:rsidR="00F03ADA">
              <w:rPr>
                <w:noProof/>
                <w:webHidden/>
              </w:rPr>
              <w:tab/>
            </w:r>
            <w:r w:rsidR="00F03ADA">
              <w:rPr>
                <w:noProof/>
                <w:webHidden/>
              </w:rPr>
              <w:fldChar w:fldCharType="begin"/>
            </w:r>
            <w:r w:rsidR="00F03ADA">
              <w:rPr>
                <w:noProof/>
                <w:webHidden/>
              </w:rPr>
              <w:instrText xml:space="preserve"> PAGEREF _Toc141647941 \h </w:instrText>
            </w:r>
            <w:r w:rsidR="00F03ADA">
              <w:rPr>
                <w:noProof/>
                <w:webHidden/>
              </w:rPr>
            </w:r>
            <w:r w:rsidR="00F03ADA">
              <w:rPr>
                <w:noProof/>
                <w:webHidden/>
              </w:rPr>
              <w:fldChar w:fldCharType="separate"/>
            </w:r>
            <w:r w:rsidR="00F03ADA">
              <w:rPr>
                <w:noProof/>
                <w:webHidden/>
              </w:rPr>
              <w:t>25</w:t>
            </w:r>
            <w:r w:rsidR="00F03ADA">
              <w:rPr>
                <w:noProof/>
                <w:webHidden/>
              </w:rPr>
              <w:fldChar w:fldCharType="end"/>
            </w:r>
          </w:hyperlink>
        </w:p>
        <w:p w14:paraId="21764073" w14:textId="224D1C93" w:rsidR="00F03ADA" w:rsidRDefault="00000000">
          <w:pPr>
            <w:pStyle w:val="TOC1"/>
            <w:tabs>
              <w:tab w:val="left" w:pos="480"/>
              <w:tab w:val="right" w:leader="dot" w:pos="9016"/>
            </w:tabs>
            <w:rPr>
              <w:rFonts w:cstheme="minorBidi"/>
              <w:b w:val="0"/>
              <w:bCs w:val="0"/>
              <w:caps w:val="0"/>
              <w:noProof/>
              <w:kern w:val="2"/>
              <w:sz w:val="24"/>
              <w:lang w:val="en-PH" w:eastAsia="en-US"/>
              <w14:ligatures w14:val="standardContextual"/>
            </w:rPr>
          </w:pPr>
          <w:hyperlink w:anchor="_Toc141647942" w:history="1">
            <w:r w:rsidR="00F03ADA" w:rsidRPr="0009019C">
              <w:rPr>
                <w:rStyle w:val="Hyperlink"/>
                <w:noProof/>
              </w:rPr>
              <w:t>4</w:t>
            </w:r>
            <w:r w:rsidR="00F03ADA">
              <w:rPr>
                <w:rFonts w:cstheme="minorBidi"/>
                <w:b w:val="0"/>
                <w:bCs w:val="0"/>
                <w:caps w:val="0"/>
                <w:noProof/>
                <w:kern w:val="2"/>
                <w:sz w:val="24"/>
                <w:lang w:val="en-PH" w:eastAsia="en-US"/>
                <w14:ligatures w14:val="standardContextual"/>
              </w:rPr>
              <w:tab/>
            </w:r>
            <w:r w:rsidR="00F03ADA" w:rsidRPr="0009019C">
              <w:rPr>
                <w:rStyle w:val="Hyperlink"/>
                <w:noProof/>
              </w:rPr>
              <w:t>Specialization and Competitiveness</w:t>
            </w:r>
            <w:r w:rsidR="00F03ADA">
              <w:rPr>
                <w:noProof/>
                <w:webHidden/>
              </w:rPr>
              <w:tab/>
            </w:r>
            <w:r w:rsidR="00F03ADA">
              <w:rPr>
                <w:noProof/>
                <w:webHidden/>
              </w:rPr>
              <w:fldChar w:fldCharType="begin"/>
            </w:r>
            <w:r w:rsidR="00F03ADA">
              <w:rPr>
                <w:noProof/>
                <w:webHidden/>
              </w:rPr>
              <w:instrText xml:space="preserve"> PAGEREF _Toc141647942 \h </w:instrText>
            </w:r>
            <w:r w:rsidR="00F03ADA">
              <w:rPr>
                <w:noProof/>
                <w:webHidden/>
              </w:rPr>
            </w:r>
            <w:r w:rsidR="00F03ADA">
              <w:rPr>
                <w:noProof/>
                <w:webHidden/>
              </w:rPr>
              <w:fldChar w:fldCharType="separate"/>
            </w:r>
            <w:r w:rsidR="00F03ADA">
              <w:rPr>
                <w:noProof/>
                <w:webHidden/>
              </w:rPr>
              <w:t>38</w:t>
            </w:r>
            <w:r w:rsidR="00F03ADA">
              <w:rPr>
                <w:noProof/>
                <w:webHidden/>
              </w:rPr>
              <w:fldChar w:fldCharType="end"/>
            </w:r>
          </w:hyperlink>
        </w:p>
        <w:p w14:paraId="50934F2C" w14:textId="683E48DD" w:rsidR="00F03ADA" w:rsidRDefault="00000000">
          <w:pPr>
            <w:pStyle w:val="TOC1"/>
            <w:tabs>
              <w:tab w:val="left" w:pos="480"/>
              <w:tab w:val="right" w:leader="dot" w:pos="9016"/>
            </w:tabs>
            <w:rPr>
              <w:rFonts w:cstheme="minorBidi"/>
              <w:b w:val="0"/>
              <w:bCs w:val="0"/>
              <w:caps w:val="0"/>
              <w:noProof/>
              <w:kern w:val="2"/>
              <w:sz w:val="24"/>
              <w:lang w:val="en-PH" w:eastAsia="en-US"/>
              <w14:ligatures w14:val="standardContextual"/>
            </w:rPr>
          </w:pPr>
          <w:hyperlink w:anchor="_Toc141647943" w:history="1">
            <w:r w:rsidR="00F03ADA" w:rsidRPr="0009019C">
              <w:rPr>
                <w:rStyle w:val="Hyperlink"/>
                <w:noProof/>
              </w:rPr>
              <w:t>5</w:t>
            </w:r>
            <w:r w:rsidR="00F03ADA">
              <w:rPr>
                <w:rFonts w:cstheme="minorBidi"/>
                <w:b w:val="0"/>
                <w:bCs w:val="0"/>
                <w:caps w:val="0"/>
                <w:noProof/>
                <w:kern w:val="2"/>
                <w:sz w:val="24"/>
                <w:lang w:val="en-PH" w:eastAsia="en-US"/>
                <w14:ligatures w14:val="standardContextual"/>
              </w:rPr>
              <w:tab/>
            </w:r>
            <w:r w:rsidR="00F03ADA" w:rsidRPr="0009019C">
              <w:rPr>
                <w:rStyle w:val="Hyperlink"/>
                <w:noProof/>
              </w:rPr>
              <w:t>Special Topics</w:t>
            </w:r>
            <w:r w:rsidR="00F03ADA">
              <w:rPr>
                <w:noProof/>
                <w:webHidden/>
              </w:rPr>
              <w:tab/>
            </w:r>
            <w:r w:rsidR="00F03ADA">
              <w:rPr>
                <w:noProof/>
                <w:webHidden/>
              </w:rPr>
              <w:fldChar w:fldCharType="begin"/>
            </w:r>
            <w:r w:rsidR="00F03ADA">
              <w:rPr>
                <w:noProof/>
                <w:webHidden/>
              </w:rPr>
              <w:instrText xml:space="preserve"> PAGEREF _Toc141647943 \h </w:instrText>
            </w:r>
            <w:r w:rsidR="00F03ADA">
              <w:rPr>
                <w:noProof/>
                <w:webHidden/>
              </w:rPr>
            </w:r>
            <w:r w:rsidR="00F03ADA">
              <w:rPr>
                <w:noProof/>
                <w:webHidden/>
              </w:rPr>
              <w:fldChar w:fldCharType="separate"/>
            </w:r>
            <w:r w:rsidR="00F03ADA">
              <w:rPr>
                <w:noProof/>
                <w:webHidden/>
              </w:rPr>
              <w:t>48</w:t>
            </w:r>
            <w:r w:rsidR="00F03ADA">
              <w:rPr>
                <w:noProof/>
                <w:webHidden/>
              </w:rPr>
              <w:fldChar w:fldCharType="end"/>
            </w:r>
          </w:hyperlink>
        </w:p>
        <w:p w14:paraId="3E512B31" w14:textId="3C90DEF3" w:rsidR="00F03ADA" w:rsidRDefault="00000000">
          <w:pPr>
            <w:pStyle w:val="TOC2"/>
            <w:tabs>
              <w:tab w:val="right" w:leader="dot" w:pos="9016"/>
            </w:tabs>
            <w:rPr>
              <w:rFonts w:cstheme="minorBidi"/>
              <w:smallCaps w:val="0"/>
              <w:noProof/>
              <w:kern w:val="2"/>
              <w:sz w:val="24"/>
              <w:lang w:val="en-PH" w:eastAsia="en-US"/>
              <w14:ligatures w14:val="standardContextual"/>
            </w:rPr>
          </w:pPr>
          <w:hyperlink w:anchor="_Toc141647944" w:history="1">
            <w:r w:rsidR="00F03ADA" w:rsidRPr="0009019C">
              <w:rPr>
                <w:rStyle w:val="Hyperlink"/>
                <w:noProof/>
              </w:rPr>
              <w:t>The Eurasian Economic Union</w:t>
            </w:r>
            <w:r w:rsidR="00F03ADA">
              <w:rPr>
                <w:noProof/>
                <w:webHidden/>
              </w:rPr>
              <w:tab/>
            </w:r>
            <w:r w:rsidR="00F03ADA">
              <w:rPr>
                <w:noProof/>
                <w:webHidden/>
              </w:rPr>
              <w:fldChar w:fldCharType="begin"/>
            </w:r>
            <w:r w:rsidR="00F03ADA">
              <w:rPr>
                <w:noProof/>
                <w:webHidden/>
              </w:rPr>
              <w:instrText xml:space="preserve"> PAGEREF _Toc141647944 \h </w:instrText>
            </w:r>
            <w:r w:rsidR="00F03ADA">
              <w:rPr>
                <w:noProof/>
                <w:webHidden/>
              </w:rPr>
            </w:r>
            <w:r w:rsidR="00F03ADA">
              <w:rPr>
                <w:noProof/>
                <w:webHidden/>
              </w:rPr>
              <w:fldChar w:fldCharType="separate"/>
            </w:r>
            <w:r w:rsidR="00F03ADA">
              <w:rPr>
                <w:noProof/>
                <w:webHidden/>
              </w:rPr>
              <w:t>48</w:t>
            </w:r>
            <w:r w:rsidR="00F03ADA">
              <w:rPr>
                <w:noProof/>
                <w:webHidden/>
              </w:rPr>
              <w:fldChar w:fldCharType="end"/>
            </w:r>
          </w:hyperlink>
        </w:p>
        <w:p w14:paraId="4AF2D955" w14:textId="10E96C10" w:rsidR="00F03ADA" w:rsidRDefault="00000000">
          <w:pPr>
            <w:pStyle w:val="TOC2"/>
            <w:tabs>
              <w:tab w:val="right" w:leader="dot" w:pos="9016"/>
            </w:tabs>
            <w:rPr>
              <w:rFonts w:cstheme="minorBidi"/>
              <w:smallCaps w:val="0"/>
              <w:noProof/>
              <w:kern w:val="2"/>
              <w:sz w:val="24"/>
              <w:lang w:val="en-PH" w:eastAsia="en-US"/>
              <w14:ligatures w14:val="standardContextual"/>
            </w:rPr>
          </w:pPr>
          <w:hyperlink w:anchor="_Toc141647945" w:history="1">
            <w:r w:rsidR="00F03ADA" w:rsidRPr="0009019C">
              <w:rPr>
                <w:rStyle w:val="Hyperlink"/>
                <w:noProof/>
              </w:rPr>
              <w:t>Adjusting for inflation</w:t>
            </w:r>
            <w:r w:rsidR="00F03ADA">
              <w:rPr>
                <w:noProof/>
                <w:webHidden/>
              </w:rPr>
              <w:tab/>
            </w:r>
            <w:r w:rsidR="00F03ADA">
              <w:rPr>
                <w:noProof/>
                <w:webHidden/>
              </w:rPr>
              <w:fldChar w:fldCharType="begin"/>
            </w:r>
            <w:r w:rsidR="00F03ADA">
              <w:rPr>
                <w:noProof/>
                <w:webHidden/>
              </w:rPr>
              <w:instrText xml:space="preserve"> PAGEREF _Toc141647945 \h </w:instrText>
            </w:r>
            <w:r w:rsidR="00F03ADA">
              <w:rPr>
                <w:noProof/>
                <w:webHidden/>
              </w:rPr>
            </w:r>
            <w:r w:rsidR="00F03ADA">
              <w:rPr>
                <w:noProof/>
                <w:webHidden/>
              </w:rPr>
              <w:fldChar w:fldCharType="separate"/>
            </w:r>
            <w:r w:rsidR="00F03ADA">
              <w:rPr>
                <w:noProof/>
                <w:webHidden/>
              </w:rPr>
              <w:t>53</w:t>
            </w:r>
            <w:r w:rsidR="00F03ADA">
              <w:rPr>
                <w:noProof/>
                <w:webHidden/>
              </w:rPr>
              <w:fldChar w:fldCharType="end"/>
            </w:r>
          </w:hyperlink>
        </w:p>
        <w:p w14:paraId="6188663F" w14:textId="72A6E721" w:rsidR="00F03ADA" w:rsidRDefault="00000000">
          <w:pPr>
            <w:pStyle w:val="TOC1"/>
            <w:tabs>
              <w:tab w:val="left" w:pos="480"/>
              <w:tab w:val="right" w:leader="dot" w:pos="9016"/>
            </w:tabs>
            <w:rPr>
              <w:rFonts w:cstheme="minorBidi"/>
              <w:b w:val="0"/>
              <w:bCs w:val="0"/>
              <w:caps w:val="0"/>
              <w:noProof/>
              <w:kern w:val="2"/>
              <w:sz w:val="24"/>
              <w:lang w:val="en-PH" w:eastAsia="en-US"/>
              <w14:ligatures w14:val="standardContextual"/>
            </w:rPr>
          </w:pPr>
          <w:hyperlink w:anchor="_Toc141647946" w:history="1">
            <w:r w:rsidR="00F03ADA" w:rsidRPr="0009019C">
              <w:rPr>
                <w:rStyle w:val="Hyperlink"/>
                <w:noProof/>
              </w:rPr>
              <w:t>6</w:t>
            </w:r>
            <w:r w:rsidR="00F03ADA">
              <w:rPr>
                <w:rFonts w:cstheme="minorBidi"/>
                <w:b w:val="0"/>
                <w:bCs w:val="0"/>
                <w:caps w:val="0"/>
                <w:noProof/>
                <w:kern w:val="2"/>
                <w:sz w:val="24"/>
                <w:lang w:val="en-PH" w:eastAsia="en-US"/>
                <w14:ligatures w14:val="standardContextual"/>
              </w:rPr>
              <w:tab/>
            </w:r>
            <w:r w:rsidR="00F03ADA" w:rsidRPr="0009019C">
              <w:rPr>
                <w:rStyle w:val="Hyperlink"/>
                <w:noProof/>
              </w:rPr>
              <w:t>Conclusion</w:t>
            </w:r>
            <w:r w:rsidR="00F03ADA">
              <w:rPr>
                <w:noProof/>
                <w:webHidden/>
              </w:rPr>
              <w:tab/>
            </w:r>
            <w:r w:rsidR="00F03ADA">
              <w:rPr>
                <w:noProof/>
                <w:webHidden/>
              </w:rPr>
              <w:fldChar w:fldCharType="begin"/>
            </w:r>
            <w:r w:rsidR="00F03ADA">
              <w:rPr>
                <w:noProof/>
                <w:webHidden/>
              </w:rPr>
              <w:instrText xml:space="preserve"> PAGEREF _Toc141647946 \h </w:instrText>
            </w:r>
            <w:r w:rsidR="00F03ADA">
              <w:rPr>
                <w:noProof/>
                <w:webHidden/>
              </w:rPr>
            </w:r>
            <w:r w:rsidR="00F03ADA">
              <w:rPr>
                <w:noProof/>
                <w:webHidden/>
              </w:rPr>
              <w:fldChar w:fldCharType="separate"/>
            </w:r>
            <w:r w:rsidR="00F03ADA">
              <w:rPr>
                <w:noProof/>
                <w:webHidden/>
              </w:rPr>
              <w:t>55</w:t>
            </w:r>
            <w:r w:rsidR="00F03ADA">
              <w:rPr>
                <w:noProof/>
                <w:webHidden/>
              </w:rPr>
              <w:fldChar w:fldCharType="end"/>
            </w:r>
          </w:hyperlink>
        </w:p>
        <w:p w14:paraId="48C76CF5" w14:textId="40230E15" w:rsidR="00F03ADA" w:rsidRDefault="00000000">
          <w:pPr>
            <w:pStyle w:val="TOC1"/>
            <w:tabs>
              <w:tab w:val="right" w:leader="dot" w:pos="9016"/>
            </w:tabs>
            <w:rPr>
              <w:rFonts w:cstheme="minorBidi"/>
              <w:b w:val="0"/>
              <w:bCs w:val="0"/>
              <w:caps w:val="0"/>
              <w:noProof/>
              <w:kern w:val="2"/>
              <w:sz w:val="24"/>
              <w:lang w:val="en-PH" w:eastAsia="en-US"/>
              <w14:ligatures w14:val="standardContextual"/>
            </w:rPr>
          </w:pPr>
          <w:hyperlink w:anchor="_Toc141647947" w:history="1">
            <w:r w:rsidR="00F03ADA" w:rsidRPr="0009019C">
              <w:rPr>
                <w:rStyle w:val="Hyperlink"/>
                <w:noProof/>
              </w:rPr>
              <w:t>References</w:t>
            </w:r>
            <w:r w:rsidR="00F03ADA">
              <w:rPr>
                <w:noProof/>
                <w:webHidden/>
              </w:rPr>
              <w:tab/>
            </w:r>
            <w:r w:rsidR="00F03ADA">
              <w:rPr>
                <w:noProof/>
                <w:webHidden/>
              </w:rPr>
              <w:fldChar w:fldCharType="begin"/>
            </w:r>
            <w:r w:rsidR="00F03ADA">
              <w:rPr>
                <w:noProof/>
                <w:webHidden/>
              </w:rPr>
              <w:instrText xml:space="preserve"> PAGEREF _Toc141647947 \h </w:instrText>
            </w:r>
            <w:r w:rsidR="00F03ADA">
              <w:rPr>
                <w:noProof/>
                <w:webHidden/>
              </w:rPr>
            </w:r>
            <w:r w:rsidR="00F03ADA">
              <w:rPr>
                <w:noProof/>
                <w:webHidden/>
              </w:rPr>
              <w:fldChar w:fldCharType="separate"/>
            </w:r>
            <w:r w:rsidR="00F03ADA">
              <w:rPr>
                <w:noProof/>
                <w:webHidden/>
              </w:rPr>
              <w:t>58</w:t>
            </w:r>
            <w:r w:rsidR="00F03ADA">
              <w:rPr>
                <w:noProof/>
                <w:webHidden/>
              </w:rPr>
              <w:fldChar w:fldCharType="end"/>
            </w:r>
          </w:hyperlink>
        </w:p>
        <w:p w14:paraId="25ABC653" w14:textId="68232EB4" w:rsidR="00F03ADA" w:rsidRDefault="00000000">
          <w:pPr>
            <w:pStyle w:val="TOC1"/>
            <w:tabs>
              <w:tab w:val="right" w:leader="dot" w:pos="9016"/>
            </w:tabs>
            <w:rPr>
              <w:rFonts w:cstheme="minorBidi"/>
              <w:b w:val="0"/>
              <w:bCs w:val="0"/>
              <w:caps w:val="0"/>
              <w:noProof/>
              <w:kern w:val="2"/>
              <w:sz w:val="24"/>
              <w:lang w:val="en-PH" w:eastAsia="en-US"/>
              <w14:ligatures w14:val="standardContextual"/>
            </w:rPr>
          </w:pPr>
          <w:hyperlink w:anchor="_Toc141647948" w:history="1">
            <w:r w:rsidR="00F03ADA" w:rsidRPr="0009019C">
              <w:rPr>
                <w:rStyle w:val="Hyperlink"/>
                <w:noProof/>
              </w:rPr>
              <w:t>Appendices</w:t>
            </w:r>
            <w:r w:rsidR="00F03ADA">
              <w:rPr>
                <w:noProof/>
                <w:webHidden/>
              </w:rPr>
              <w:tab/>
            </w:r>
            <w:r w:rsidR="00F03ADA">
              <w:rPr>
                <w:noProof/>
                <w:webHidden/>
              </w:rPr>
              <w:fldChar w:fldCharType="begin"/>
            </w:r>
            <w:r w:rsidR="00F03ADA">
              <w:rPr>
                <w:noProof/>
                <w:webHidden/>
              </w:rPr>
              <w:instrText xml:space="preserve"> PAGEREF _Toc141647948 \h </w:instrText>
            </w:r>
            <w:r w:rsidR="00F03ADA">
              <w:rPr>
                <w:noProof/>
                <w:webHidden/>
              </w:rPr>
            </w:r>
            <w:r w:rsidR="00F03ADA">
              <w:rPr>
                <w:noProof/>
                <w:webHidden/>
              </w:rPr>
              <w:fldChar w:fldCharType="separate"/>
            </w:r>
            <w:r w:rsidR="00F03ADA">
              <w:rPr>
                <w:noProof/>
                <w:webHidden/>
              </w:rPr>
              <w:t>63</w:t>
            </w:r>
            <w:r w:rsidR="00F03ADA">
              <w:rPr>
                <w:noProof/>
                <w:webHidden/>
              </w:rPr>
              <w:fldChar w:fldCharType="end"/>
            </w:r>
          </w:hyperlink>
        </w:p>
        <w:p w14:paraId="058B68D3" w14:textId="49E43764" w:rsidR="00DD6FA6" w:rsidRDefault="00DD6FA6">
          <w:r>
            <w:rPr>
              <w:b/>
              <w:bCs/>
              <w:noProof/>
            </w:rPr>
            <w:fldChar w:fldCharType="end"/>
          </w:r>
        </w:p>
      </w:sdtContent>
    </w:sdt>
    <w:p w14:paraId="17A6D7C3" w14:textId="77777777" w:rsidR="00FC2644" w:rsidRDefault="00FC2644">
      <w:pPr>
        <w:spacing w:after="0" w:line="240" w:lineRule="auto"/>
        <w:rPr>
          <w:rFonts w:asciiTheme="majorHAnsi" w:eastAsiaTheme="majorEastAsia" w:hAnsiTheme="majorHAnsi" w:cstheme="majorBidi"/>
          <w:color w:val="2F5496" w:themeColor="accent1" w:themeShade="BF"/>
          <w:sz w:val="32"/>
          <w:szCs w:val="32"/>
        </w:rPr>
      </w:pPr>
      <w:r>
        <w:br w:type="page"/>
      </w:r>
    </w:p>
    <w:p w14:paraId="03CD633A" w14:textId="7285FCEB" w:rsidR="00A76DD5" w:rsidRPr="00A76DD5" w:rsidRDefault="00FC2644" w:rsidP="003457FB">
      <w:pPr>
        <w:pStyle w:val="Heading1"/>
        <w:numPr>
          <w:ilvl w:val="0"/>
          <w:numId w:val="0"/>
        </w:numPr>
        <w:rPr>
          <w:rStyle w:val="Strong"/>
          <w:b w:val="0"/>
          <w:bCs w:val="0"/>
        </w:rPr>
      </w:pPr>
      <w:bookmarkStart w:id="0" w:name="_Toc141647934"/>
      <w:r>
        <w:lastRenderedPageBreak/>
        <w:t>Tables, Figures, and Boxes</w:t>
      </w:r>
      <w:bookmarkEnd w:id="0"/>
    </w:p>
    <w:p w14:paraId="78C38845" w14:textId="77777777" w:rsidR="00F03ADA" w:rsidRDefault="00FC2644" w:rsidP="00A76DD5">
      <w:pPr>
        <w:rPr>
          <w:noProof/>
        </w:rPr>
      </w:pPr>
      <w:r w:rsidRPr="00A76DD5">
        <w:rPr>
          <w:rStyle w:val="Strong"/>
        </w:rPr>
        <w:t>Tables</w:t>
      </w:r>
      <w:r>
        <w:rPr>
          <w:rStyle w:val="Strong"/>
        </w:rPr>
        <w:fldChar w:fldCharType="begin"/>
      </w:r>
      <w:r w:rsidRPr="00A76DD5">
        <w:rPr>
          <w:rStyle w:val="Strong"/>
        </w:rPr>
        <w:instrText xml:space="preserve"> TOC \h \z \c "Table" </w:instrText>
      </w:r>
      <w:r>
        <w:rPr>
          <w:rStyle w:val="Strong"/>
        </w:rPr>
        <w:fldChar w:fldCharType="separate"/>
      </w:r>
    </w:p>
    <w:p w14:paraId="004FBD53" w14:textId="55BF9347" w:rsidR="00F03ADA" w:rsidRDefault="00000000">
      <w:pPr>
        <w:pStyle w:val="TableofFigures"/>
        <w:tabs>
          <w:tab w:val="right" w:leader="dot" w:pos="9016"/>
        </w:tabs>
        <w:rPr>
          <w:noProof/>
          <w:kern w:val="2"/>
          <w:lang w:val="en-PH" w:eastAsia="en-US"/>
          <w14:ligatures w14:val="standardContextual"/>
        </w:rPr>
      </w:pPr>
      <w:hyperlink w:anchor="_Toc141647949" w:history="1">
        <w:r w:rsidR="00F03ADA" w:rsidRPr="00912218">
          <w:rPr>
            <w:rStyle w:val="Hyperlink"/>
            <w:noProof/>
          </w:rPr>
          <w:t>Table A1: Economies in the ADB Multiregional Input–Output Database</w:t>
        </w:r>
        <w:r w:rsidR="00F03ADA">
          <w:rPr>
            <w:noProof/>
            <w:webHidden/>
          </w:rPr>
          <w:tab/>
        </w:r>
        <w:r w:rsidR="00F03ADA">
          <w:rPr>
            <w:noProof/>
            <w:webHidden/>
          </w:rPr>
          <w:fldChar w:fldCharType="begin"/>
        </w:r>
        <w:r w:rsidR="00F03ADA">
          <w:rPr>
            <w:noProof/>
            <w:webHidden/>
          </w:rPr>
          <w:instrText xml:space="preserve"> PAGEREF _Toc141647949 \h </w:instrText>
        </w:r>
        <w:r w:rsidR="00F03ADA">
          <w:rPr>
            <w:noProof/>
            <w:webHidden/>
          </w:rPr>
        </w:r>
        <w:r w:rsidR="00F03ADA">
          <w:rPr>
            <w:noProof/>
            <w:webHidden/>
          </w:rPr>
          <w:fldChar w:fldCharType="separate"/>
        </w:r>
        <w:r w:rsidR="00F03ADA">
          <w:rPr>
            <w:noProof/>
            <w:webHidden/>
          </w:rPr>
          <w:t>63</w:t>
        </w:r>
        <w:r w:rsidR="00F03ADA">
          <w:rPr>
            <w:noProof/>
            <w:webHidden/>
          </w:rPr>
          <w:fldChar w:fldCharType="end"/>
        </w:r>
      </w:hyperlink>
    </w:p>
    <w:p w14:paraId="0E1ECF2E" w14:textId="2BAB3DC9" w:rsidR="00F03ADA" w:rsidRDefault="00000000">
      <w:pPr>
        <w:pStyle w:val="TableofFigures"/>
        <w:tabs>
          <w:tab w:val="right" w:leader="dot" w:pos="9016"/>
        </w:tabs>
        <w:rPr>
          <w:noProof/>
          <w:kern w:val="2"/>
          <w:lang w:val="en-PH" w:eastAsia="en-US"/>
          <w14:ligatures w14:val="standardContextual"/>
        </w:rPr>
      </w:pPr>
      <w:hyperlink w:anchor="_Toc141647950" w:history="1">
        <w:r w:rsidR="00F03ADA" w:rsidRPr="00912218">
          <w:rPr>
            <w:rStyle w:val="Hyperlink"/>
            <w:noProof/>
          </w:rPr>
          <w:t>Table A2: Sectors in the ADB Multiregional Input–Output Database</w:t>
        </w:r>
        <w:r w:rsidR="00F03ADA">
          <w:rPr>
            <w:noProof/>
            <w:webHidden/>
          </w:rPr>
          <w:tab/>
        </w:r>
        <w:r w:rsidR="00F03ADA">
          <w:rPr>
            <w:noProof/>
            <w:webHidden/>
          </w:rPr>
          <w:fldChar w:fldCharType="begin"/>
        </w:r>
        <w:r w:rsidR="00F03ADA">
          <w:rPr>
            <w:noProof/>
            <w:webHidden/>
          </w:rPr>
          <w:instrText xml:space="preserve"> PAGEREF _Toc141647950 \h </w:instrText>
        </w:r>
        <w:r w:rsidR="00F03ADA">
          <w:rPr>
            <w:noProof/>
            <w:webHidden/>
          </w:rPr>
        </w:r>
        <w:r w:rsidR="00F03ADA">
          <w:rPr>
            <w:noProof/>
            <w:webHidden/>
          </w:rPr>
          <w:fldChar w:fldCharType="separate"/>
        </w:r>
        <w:r w:rsidR="00F03ADA">
          <w:rPr>
            <w:noProof/>
            <w:webHidden/>
          </w:rPr>
          <w:t>65</w:t>
        </w:r>
        <w:r w:rsidR="00F03ADA">
          <w:rPr>
            <w:noProof/>
            <w:webHidden/>
          </w:rPr>
          <w:fldChar w:fldCharType="end"/>
        </w:r>
      </w:hyperlink>
    </w:p>
    <w:p w14:paraId="6BEA66D8" w14:textId="1F0640CE" w:rsidR="004F32BF" w:rsidRDefault="00FC2644" w:rsidP="00FC2644">
      <w:r>
        <w:fldChar w:fldCharType="end"/>
      </w:r>
    </w:p>
    <w:p w14:paraId="00331137" w14:textId="3CAEB452" w:rsidR="004B7F63" w:rsidRPr="00A76DD5" w:rsidRDefault="004B7F63" w:rsidP="00A76DD5">
      <w:pPr>
        <w:rPr>
          <w:b/>
          <w:bCs/>
        </w:rPr>
      </w:pPr>
      <w:r w:rsidRPr="00A76DD5">
        <w:rPr>
          <w:b/>
          <w:bCs/>
        </w:rPr>
        <w:t>Figures</w:t>
      </w:r>
    </w:p>
    <w:p w14:paraId="3A2EDA5C" w14:textId="74D28C5F" w:rsidR="00A70477" w:rsidRDefault="004B7F63">
      <w:pPr>
        <w:pStyle w:val="TableofFigures"/>
        <w:tabs>
          <w:tab w:val="right" w:leader="dot" w:pos="9016"/>
        </w:tabs>
        <w:rPr>
          <w:noProof/>
          <w:kern w:val="2"/>
          <w:lang w:val="en-PH" w:eastAsia="en-US"/>
          <w14:ligatures w14:val="standardContextual"/>
        </w:rPr>
      </w:pPr>
      <w:r>
        <w:fldChar w:fldCharType="begin"/>
      </w:r>
      <w:r>
        <w:instrText xml:space="preserve"> TOC \h \z \c "Figure" </w:instrText>
      </w:r>
      <w:r>
        <w:fldChar w:fldCharType="separate"/>
      </w:r>
      <w:hyperlink w:anchor="_Toc141689880" w:history="1">
        <w:r w:rsidR="00A70477" w:rsidRPr="006F2F0B">
          <w:rPr>
            <w:rStyle w:val="Hyperlink"/>
            <w:noProof/>
          </w:rPr>
          <w:t>Figure 2.1: Real Gross Domestic Product Growth Rate and Brent Crude Prices, 1990–2028</w:t>
        </w:r>
        <w:r w:rsidR="00A70477">
          <w:rPr>
            <w:noProof/>
            <w:webHidden/>
          </w:rPr>
          <w:tab/>
        </w:r>
        <w:r w:rsidR="00A70477">
          <w:rPr>
            <w:noProof/>
            <w:webHidden/>
          </w:rPr>
          <w:fldChar w:fldCharType="begin"/>
        </w:r>
        <w:r w:rsidR="00A70477">
          <w:rPr>
            <w:noProof/>
            <w:webHidden/>
          </w:rPr>
          <w:instrText xml:space="preserve"> PAGEREF _Toc141689880 \h </w:instrText>
        </w:r>
        <w:r w:rsidR="00A70477">
          <w:rPr>
            <w:noProof/>
            <w:webHidden/>
          </w:rPr>
        </w:r>
        <w:r w:rsidR="00A70477">
          <w:rPr>
            <w:noProof/>
            <w:webHidden/>
          </w:rPr>
          <w:fldChar w:fldCharType="separate"/>
        </w:r>
        <w:r w:rsidR="00A70477">
          <w:rPr>
            <w:noProof/>
            <w:webHidden/>
          </w:rPr>
          <w:t>13</w:t>
        </w:r>
        <w:r w:rsidR="00A70477">
          <w:rPr>
            <w:noProof/>
            <w:webHidden/>
          </w:rPr>
          <w:fldChar w:fldCharType="end"/>
        </w:r>
      </w:hyperlink>
    </w:p>
    <w:p w14:paraId="327BDE54" w14:textId="438F63DB" w:rsidR="00A70477" w:rsidRDefault="00000000">
      <w:pPr>
        <w:pStyle w:val="TableofFigures"/>
        <w:tabs>
          <w:tab w:val="right" w:leader="dot" w:pos="9016"/>
        </w:tabs>
        <w:rPr>
          <w:noProof/>
          <w:kern w:val="2"/>
          <w:lang w:val="en-PH" w:eastAsia="en-US"/>
          <w14:ligatures w14:val="standardContextual"/>
        </w:rPr>
      </w:pPr>
      <w:hyperlink w:anchor="_Toc141689881" w:history="1">
        <w:r w:rsidR="00A70477" w:rsidRPr="006F2F0B">
          <w:rPr>
            <w:rStyle w:val="Hyperlink"/>
            <w:noProof/>
          </w:rPr>
          <w:t>Figure 2.2: Trade Openness at Various Levels of Economic Size, 2021</w:t>
        </w:r>
        <w:r w:rsidR="00A70477">
          <w:rPr>
            <w:noProof/>
            <w:webHidden/>
          </w:rPr>
          <w:tab/>
        </w:r>
        <w:r w:rsidR="00A70477">
          <w:rPr>
            <w:noProof/>
            <w:webHidden/>
          </w:rPr>
          <w:fldChar w:fldCharType="begin"/>
        </w:r>
        <w:r w:rsidR="00A70477">
          <w:rPr>
            <w:noProof/>
            <w:webHidden/>
          </w:rPr>
          <w:instrText xml:space="preserve"> PAGEREF _Toc141689881 \h </w:instrText>
        </w:r>
        <w:r w:rsidR="00A70477">
          <w:rPr>
            <w:noProof/>
            <w:webHidden/>
          </w:rPr>
        </w:r>
        <w:r w:rsidR="00A70477">
          <w:rPr>
            <w:noProof/>
            <w:webHidden/>
          </w:rPr>
          <w:fldChar w:fldCharType="separate"/>
        </w:r>
        <w:r w:rsidR="00A70477">
          <w:rPr>
            <w:noProof/>
            <w:webHidden/>
          </w:rPr>
          <w:t>15</w:t>
        </w:r>
        <w:r w:rsidR="00A70477">
          <w:rPr>
            <w:noProof/>
            <w:webHidden/>
          </w:rPr>
          <w:fldChar w:fldCharType="end"/>
        </w:r>
      </w:hyperlink>
    </w:p>
    <w:p w14:paraId="550D0D5D" w14:textId="66A01E1D" w:rsidR="00A70477" w:rsidRDefault="00000000">
      <w:pPr>
        <w:pStyle w:val="TableofFigures"/>
        <w:tabs>
          <w:tab w:val="right" w:leader="dot" w:pos="9016"/>
        </w:tabs>
        <w:rPr>
          <w:noProof/>
          <w:kern w:val="2"/>
          <w:lang w:val="en-PH" w:eastAsia="en-US"/>
          <w14:ligatures w14:val="standardContextual"/>
        </w:rPr>
      </w:pPr>
      <w:hyperlink w:anchor="_Toc141689882" w:history="1">
        <w:r w:rsidR="00A70477" w:rsidRPr="006F2F0B">
          <w:rPr>
            <w:rStyle w:val="Hyperlink"/>
            <w:noProof/>
          </w:rPr>
          <w:t>Figure 2.3: Network Diagram of Global Merchandise Trade, 2021</w:t>
        </w:r>
        <w:r w:rsidR="00A70477">
          <w:rPr>
            <w:noProof/>
            <w:webHidden/>
          </w:rPr>
          <w:tab/>
        </w:r>
        <w:r w:rsidR="00A70477">
          <w:rPr>
            <w:noProof/>
            <w:webHidden/>
          </w:rPr>
          <w:fldChar w:fldCharType="begin"/>
        </w:r>
        <w:r w:rsidR="00A70477">
          <w:rPr>
            <w:noProof/>
            <w:webHidden/>
          </w:rPr>
          <w:instrText xml:space="preserve"> PAGEREF _Toc141689882 \h </w:instrText>
        </w:r>
        <w:r w:rsidR="00A70477">
          <w:rPr>
            <w:noProof/>
            <w:webHidden/>
          </w:rPr>
        </w:r>
        <w:r w:rsidR="00A70477">
          <w:rPr>
            <w:noProof/>
            <w:webHidden/>
          </w:rPr>
          <w:fldChar w:fldCharType="separate"/>
        </w:r>
        <w:r w:rsidR="00A70477">
          <w:rPr>
            <w:noProof/>
            <w:webHidden/>
          </w:rPr>
          <w:t>17</w:t>
        </w:r>
        <w:r w:rsidR="00A70477">
          <w:rPr>
            <w:noProof/>
            <w:webHidden/>
          </w:rPr>
          <w:fldChar w:fldCharType="end"/>
        </w:r>
      </w:hyperlink>
    </w:p>
    <w:p w14:paraId="70C6823F" w14:textId="58AA0100" w:rsidR="00A70477" w:rsidRDefault="00000000">
      <w:pPr>
        <w:pStyle w:val="TableofFigures"/>
        <w:tabs>
          <w:tab w:val="right" w:leader="dot" w:pos="9016"/>
        </w:tabs>
        <w:rPr>
          <w:noProof/>
          <w:kern w:val="2"/>
          <w:lang w:val="en-PH" w:eastAsia="en-US"/>
          <w14:ligatures w14:val="standardContextual"/>
        </w:rPr>
      </w:pPr>
      <w:hyperlink w:anchor="_Toc141689883" w:history="1">
        <w:r w:rsidR="00A70477" w:rsidRPr="006F2F0B">
          <w:rPr>
            <w:rStyle w:val="Hyperlink"/>
            <w:noProof/>
          </w:rPr>
          <w:t>Figure 2.4: Merchandise Exports by Broad Product Groupings, 2002–2021</w:t>
        </w:r>
        <w:r w:rsidR="00A70477">
          <w:rPr>
            <w:noProof/>
            <w:webHidden/>
          </w:rPr>
          <w:tab/>
        </w:r>
        <w:r w:rsidR="00A70477">
          <w:rPr>
            <w:noProof/>
            <w:webHidden/>
          </w:rPr>
          <w:fldChar w:fldCharType="begin"/>
        </w:r>
        <w:r w:rsidR="00A70477">
          <w:rPr>
            <w:noProof/>
            <w:webHidden/>
          </w:rPr>
          <w:instrText xml:space="preserve"> PAGEREF _Toc141689883 \h </w:instrText>
        </w:r>
        <w:r w:rsidR="00A70477">
          <w:rPr>
            <w:noProof/>
            <w:webHidden/>
          </w:rPr>
        </w:r>
        <w:r w:rsidR="00A70477">
          <w:rPr>
            <w:noProof/>
            <w:webHidden/>
          </w:rPr>
          <w:fldChar w:fldCharType="separate"/>
        </w:r>
        <w:r w:rsidR="00A70477">
          <w:rPr>
            <w:noProof/>
            <w:webHidden/>
          </w:rPr>
          <w:t>18</w:t>
        </w:r>
        <w:r w:rsidR="00A70477">
          <w:rPr>
            <w:noProof/>
            <w:webHidden/>
          </w:rPr>
          <w:fldChar w:fldCharType="end"/>
        </w:r>
      </w:hyperlink>
    </w:p>
    <w:p w14:paraId="0A7FA672" w14:textId="19124D52" w:rsidR="00A70477" w:rsidRDefault="00000000">
      <w:pPr>
        <w:pStyle w:val="TableofFigures"/>
        <w:tabs>
          <w:tab w:val="right" w:leader="dot" w:pos="9016"/>
        </w:tabs>
        <w:rPr>
          <w:noProof/>
          <w:kern w:val="2"/>
          <w:lang w:val="en-PH" w:eastAsia="en-US"/>
          <w14:ligatures w14:val="standardContextual"/>
        </w:rPr>
      </w:pPr>
      <w:hyperlink w:anchor="_Toc141689884" w:history="1">
        <w:r w:rsidR="00A70477" w:rsidRPr="006F2F0B">
          <w:rPr>
            <w:rStyle w:val="Hyperlink"/>
            <w:noProof/>
          </w:rPr>
          <w:t>Figure 2.5: Merchandise Export Concentration, Selected Countries, 2005, 2010, 2015, 2021</w:t>
        </w:r>
        <w:r w:rsidR="00A70477">
          <w:rPr>
            <w:noProof/>
            <w:webHidden/>
          </w:rPr>
          <w:tab/>
        </w:r>
        <w:r w:rsidR="00A70477">
          <w:rPr>
            <w:noProof/>
            <w:webHidden/>
          </w:rPr>
          <w:fldChar w:fldCharType="begin"/>
        </w:r>
        <w:r w:rsidR="00A70477">
          <w:rPr>
            <w:noProof/>
            <w:webHidden/>
          </w:rPr>
          <w:instrText xml:space="preserve"> PAGEREF _Toc141689884 \h </w:instrText>
        </w:r>
        <w:r w:rsidR="00A70477">
          <w:rPr>
            <w:noProof/>
            <w:webHidden/>
          </w:rPr>
        </w:r>
        <w:r w:rsidR="00A70477">
          <w:rPr>
            <w:noProof/>
            <w:webHidden/>
          </w:rPr>
          <w:fldChar w:fldCharType="separate"/>
        </w:r>
        <w:r w:rsidR="00A70477">
          <w:rPr>
            <w:noProof/>
            <w:webHidden/>
          </w:rPr>
          <w:t>20</w:t>
        </w:r>
        <w:r w:rsidR="00A70477">
          <w:rPr>
            <w:noProof/>
            <w:webHidden/>
          </w:rPr>
          <w:fldChar w:fldCharType="end"/>
        </w:r>
      </w:hyperlink>
    </w:p>
    <w:p w14:paraId="5E212B1E" w14:textId="6A74406A" w:rsidR="00A70477" w:rsidRDefault="00000000">
      <w:pPr>
        <w:pStyle w:val="TableofFigures"/>
        <w:tabs>
          <w:tab w:val="right" w:leader="dot" w:pos="9016"/>
        </w:tabs>
        <w:rPr>
          <w:noProof/>
          <w:kern w:val="2"/>
          <w:lang w:val="en-PH" w:eastAsia="en-US"/>
          <w14:ligatures w14:val="standardContextual"/>
        </w:rPr>
      </w:pPr>
      <w:hyperlink w:anchor="_Toc141689885" w:history="1">
        <w:r w:rsidR="00A70477" w:rsidRPr="006F2F0B">
          <w:rPr>
            <w:rStyle w:val="Hyperlink"/>
            <w:noProof/>
          </w:rPr>
          <w:t>Figure 3.1: Decomposition of Exports into Value-Added Categories, Kazakhstan, 2000, 2007–2022</w:t>
        </w:r>
        <w:r w:rsidR="00A70477">
          <w:rPr>
            <w:noProof/>
            <w:webHidden/>
          </w:rPr>
          <w:tab/>
        </w:r>
        <w:r w:rsidR="00A70477">
          <w:rPr>
            <w:noProof/>
            <w:webHidden/>
          </w:rPr>
          <w:fldChar w:fldCharType="begin"/>
        </w:r>
        <w:r w:rsidR="00A70477">
          <w:rPr>
            <w:noProof/>
            <w:webHidden/>
          </w:rPr>
          <w:instrText xml:space="preserve"> PAGEREF _Toc141689885 \h </w:instrText>
        </w:r>
        <w:r w:rsidR="00A70477">
          <w:rPr>
            <w:noProof/>
            <w:webHidden/>
          </w:rPr>
        </w:r>
        <w:r w:rsidR="00A70477">
          <w:rPr>
            <w:noProof/>
            <w:webHidden/>
          </w:rPr>
          <w:fldChar w:fldCharType="separate"/>
        </w:r>
        <w:r w:rsidR="00A70477">
          <w:rPr>
            <w:noProof/>
            <w:webHidden/>
          </w:rPr>
          <w:t>24</w:t>
        </w:r>
        <w:r w:rsidR="00A70477">
          <w:rPr>
            <w:noProof/>
            <w:webHidden/>
          </w:rPr>
          <w:fldChar w:fldCharType="end"/>
        </w:r>
      </w:hyperlink>
    </w:p>
    <w:p w14:paraId="39801795" w14:textId="2BC33AF1" w:rsidR="00A70477" w:rsidRDefault="00000000">
      <w:pPr>
        <w:pStyle w:val="TableofFigures"/>
        <w:tabs>
          <w:tab w:val="right" w:leader="dot" w:pos="9016"/>
        </w:tabs>
        <w:rPr>
          <w:noProof/>
          <w:kern w:val="2"/>
          <w:lang w:val="en-PH" w:eastAsia="en-US"/>
          <w14:ligatures w14:val="standardContextual"/>
        </w:rPr>
      </w:pPr>
      <w:hyperlink w:anchor="_Toc141689886" w:history="1">
        <w:r w:rsidR="00A70477" w:rsidRPr="006F2F0B">
          <w:rPr>
            <w:rStyle w:val="Hyperlink"/>
            <w:noProof/>
          </w:rPr>
          <w:t>Figure 3.2: Top Ten Trading Partners by Value Added Category, Kazakhstan, 2021 vs 2022</w:t>
        </w:r>
        <w:r w:rsidR="00A70477">
          <w:rPr>
            <w:noProof/>
            <w:webHidden/>
          </w:rPr>
          <w:tab/>
        </w:r>
        <w:r w:rsidR="00A70477">
          <w:rPr>
            <w:noProof/>
            <w:webHidden/>
          </w:rPr>
          <w:fldChar w:fldCharType="begin"/>
        </w:r>
        <w:r w:rsidR="00A70477">
          <w:rPr>
            <w:noProof/>
            <w:webHidden/>
          </w:rPr>
          <w:instrText xml:space="preserve"> PAGEREF _Toc141689886 \h </w:instrText>
        </w:r>
        <w:r w:rsidR="00A70477">
          <w:rPr>
            <w:noProof/>
            <w:webHidden/>
          </w:rPr>
        </w:r>
        <w:r w:rsidR="00A70477">
          <w:rPr>
            <w:noProof/>
            <w:webHidden/>
          </w:rPr>
          <w:fldChar w:fldCharType="separate"/>
        </w:r>
        <w:r w:rsidR="00A70477">
          <w:rPr>
            <w:noProof/>
            <w:webHidden/>
          </w:rPr>
          <w:t>25</w:t>
        </w:r>
        <w:r w:rsidR="00A70477">
          <w:rPr>
            <w:noProof/>
            <w:webHidden/>
          </w:rPr>
          <w:fldChar w:fldCharType="end"/>
        </w:r>
      </w:hyperlink>
    </w:p>
    <w:p w14:paraId="0215885F" w14:textId="2DEEB730" w:rsidR="00A70477" w:rsidRDefault="00000000">
      <w:pPr>
        <w:pStyle w:val="TableofFigures"/>
        <w:tabs>
          <w:tab w:val="right" w:leader="dot" w:pos="9016"/>
        </w:tabs>
        <w:rPr>
          <w:noProof/>
          <w:kern w:val="2"/>
          <w:lang w:val="en-PH" w:eastAsia="en-US"/>
          <w14:ligatures w14:val="standardContextual"/>
        </w:rPr>
      </w:pPr>
      <w:hyperlink w:anchor="_Toc141689887" w:history="1">
        <w:r w:rsidR="00A70477" w:rsidRPr="006F2F0B">
          <w:rPr>
            <w:rStyle w:val="Hyperlink"/>
            <w:noProof/>
          </w:rPr>
          <w:t>Figure 3.3: Global Value Chain Participation Rates, Kazakhstan, 2000, 2007–2022</w:t>
        </w:r>
        <w:r w:rsidR="00A70477">
          <w:rPr>
            <w:noProof/>
            <w:webHidden/>
          </w:rPr>
          <w:tab/>
        </w:r>
        <w:r w:rsidR="00A70477">
          <w:rPr>
            <w:noProof/>
            <w:webHidden/>
          </w:rPr>
          <w:fldChar w:fldCharType="begin"/>
        </w:r>
        <w:r w:rsidR="00A70477">
          <w:rPr>
            <w:noProof/>
            <w:webHidden/>
          </w:rPr>
          <w:instrText xml:space="preserve"> PAGEREF _Toc141689887 \h </w:instrText>
        </w:r>
        <w:r w:rsidR="00A70477">
          <w:rPr>
            <w:noProof/>
            <w:webHidden/>
          </w:rPr>
        </w:r>
        <w:r w:rsidR="00A70477">
          <w:rPr>
            <w:noProof/>
            <w:webHidden/>
          </w:rPr>
          <w:fldChar w:fldCharType="separate"/>
        </w:r>
        <w:r w:rsidR="00A70477">
          <w:rPr>
            <w:noProof/>
            <w:webHidden/>
          </w:rPr>
          <w:t>26</w:t>
        </w:r>
        <w:r w:rsidR="00A70477">
          <w:rPr>
            <w:noProof/>
            <w:webHidden/>
          </w:rPr>
          <w:fldChar w:fldCharType="end"/>
        </w:r>
      </w:hyperlink>
    </w:p>
    <w:p w14:paraId="0F1D64CE" w14:textId="73D5A484" w:rsidR="00A70477" w:rsidRDefault="00000000">
      <w:pPr>
        <w:pStyle w:val="TableofFigures"/>
        <w:tabs>
          <w:tab w:val="right" w:leader="dot" w:pos="9016"/>
        </w:tabs>
        <w:rPr>
          <w:noProof/>
          <w:kern w:val="2"/>
          <w:lang w:val="en-PH" w:eastAsia="en-US"/>
          <w14:ligatures w14:val="standardContextual"/>
        </w:rPr>
      </w:pPr>
      <w:hyperlink w:anchor="_Toc141689888" w:history="1">
        <w:r w:rsidR="00A70477" w:rsidRPr="006F2F0B">
          <w:rPr>
            <w:rStyle w:val="Hyperlink"/>
            <w:noProof/>
          </w:rPr>
          <w:t>Figure 3.4: Global Value Chain Participation Rates, Selected Countries, 2000, 2010, 2022</w:t>
        </w:r>
        <w:r w:rsidR="00A70477">
          <w:rPr>
            <w:noProof/>
            <w:webHidden/>
          </w:rPr>
          <w:tab/>
        </w:r>
        <w:r w:rsidR="00A70477">
          <w:rPr>
            <w:noProof/>
            <w:webHidden/>
          </w:rPr>
          <w:fldChar w:fldCharType="begin"/>
        </w:r>
        <w:r w:rsidR="00A70477">
          <w:rPr>
            <w:noProof/>
            <w:webHidden/>
          </w:rPr>
          <w:instrText xml:space="preserve"> PAGEREF _Toc141689888 \h </w:instrText>
        </w:r>
        <w:r w:rsidR="00A70477">
          <w:rPr>
            <w:noProof/>
            <w:webHidden/>
          </w:rPr>
        </w:r>
        <w:r w:rsidR="00A70477">
          <w:rPr>
            <w:noProof/>
            <w:webHidden/>
          </w:rPr>
          <w:fldChar w:fldCharType="separate"/>
        </w:r>
        <w:r w:rsidR="00A70477">
          <w:rPr>
            <w:noProof/>
            <w:webHidden/>
          </w:rPr>
          <w:t>27</w:t>
        </w:r>
        <w:r w:rsidR="00A70477">
          <w:rPr>
            <w:noProof/>
            <w:webHidden/>
          </w:rPr>
          <w:fldChar w:fldCharType="end"/>
        </w:r>
      </w:hyperlink>
    </w:p>
    <w:p w14:paraId="75B0E077" w14:textId="4A301DC0" w:rsidR="00A70477" w:rsidRDefault="00000000">
      <w:pPr>
        <w:pStyle w:val="TableofFigures"/>
        <w:tabs>
          <w:tab w:val="right" w:leader="dot" w:pos="9016"/>
        </w:tabs>
        <w:rPr>
          <w:noProof/>
          <w:kern w:val="2"/>
          <w:lang w:val="en-PH" w:eastAsia="en-US"/>
          <w14:ligatures w14:val="standardContextual"/>
        </w:rPr>
      </w:pPr>
      <w:hyperlink w:anchor="_Toc141689889" w:history="1">
        <w:r w:rsidR="00A70477" w:rsidRPr="006F2F0B">
          <w:rPr>
            <w:rStyle w:val="Hyperlink"/>
            <w:noProof/>
          </w:rPr>
          <w:t>Figure 3.5: Decomposition of Exports into Value Added Categories by Sector, Kazakhstan, 2022</w:t>
        </w:r>
        <w:r w:rsidR="00A70477">
          <w:rPr>
            <w:noProof/>
            <w:webHidden/>
          </w:rPr>
          <w:tab/>
        </w:r>
        <w:r w:rsidR="00A70477">
          <w:rPr>
            <w:noProof/>
            <w:webHidden/>
          </w:rPr>
          <w:fldChar w:fldCharType="begin"/>
        </w:r>
        <w:r w:rsidR="00A70477">
          <w:rPr>
            <w:noProof/>
            <w:webHidden/>
          </w:rPr>
          <w:instrText xml:space="preserve"> PAGEREF _Toc141689889 \h </w:instrText>
        </w:r>
        <w:r w:rsidR="00A70477">
          <w:rPr>
            <w:noProof/>
            <w:webHidden/>
          </w:rPr>
        </w:r>
        <w:r w:rsidR="00A70477">
          <w:rPr>
            <w:noProof/>
            <w:webHidden/>
          </w:rPr>
          <w:fldChar w:fldCharType="separate"/>
        </w:r>
        <w:r w:rsidR="00A70477">
          <w:rPr>
            <w:noProof/>
            <w:webHidden/>
          </w:rPr>
          <w:t>28</w:t>
        </w:r>
        <w:r w:rsidR="00A70477">
          <w:rPr>
            <w:noProof/>
            <w:webHidden/>
          </w:rPr>
          <w:fldChar w:fldCharType="end"/>
        </w:r>
      </w:hyperlink>
    </w:p>
    <w:p w14:paraId="1DA03DD4" w14:textId="41CB4CD0" w:rsidR="00A70477" w:rsidRDefault="00000000">
      <w:pPr>
        <w:pStyle w:val="TableofFigures"/>
        <w:tabs>
          <w:tab w:val="right" w:leader="dot" w:pos="9016"/>
        </w:tabs>
        <w:rPr>
          <w:noProof/>
          <w:kern w:val="2"/>
          <w:lang w:val="en-PH" w:eastAsia="en-US"/>
          <w14:ligatures w14:val="standardContextual"/>
        </w:rPr>
      </w:pPr>
      <w:hyperlink w:anchor="_Toc141689890" w:history="1">
        <w:r w:rsidR="00A70477" w:rsidRPr="006F2F0B">
          <w:rPr>
            <w:rStyle w:val="Hyperlink"/>
            <w:noProof/>
          </w:rPr>
          <w:t>Figure 3.6: GVC Production Lengths by Sector, Kazakhstan, 2000, 2010, 2022</w:t>
        </w:r>
        <w:r w:rsidR="00A70477">
          <w:rPr>
            <w:noProof/>
            <w:webHidden/>
          </w:rPr>
          <w:tab/>
        </w:r>
        <w:r w:rsidR="00A70477">
          <w:rPr>
            <w:noProof/>
            <w:webHidden/>
          </w:rPr>
          <w:fldChar w:fldCharType="begin"/>
        </w:r>
        <w:r w:rsidR="00A70477">
          <w:rPr>
            <w:noProof/>
            <w:webHidden/>
          </w:rPr>
          <w:instrText xml:space="preserve"> PAGEREF _Toc141689890 \h </w:instrText>
        </w:r>
        <w:r w:rsidR="00A70477">
          <w:rPr>
            <w:noProof/>
            <w:webHidden/>
          </w:rPr>
        </w:r>
        <w:r w:rsidR="00A70477">
          <w:rPr>
            <w:noProof/>
            <w:webHidden/>
          </w:rPr>
          <w:fldChar w:fldCharType="separate"/>
        </w:r>
        <w:r w:rsidR="00A70477">
          <w:rPr>
            <w:noProof/>
            <w:webHidden/>
          </w:rPr>
          <w:t>31</w:t>
        </w:r>
        <w:r w:rsidR="00A70477">
          <w:rPr>
            <w:noProof/>
            <w:webHidden/>
          </w:rPr>
          <w:fldChar w:fldCharType="end"/>
        </w:r>
      </w:hyperlink>
    </w:p>
    <w:p w14:paraId="2770A697" w14:textId="2E236C91" w:rsidR="00A70477" w:rsidRDefault="00000000">
      <w:pPr>
        <w:pStyle w:val="TableofFigures"/>
        <w:tabs>
          <w:tab w:val="right" w:leader="dot" w:pos="9016"/>
        </w:tabs>
        <w:rPr>
          <w:noProof/>
          <w:kern w:val="2"/>
          <w:lang w:val="en-PH" w:eastAsia="en-US"/>
          <w14:ligatures w14:val="standardContextual"/>
        </w:rPr>
      </w:pPr>
      <w:hyperlink w:anchor="_Toc141689891" w:history="1">
        <w:r w:rsidR="00A70477" w:rsidRPr="006F2F0B">
          <w:rPr>
            <w:rStyle w:val="Hyperlink"/>
            <w:noProof/>
          </w:rPr>
          <w:t>Figure 3.7: Forward GVCs Lengths for Selected Sectors, Kazakhstan, 2000, 2010, 2020, 2022</w:t>
        </w:r>
        <w:r w:rsidR="00A70477">
          <w:rPr>
            <w:noProof/>
            <w:webHidden/>
          </w:rPr>
          <w:tab/>
        </w:r>
        <w:r w:rsidR="00A70477">
          <w:rPr>
            <w:noProof/>
            <w:webHidden/>
          </w:rPr>
          <w:fldChar w:fldCharType="begin"/>
        </w:r>
        <w:r w:rsidR="00A70477">
          <w:rPr>
            <w:noProof/>
            <w:webHidden/>
          </w:rPr>
          <w:instrText xml:space="preserve"> PAGEREF _Toc141689891 \h </w:instrText>
        </w:r>
        <w:r w:rsidR="00A70477">
          <w:rPr>
            <w:noProof/>
            <w:webHidden/>
          </w:rPr>
        </w:r>
        <w:r w:rsidR="00A70477">
          <w:rPr>
            <w:noProof/>
            <w:webHidden/>
          </w:rPr>
          <w:fldChar w:fldCharType="separate"/>
        </w:r>
        <w:r w:rsidR="00A70477">
          <w:rPr>
            <w:noProof/>
            <w:webHidden/>
          </w:rPr>
          <w:t>32</w:t>
        </w:r>
        <w:r w:rsidR="00A70477">
          <w:rPr>
            <w:noProof/>
            <w:webHidden/>
          </w:rPr>
          <w:fldChar w:fldCharType="end"/>
        </w:r>
      </w:hyperlink>
    </w:p>
    <w:p w14:paraId="27B3A7A7" w14:textId="1003B19A" w:rsidR="00A70477" w:rsidRDefault="00000000">
      <w:pPr>
        <w:pStyle w:val="TableofFigures"/>
        <w:tabs>
          <w:tab w:val="right" w:leader="dot" w:pos="9016"/>
        </w:tabs>
        <w:rPr>
          <w:noProof/>
          <w:kern w:val="2"/>
          <w:lang w:val="en-PH" w:eastAsia="en-US"/>
          <w14:ligatures w14:val="standardContextual"/>
        </w:rPr>
      </w:pPr>
      <w:hyperlink w:anchor="_Toc141689892" w:history="1">
        <w:r w:rsidR="00A70477" w:rsidRPr="006F2F0B">
          <w:rPr>
            <w:rStyle w:val="Hyperlink"/>
            <w:noProof/>
          </w:rPr>
          <w:t>Figure 4.1: Revealed Comparative Advantage Indices, Kazakhstan, 2017–2022</w:t>
        </w:r>
        <w:r w:rsidR="00A70477">
          <w:rPr>
            <w:noProof/>
            <w:webHidden/>
          </w:rPr>
          <w:tab/>
        </w:r>
        <w:r w:rsidR="00A70477">
          <w:rPr>
            <w:noProof/>
            <w:webHidden/>
          </w:rPr>
          <w:fldChar w:fldCharType="begin"/>
        </w:r>
        <w:r w:rsidR="00A70477">
          <w:rPr>
            <w:noProof/>
            <w:webHidden/>
          </w:rPr>
          <w:instrText xml:space="preserve"> PAGEREF _Toc141689892 \h </w:instrText>
        </w:r>
        <w:r w:rsidR="00A70477">
          <w:rPr>
            <w:noProof/>
            <w:webHidden/>
          </w:rPr>
        </w:r>
        <w:r w:rsidR="00A70477">
          <w:rPr>
            <w:noProof/>
            <w:webHidden/>
          </w:rPr>
          <w:fldChar w:fldCharType="separate"/>
        </w:r>
        <w:r w:rsidR="00A70477">
          <w:rPr>
            <w:noProof/>
            <w:webHidden/>
          </w:rPr>
          <w:t>35</w:t>
        </w:r>
        <w:r w:rsidR="00A70477">
          <w:rPr>
            <w:noProof/>
            <w:webHidden/>
          </w:rPr>
          <w:fldChar w:fldCharType="end"/>
        </w:r>
      </w:hyperlink>
    </w:p>
    <w:p w14:paraId="32337F5F" w14:textId="021C6A2C" w:rsidR="00A70477" w:rsidRDefault="00000000">
      <w:pPr>
        <w:pStyle w:val="TableofFigures"/>
        <w:tabs>
          <w:tab w:val="right" w:leader="dot" w:pos="9016"/>
        </w:tabs>
        <w:rPr>
          <w:noProof/>
          <w:kern w:val="2"/>
          <w:lang w:val="en-PH" w:eastAsia="en-US"/>
          <w14:ligatures w14:val="standardContextual"/>
        </w:rPr>
      </w:pPr>
      <w:hyperlink w:anchor="_Toc141689893" w:history="1">
        <w:r w:rsidR="00A70477" w:rsidRPr="006F2F0B">
          <w:rPr>
            <w:rStyle w:val="Hyperlink"/>
            <w:noProof/>
          </w:rPr>
          <w:t>Figure 4.2: Positioning in Mining and Metals GVCs, Selected Countries, 2010 and 2022</w:t>
        </w:r>
        <w:r w:rsidR="00A70477">
          <w:rPr>
            <w:noProof/>
            <w:webHidden/>
          </w:rPr>
          <w:tab/>
        </w:r>
        <w:r w:rsidR="00A70477">
          <w:rPr>
            <w:noProof/>
            <w:webHidden/>
          </w:rPr>
          <w:fldChar w:fldCharType="begin"/>
        </w:r>
        <w:r w:rsidR="00A70477">
          <w:rPr>
            <w:noProof/>
            <w:webHidden/>
          </w:rPr>
          <w:instrText xml:space="preserve"> PAGEREF _Toc141689893 \h </w:instrText>
        </w:r>
        <w:r w:rsidR="00A70477">
          <w:rPr>
            <w:noProof/>
            <w:webHidden/>
          </w:rPr>
        </w:r>
        <w:r w:rsidR="00A70477">
          <w:rPr>
            <w:noProof/>
            <w:webHidden/>
          </w:rPr>
          <w:fldChar w:fldCharType="separate"/>
        </w:r>
        <w:r w:rsidR="00A70477">
          <w:rPr>
            <w:noProof/>
            <w:webHidden/>
          </w:rPr>
          <w:t>36</w:t>
        </w:r>
        <w:r w:rsidR="00A70477">
          <w:rPr>
            <w:noProof/>
            <w:webHidden/>
          </w:rPr>
          <w:fldChar w:fldCharType="end"/>
        </w:r>
      </w:hyperlink>
    </w:p>
    <w:p w14:paraId="7CAA20D9" w14:textId="302EE86D" w:rsidR="00A70477" w:rsidRDefault="00000000">
      <w:pPr>
        <w:pStyle w:val="TableofFigures"/>
        <w:tabs>
          <w:tab w:val="right" w:leader="dot" w:pos="9016"/>
        </w:tabs>
        <w:rPr>
          <w:noProof/>
          <w:kern w:val="2"/>
          <w:lang w:val="en-PH" w:eastAsia="en-US"/>
          <w14:ligatures w14:val="standardContextual"/>
        </w:rPr>
      </w:pPr>
      <w:hyperlink w:anchor="_Toc141689894" w:history="1">
        <w:r w:rsidR="00A70477" w:rsidRPr="006F2F0B">
          <w:rPr>
            <w:rStyle w:val="Hyperlink"/>
            <w:noProof/>
          </w:rPr>
          <w:t>Figure 4.3: Real Effective Exchange Rate Weights, Selected Sectors, Kazakhstan, 2007–2022</w:t>
        </w:r>
        <w:r w:rsidR="00A70477">
          <w:rPr>
            <w:noProof/>
            <w:webHidden/>
          </w:rPr>
          <w:tab/>
        </w:r>
        <w:r w:rsidR="00A70477">
          <w:rPr>
            <w:noProof/>
            <w:webHidden/>
          </w:rPr>
          <w:fldChar w:fldCharType="begin"/>
        </w:r>
        <w:r w:rsidR="00A70477">
          <w:rPr>
            <w:noProof/>
            <w:webHidden/>
          </w:rPr>
          <w:instrText xml:space="preserve"> PAGEREF _Toc141689894 \h </w:instrText>
        </w:r>
        <w:r w:rsidR="00A70477">
          <w:rPr>
            <w:noProof/>
            <w:webHidden/>
          </w:rPr>
        </w:r>
        <w:r w:rsidR="00A70477">
          <w:rPr>
            <w:noProof/>
            <w:webHidden/>
          </w:rPr>
          <w:fldChar w:fldCharType="separate"/>
        </w:r>
        <w:r w:rsidR="00A70477">
          <w:rPr>
            <w:noProof/>
            <w:webHidden/>
          </w:rPr>
          <w:t>38</w:t>
        </w:r>
        <w:r w:rsidR="00A70477">
          <w:rPr>
            <w:noProof/>
            <w:webHidden/>
          </w:rPr>
          <w:fldChar w:fldCharType="end"/>
        </w:r>
      </w:hyperlink>
    </w:p>
    <w:p w14:paraId="25BB0DA9" w14:textId="405A7271" w:rsidR="00A70477" w:rsidRDefault="00000000">
      <w:pPr>
        <w:pStyle w:val="TableofFigures"/>
        <w:tabs>
          <w:tab w:val="right" w:leader="dot" w:pos="9016"/>
        </w:tabs>
        <w:rPr>
          <w:noProof/>
          <w:kern w:val="2"/>
          <w:lang w:val="en-PH" w:eastAsia="en-US"/>
          <w14:ligatures w14:val="standardContextual"/>
        </w:rPr>
      </w:pPr>
      <w:hyperlink w:anchor="_Toc141689895" w:history="1">
        <w:r w:rsidR="00A70477" w:rsidRPr="006F2F0B">
          <w:rPr>
            <w:rStyle w:val="Hyperlink"/>
            <w:noProof/>
          </w:rPr>
          <w:t>Figure 4.4: Change in Real Effective Exchange Rate Index, Kazakhstan and Russian Federation, Selected Sectors, 2007–2021</w:t>
        </w:r>
        <w:r w:rsidR="00A70477">
          <w:rPr>
            <w:noProof/>
            <w:webHidden/>
          </w:rPr>
          <w:tab/>
        </w:r>
        <w:r w:rsidR="00A70477">
          <w:rPr>
            <w:noProof/>
            <w:webHidden/>
          </w:rPr>
          <w:fldChar w:fldCharType="begin"/>
        </w:r>
        <w:r w:rsidR="00A70477">
          <w:rPr>
            <w:noProof/>
            <w:webHidden/>
          </w:rPr>
          <w:instrText xml:space="preserve"> PAGEREF _Toc141689895 \h </w:instrText>
        </w:r>
        <w:r w:rsidR="00A70477">
          <w:rPr>
            <w:noProof/>
            <w:webHidden/>
          </w:rPr>
        </w:r>
        <w:r w:rsidR="00A70477">
          <w:rPr>
            <w:noProof/>
            <w:webHidden/>
          </w:rPr>
          <w:fldChar w:fldCharType="separate"/>
        </w:r>
        <w:r w:rsidR="00A70477">
          <w:rPr>
            <w:noProof/>
            <w:webHidden/>
          </w:rPr>
          <w:t>40</w:t>
        </w:r>
        <w:r w:rsidR="00A70477">
          <w:rPr>
            <w:noProof/>
            <w:webHidden/>
          </w:rPr>
          <w:fldChar w:fldCharType="end"/>
        </w:r>
      </w:hyperlink>
    </w:p>
    <w:p w14:paraId="1407C45E" w14:textId="2F9A3A09" w:rsidR="00A70477" w:rsidRDefault="00000000">
      <w:pPr>
        <w:pStyle w:val="TableofFigures"/>
        <w:tabs>
          <w:tab w:val="right" w:leader="dot" w:pos="9016"/>
        </w:tabs>
        <w:rPr>
          <w:noProof/>
          <w:kern w:val="2"/>
          <w:lang w:val="en-PH" w:eastAsia="en-US"/>
          <w14:ligatures w14:val="standardContextual"/>
        </w:rPr>
      </w:pPr>
      <w:hyperlink w:anchor="_Toc141689896" w:history="1">
        <w:r w:rsidR="00A70477" w:rsidRPr="006F2F0B">
          <w:rPr>
            <w:rStyle w:val="Hyperlink"/>
            <w:noProof/>
          </w:rPr>
          <w:t>Figure 4.5: Real Effective Exchange Rate Mean and Volatility, 2007–2021</w:t>
        </w:r>
        <w:r w:rsidR="00A70477">
          <w:rPr>
            <w:noProof/>
            <w:webHidden/>
          </w:rPr>
          <w:tab/>
        </w:r>
        <w:r w:rsidR="00A70477">
          <w:rPr>
            <w:noProof/>
            <w:webHidden/>
          </w:rPr>
          <w:fldChar w:fldCharType="begin"/>
        </w:r>
        <w:r w:rsidR="00A70477">
          <w:rPr>
            <w:noProof/>
            <w:webHidden/>
          </w:rPr>
          <w:instrText xml:space="preserve"> PAGEREF _Toc141689896 \h </w:instrText>
        </w:r>
        <w:r w:rsidR="00A70477">
          <w:rPr>
            <w:noProof/>
            <w:webHidden/>
          </w:rPr>
        </w:r>
        <w:r w:rsidR="00A70477">
          <w:rPr>
            <w:noProof/>
            <w:webHidden/>
          </w:rPr>
          <w:fldChar w:fldCharType="separate"/>
        </w:r>
        <w:r w:rsidR="00A70477">
          <w:rPr>
            <w:noProof/>
            <w:webHidden/>
          </w:rPr>
          <w:t>41</w:t>
        </w:r>
        <w:r w:rsidR="00A70477">
          <w:rPr>
            <w:noProof/>
            <w:webHidden/>
          </w:rPr>
          <w:fldChar w:fldCharType="end"/>
        </w:r>
      </w:hyperlink>
    </w:p>
    <w:p w14:paraId="090517ED" w14:textId="2072AB97" w:rsidR="00A70477" w:rsidRDefault="00000000">
      <w:pPr>
        <w:pStyle w:val="TableofFigures"/>
        <w:tabs>
          <w:tab w:val="right" w:leader="dot" w:pos="9016"/>
        </w:tabs>
        <w:rPr>
          <w:noProof/>
          <w:kern w:val="2"/>
          <w:lang w:val="en-PH" w:eastAsia="en-US"/>
          <w14:ligatures w14:val="standardContextual"/>
        </w:rPr>
      </w:pPr>
      <w:hyperlink w:anchor="_Toc141689897" w:history="1">
        <w:r w:rsidR="00A70477" w:rsidRPr="006F2F0B">
          <w:rPr>
            <w:rStyle w:val="Hyperlink"/>
            <w:noProof/>
          </w:rPr>
          <w:t>Figure 5.1: Regional Concentration Indices, Selected RTAs, 2000, 2007–2022</w:t>
        </w:r>
        <w:r w:rsidR="00A70477">
          <w:rPr>
            <w:noProof/>
            <w:webHidden/>
          </w:rPr>
          <w:tab/>
        </w:r>
        <w:r w:rsidR="00A70477">
          <w:rPr>
            <w:noProof/>
            <w:webHidden/>
          </w:rPr>
          <w:fldChar w:fldCharType="begin"/>
        </w:r>
        <w:r w:rsidR="00A70477">
          <w:rPr>
            <w:noProof/>
            <w:webHidden/>
          </w:rPr>
          <w:instrText xml:space="preserve"> PAGEREF _Toc141689897 \h </w:instrText>
        </w:r>
        <w:r w:rsidR="00A70477">
          <w:rPr>
            <w:noProof/>
            <w:webHidden/>
          </w:rPr>
        </w:r>
        <w:r w:rsidR="00A70477">
          <w:rPr>
            <w:noProof/>
            <w:webHidden/>
          </w:rPr>
          <w:fldChar w:fldCharType="separate"/>
        </w:r>
        <w:r w:rsidR="00A70477">
          <w:rPr>
            <w:noProof/>
            <w:webHidden/>
          </w:rPr>
          <w:t>45</w:t>
        </w:r>
        <w:r w:rsidR="00A70477">
          <w:rPr>
            <w:noProof/>
            <w:webHidden/>
          </w:rPr>
          <w:fldChar w:fldCharType="end"/>
        </w:r>
      </w:hyperlink>
    </w:p>
    <w:p w14:paraId="2373A768" w14:textId="1BB43D41" w:rsidR="00A70477" w:rsidRDefault="00000000">
      <w:pPr>
        <w:pStyle w:val="TableofFigures"/>
        <w:tabs>
          <w:tab w:val="right" w:leader="dot" w:pos="9016"/>
        </w:tabs>
        <w:rPr>
          <w:noProof/>
          <w:kern w:val="2"/>
          <w:lang w:val="en-PH" w:eastAsia="en-US"/>
          <w14:ligatures w14:val="standardContextual"/>
        </w:rPr>
      </w:pPr>
      <w:hyperlink w:anchor="_Toc141689898" w:history="1">
        <w:r w:rsidR="00A70477" w:rsidRPr="006F2F0B">
          <w:rPr>
            <w:rStyle w:val="Hyperlink"/>
            <w:noProof/>
          </w:rPr>
          <w:t>Figure 5.2: Skyline Chart for the EAEU Countries, 2022</w:t>
        </w:r>
        <w:r w:rsidR="00A70477">
          <w:rPr>
            <w:noProof/>
            <w:webHidden/>
          </w:rPr>
          <w:tab/>
        </w:r>
        <w:r w:rsidR="00A70477">
          <w:rPr>
            <w:noProof/>
            <w:webHidden/>
          </w:rPr>
          <w:fldChar w:fldCharType="begin"/>
        </w:r>
        <w:r w:rsidR="00A70477">
          <w:rPr>
            <w:noProof/>
            <w:webHidden/>
          </w:rPr>
          <w:instrText xml:space="preserve"> PAGEREF _Toc141689898 \h </w:instrText>
        </w:r>
        <w:r w:rsidR="00A70477">
          <w:rPr>
            <w:noProof/>
            <w:webHidden/>
          </w:rPr>
        </w:r>
        <w:r w:rsidR="00A70477">
          <w:rPr>
            <w:noProof/>
            <w:webHidden/>
          </w:rPr>
          <w:fldChar w:fldCharType="separate"/>
        </w:r>
        <w:r w:rsidR="00A70477">
          <w:rPr>
            <w:noProof/>
            <w:webHidden/>
          </w:rPr>
          <w:t>47</w:t>
        </w:r>
        <w:r w:rsidR="00A70477">
          <w:rPr>
            <w:noProof/>
            <w:webHidden/>
          </w:rPr>
          <w:fldChar w:fldCharType="end"/>
        </w:r>
      </w:hyperlink>
    </w:p>
    <w:p w14:paraId="26E9FF20" w14:textId="5A8D60EB" w:rsidR="00A70477" w:rsidRDefault="00000000">
      <w:pPr>
        <w:pStyle w:val="TableofFigures"/>
        <w:tabs>
          <w:tab w:val="right" w:leader="dot" w:pos="9016"/>
        </w:tabs>
        <w:rPr>
          <w:noProof/>
          <w:kern w:val="2"/>
          <w:lang w:val="en-PH" w:eastAsia="en-US"/>
          <w14:ligatures w14:val="standardContextual"/>
        </w:rPr>
      </w:pPr>
      <w:hyperlink w:anchor="_Toc141689899" w:history="1">
        <w:r w:rsidR="00A70477" w:rsidRPr="006F2F0B">
          <w:rPr>
            <w:rStyle w:val="Hyperlink"/>
            <w:noProof/>
          </w:rPr>
          <w:t>Figure 5.3: Growth in GVC Exports, Constant Price vs Current Price, 2008–2022</w:t>
        </w:r>
        <w:r w:rsidR="00A70477">
          <w:rPr>
            <w:noProof/>
            <w:webHidden/>
          </w:rPr>
          <w:tab/>
        </w:r>
        <w:r w:rsidR="00A70477">
          <w:rPr>
            <w:noProof/>
            <w:webHidden/>
          </w:rPr>
          <w:fldChar w:fldCharType="begin"/>
        </w:r>
        <w:r w:rsidR="00A70477">
          <w:rPr>
            <w:noProof/>
            <w:webHidden/>
          </w:rPr>
          <w:instrText xml:space="preserve"> PAGEREF _Toc141689899 \h </w:instrText>
        </w:r>
        <w:r w:rsidR="00A70477">
          <w:rPr>
            <w:noProof/>
            <w:webHidden/>
          </w:rPr>
        </w:r>
        <w:r w:rsidR="00A70477">
          <w:rPr>
            <w:noProof/>
            <w:webHidden/>
          </w:rPr>
          <w:fldChar w:fldCharType="separate"/>
        </w:r>
        <w:r w:rsidR="00A70477">
          <w:rPr>
            <w:noProof/>
            <w:webHidden/>
          </w:rPr>
          <w:t>49</w:t>
        </w:r>
        <w:r w:rsidR="00A70477">
          <w:rPr>
            <w:noProof/>
            <w:webHidden/>
          </w:rPr>
          <w:fldChar w:fldCharType="end"/>
        </w:r>
      </w:hyperlink>
    </w:p>
    <w:p w14:paraId="4A3A73C6" w14:textId="79ED26E5" w:rsidR="003A4177" w:rsidRDefault="004B7F63" w:rsidP="004B7F63">
      <w:r>
        <w:fldChar w:fldCharType="end"/>
      </w:r>
    </w:p>
    <w:p w14:paraId="5D3B342E" w14:textId="77777777" w:rsidR="00FC2644" w:rsidRPr="00A76DD5" w:rsidRDefault="00FC2644" w:rsidP="00A76DD5">
      <w:pPr>
        <w:rPr>
          <w:b/>
          <w:bCs/>
        </w:rPr>
      </w:pPr>
      <w:r w:rsidRPr="00A76DD5">
        <w:rPr>
          <w:b/>
          <w:bCs/>
        </w:rPr>
        <w:t>Boxes</w:t>
      </w:r>
    </w:p>
    <w:p w14:paraId="1438006E" w14:textId="4B66AB79" w:rsidR="00F03ADA" w:rsidRDefault="00FC2644">
      <w:pPr>
        <w:pStyle w:val="TableofFigures"/>
        <w:tabs>
          <w:tab w:val="right" w:leader="dot" w:pos="9016"/>
        </w:tabs>
        <w:rPr>
          <w:noProof/>
          <w:kern w:val="2"/>
          <w:lang w:val="en-PH" w:eastAsia="en-US"/>
          <w14:ligatures w14:val="standardContextual"/>
        </w:rPr>
      </w:pPr>
      <w:r w:rsidRPr="00E55159">
        <w:fldChar w:fldCharType="begin"/>
      </w:r>
      <w:r w:rsidRPr="00E55159">
        <w:instrText xml:space="preserve"> TOC \h \z \c "Box" </w:instrText>
      </w:r>
      <w:r w:rsidRPr="00E55159">
        <w:fldChar w:fldCharType="separate"/>
      </w:r>
      <w:hyperlink w:anchor="_Toc141647971" w:history="1">
        <w:r w:rsidR="00F03ADA" w:rsidRPr="00B953DB">
          <w:rPr>
            <w:rStyle w:val="Hyperlink"/>
            <w:noProof/>
          </w:rPr>
          <w:t>Box 1: The Asian Development Bank Multiregional Input–Output Database</w:t>
        </w:r>
        <w:r w:rsidR="00F03ADA">
          <w:rPr>
            <w:noProof/>
            <w:webHidden/>
          </w:rPr>
          <w:tab/>
        </w:r>
        <w:r w:rsidR="00F03ADA">
          <w:rPr>
            <w:noProof/>
            <w:webHidden/>
          </w:rPr>
          <w:fldChar w:fldCharType="begin"/>
        </w:r>
        <w:r w:rsidR="00F03ADA">
          <w:rPr>
            <w:noProof/>
            <w:webHidden/>
          </w:rPr>
          <w:instrText xml:space="preserve"> PAGEREF _Toc141647971 \h </w:instrText>
        </w:r>
        <w:r w:rsidR="00F03ADA">
          <w:rPr>
            <w:noProof/>
            <w:webHidden/>
          </w:rPr>
        </w:r>
        <w:r w:rsidR="00F03ADA">
          <w:rPr>
            <w:noProof/>
            <w:webHidden/>
          </w:rPr>
          <w:fldChar w:fldCharType="separate"/>
        </w:r>
        <w:r w:rsidR="00F03ADA">
          <w:rPr>
            <w:noProof/>
            <w:webHidden/>
          </w:rPr>
          <w:t>13</w:t>
        </w:r>
        <w:r w:rsidR="00F03ADA">
          <w:rPr>
            <w:noProof/>
            <w:webHidden/>
          </w:rPr>
          <w:fldChar w:fldCharType="end"/>
        </w:r>
      </w:hyperlink>
    </w:p>
    <w:p w14:paraId="437527DE" w14:textId="3CF3C35B" w:rsidR="00F03ADA" w:rsidRDefault="00000000">
      <w:pPr>
        <w:pStyle w:val="TableofFigures"/>
        <w:tabs>
          <w:tab w:val="right" w:leader="dot" w:pos="9016"/>
        </w:tabs>
        <w:rPr>
          <w:noProof/>
          <w:kern w:val="2"/>
          <w:lang w:val="en-PH" w:eastAsia="en-US"/>
          <w14:ligatures w14:val="standardContextual"/>
        </w:rPr>
      </w:pPr>
      <w:hyperlink w:anchor="_Toc141647972" w:history="1">
        <w:r w:rsidR="00F03ADA" w:rsidRPr="00B953DB">
          <w:rPr>
            <w:rStyle w:val="Hyperlink"/>
            <w:noProof/>
          </w:rPr>
          <w:t>Box 2: The Resource Curse</w:t>
        </w:r>
        <w:r w:rsidR="00F03ADA">
          <w:rPr>
            <w:noProof/>
            <w:webHidden/>
          </w:rPr>
          <w:tab/>
        </w:r>
        <w:r w:rsidR="00F03ADA">
          <w:rPr>
            <w:noProof/>
            <w:webHidden/>
          </w:rPr>
          <w:fldChar w:fldCharType="begin"/>
        </w:r>
        <w:r w:rsidR="00F03ADA">
          <w:rPr>
            <w:noProof/>
            <w:webHidden/>
          </w:rPr>
          <w:instrText xml:space="preserve"> PAGEREF _Toc141647972 \h </w:instrText>
        </w:r>
        <w:r w:rsidR="00F03ADA">
          <w:rPr>
            <w:noProof/>
            <w:webHidden/>
          </w:rPr>
        </w:r>
        <w:r w:rsidR="00F03ADA">
          <w:rPr>
            <w:noProof/>
            <w:webHidden/>
          </w:rPr>
          <w:fldChar w:fldCharType="separate"/>
        </w:r>
        <w:r w:rsidR="00F03ADA">
          <w:rPr>
            <w:noProof/>
            <w:webHidden/>
          </w:rPr>
          <w:t>18</w:t>
        </w:r>
        <w:r w:rsidR="00F03ADA">
          <w:rPr>
            <w:noProof/>
            <w:webHidden/>
          </w:rPr>
          <w:fldChar w:fldCharType="end"/>
        </w:r>
      </w:hyperlink>
    </w:p>
    <w:p w14:paraId="00875A6D" w14:textId="4B37B70D" w:rsidR="00F03ADA" w:rsidRDefault="00000000">
      <w:pPr>
        <w:pStyle w:val="TableofFigures"/>
        <w:tabs>
          <w:tab w:val="right" w:leader="dot" w:pos="9016"/>
        </w:tabs>
        <w:rPr>
          <w:noProof/>
          <w:kern w:val="2"/>
          <w:lang w:val="en-PH" w:eastAsia="en-US"/>
          <w14:ligatures w14:val="standardContextual"/>
        </w:rPr>
      </w:pPr>
      <w:hyperlink w:anchor="_Toc141647973" w:history="1">
        <w:r w:rsidR="00F03ADA" w:rsidRPr="00B953DB">
          <w:rPr>
            <w:rStyle w:val="Hyperlink"/>
            <w:noProof/>
          </w:rPr>
          <w:t>Box 3: Export Diversification</w:t>
        </w:r>
        <w:r w:rsidR="00F03ADA">
          <w:rPr>
            <w:noProof/>
            <w:webHidden/>
          </w:rPr>
          <w:tab/>
        </w:r>
        <w:r w:rsidR="00F03ADA">
          <w:rPr>
            <w:noProof/>
            <w:webHidden/>
          </w:rPr>
          <w:fldChar w:fldCharType="begin"/>
        </w:r>
        <w:r w:rsidR="00F03ADA">
          <w:rPr>
            <w:noProof/>
            <w:webHidden/>
          </w:rPr>
          <w:instrText xml:space="preserve"> PAGEREF _Toc141647973 \h </w:instrText>
        </w:r>
        <w:r w:rsidR="00F03ADA">
          <w:rPr>
            <w:noProof/>
            <w:webHidden/>
          </w:rPr>
        </w:r>
        <w:r w:rsidR="00F03ADA">
          <w:rPr>
            <w:noProof/>
            <w:webHidden/>
          </w:rPr>
          <w:fldChar w:fldCharType="separate"/>
        </w:r>
        <w:r w:rsidR="00F03ADA">
          <w:rPr>
            <w:noProof/>
            <w:webHidden/>
          </w:rPr>
          <w:t>23</w:t>
        </w:r>
        <w:r w:rsidR="00F03ADA">
          <w:rPr>
            <w:noProof/>
            <w:webHidden/>
          </w:rPr>
          <w:fldChar w:fldCharType="end"/>
        </w:r>
      </w:hyperlink>
    </w:p>
    <w:p w14:paraId="63A4B4DA" w14:textId="0648D64B" w:rsidR="00F03ADA" w:rsidRDefault="00000000">
      <w:pPr>
        <w:pStyle w:val="TableofFigures"/>
        <w:tabs>
          <w:tab w:val="right" w:leader="dot" w:pos="9016"/>
        </w:tabs>
        <w:rPr>
          <w:noProof/>
          <w:kern w:val="2"/>
          <w:lang w:val="en-PH" w:eastAsia="en-US"/>
          <w14:ligatures w14:val="standardContextual"/>
        </w:rPr>
      </w:pPr>
      <w:hyperlink w:anchor="_Toc141647974" w:history="1">
        <w:r w:rsidR="00F03ADA" w:rsidRPr="00B953DB">
          <w:rPr>
            <w:rStyle w:val="Hyperlink"/>
            <w:noProof/>
          </w:rPr>
          <w:t>Box 3: Decomposing Exports into Value-Added Categories</w:t>
        </w:r>
        <w:r w:rsidR="00F03ADA">
          <w:rPr>
            <w:noProof/>
            <w:webHidden/>
          </w:rPr>
          <w:tab/>
        </w:r>
        <w:r w:rsidR="00F03ADA">
          <w:rPr>
            <w:noProof/>
            <w:webHidden/>
          </w:rPr>
          <w:fldChar w:fldCharType="begin"/>
        </w:r>
        <w:r w:rsidR="00F03ADA">
          <w:rPr>
            <w:noProof/>
            <w:webHidden/>
          </w:rPr>
          <w:instrText xml:space="preserve"> PAGEREF _Toc141647974 \h </w:instrText>
        </w:r>
        <w:r w:rsidR="00F03ADA">
          <w:rPr>
            <w:noProof/>
            <w:webHidden/>
          </w:rPr>
        </w:r>
        <w:r w:rsidR="00F03ADA">
          <w:rPr>
            <w:noProof/>
            <w:webHidden/>
          </w:rPr>
          <w:fldChar w:fldCharType="separate"/>
        </w:r>
        <w:r w:rsidR="00F03ADA">
          <w:rPr>
            <w:noProof/>
            <w:webHidden/>
          </w:rPr>
          <w:t>26</w:t>
        </w:r>
        <w:r w:rsidR="00F03ADA">
          <w:rPr>
            <w:noProof/>
            <w:webHidden/>
          </w:rPr>
          <w:fldChar w:fldCharType="end"/>
        </w:r>
      </w:hyperlink>
    </w:p>
    <w:p w14:paraId="40BB044F" w14:textId="0395B2E2" w:rsidR="00F03ADA" w:rsidRDefault="00000000">
      <w:pPr>
        <w:pStyle w:val="TableofFigures"/>
        <w:tabs>
          <w:tab w:val="right" w:leader="dot" w:pos="9016"/>
        </w:tabs>
        <w:rPr>
          <w:noProof/>
          <w:kern w:val="2"/>
          <w:lang w:val="en-PH" w:eastAsia="en-US"/>
          <w14:ligatures w14:val="standardContextual"/>
        </w:rPr>
      </w:pPr>
      <w:hyperlink w:anchor="_Toc141647975" w:history="1">
        <w:r w:rsidR="00F03ADA" w:rsidRPr="00B953DB">
          <w:rPr>
            <w:rStyle w:val="Hyperlink"/>
            <w:noProof/>
          </w:rPr>
          <w:t>Box 4: Measuring Average Production Lengths</w:t>
        </w:r>
        <w:r w:rsidR="00F03ADA">
          <w:rPr>
            <w:noProof/>
            <w:webHidden/>
          </w:rPr>
          <w:tab/>
        </w:r>
        <w:r w:rsidR="00F03ADA">
          <w:rPr>
            <w:noProof/>
            <w:webHidden/>
          </w:rPr>
          <w:fldChar w:fldCharType="begin"/>
        </w:r>
        <w:r w:rsidR="00F03ADA">
          <w:rPr>
            <w:noProof/>
            <w:webHidden/>
          </w:rPr>
          <w:instrText xml:space="preserve"> PAGEREF _Toc141647975 \h </w:instrText>
        </w:r>
        <w:r w:rsidR="00F03ADA">
          <w:rPr>
            <w:noProof/>
            <w:webHidden/>
          </w:rPr>
        </w:r>
        <w:r w:rsidR="00F03ADA">
          <w:rPr>
            <w:noProof/>
            <w:webHidden/>
          </w:rPr>
          <w:fldChar w:fldCharType="separate"/>
        </w:r>
        <w:r w:rsidR="00F03ADA">
          <w:rPr>
            <w:noProof/>
            <w:webHidden/>
          </w:rPr>
          <w:t>34</w:t>
        </w:r>
        <w:r w:rsidR="00F03ADA">
          <w:rPr>
            <w:noProof/>
            <w:webHidden/>
          </w:rPr>
          <w:fldChar w:fldCharType="end"/>
        </w:r>
      </w:hyperlink>
    </w:p>
    <w:p w14:paraId="61A12C54" w14:textId="10A463C6" w:rsidR="00F03ADA" w:rsidRDefault="00000000">
      <w:pPr>
        <w:pStyle w:val="TableofFigures"/>
        <w:tabs>
          <w:tab w:val="right" w:leader="dot" w:pos="9016"/>
        </w:tabs>
        <w:rPr>
          <w:noProof/>
          <w:kern w:val="2"/>
          <w:lang w:val="en-PH" w:eastAsia="en-US"/>
          <w14:ligatures w14:val="standardContextual"/>
        </w:rPr>
      </w:pPr>
      <w:hyperlink w:anchor="_Toc141647976" w:history="1">
        <w:r w:rsidR="00F03ADA" w:rsidRPr="00B953DB">
          <w:rPr>
            <w:rStyle w:val="Hyperlink"/>
            <w:noProof/>
          </w:rPr>
          <w:t>Box 5: Calculating the Revealed Comparative Advantage Index</w:t>
        </w:r>
        <w:r w:rsidR="00F03ADA">
          <w:rPr>
            <w:noProof/>
            <w:webHidden/>
          </w:rPr>
          <w:tab/>
        </w:r>
        <w:r w:rsidR="00F03ADA">
          <w:rPr>
            <w:noProof/>
            <w:webHidden/>
          </w:rPr>
          <w:fldChar w:fldCharType="begin"/>
        </w:r>
        <w:r w:rsidR="00F03ADA">
          <w:rPr>
            <w:noProof/>
            <w:webHidden/>
          </w:rPr>
          <w:instrText xml:space="preserve"> PAGEREF _Toc141647976 \h </w:instrText>
        </w:r>
        <w:r w:rsidR="00F03ADA">
          <w:rPr>
            <w:noProof/>
            <w:webHidden/>
          </w:rPr>
        </w:r>
        <w:r w:rsidR="00F03ADA">
          <w:rPr>
            <w:noProof/>
            <w:webHidden/>
          </w:rPr>
          <w:fldChar w:fldCharType="separate"/>
        </w:r>
        <w:r w:rsidR="00F03ADA">
          <w:rPr>
            <w:noProof/>
            <w:webHidden/>
          </w:rPr>
          <w:t>38</w:t>
        </w:r>
        <w:r w:rsidR="00F03ADA">
          <w:rPr>
            <w:noProof/>
            <w:webHidden/>
          </w:rPr>
          <w:fldChar w:fldCharType="end"/>
        </w:r>
      </w:hyperlink>
    </w:p>
    <w:p w14:paraId="7F2E865A" w14:textId="3F586202" w:rsidR="00F03ADA" w:rsidRDefault="00000000">
      <w:pPr>
        <w:pStyle w:val="TableofFigures"/>
        <w:tabs>
          <w:tab w:val="right" w:leader="dot" w:pos="9016"/>
        </w:tabs>
        <w:rPr>
          <w:noProof/>
          <w:kern w:val="2"/>
          <w:lang w:val="en-PH" w:eastAsia="en-US"/>
          <w14:ligatures w14:val="standardContextual"/>
        </w:rPr>
      </w:pPr>
      <w:hyperlink w:anchor="_Toc141647977" w:history="1">
        <w:r w:rsidR="00F03ADA" w:rsidRPr="00B953DB">
          <w:rPr>
            <w:rStyle w:val="Hyperlink"/>
            <w:noProof/>
          </w:rPr>
          <w:t>Box 6: Calculating the Real Effective Exchange Rate Index</w:t>
        </w:r>
        <w:r w:rsidR="00F03ADA">
          <w:rPr>
            <w:noProof/>
            <w:webHidden/>
          </w:rPr>
          <w:tab/>
        </w:r>
        <w:r w:rsidR="00F03ADA">
          <w:rPr>
            <w:noProof/>
            <w:webHidden/>
          </w:rPr>
          <w:fldChar w:fldCharType="begin"/>
        </w:r>
        <w:r w:rsidR="00F03ADA">
          <w:rPr>
            <w:noProof/>
            <w:webHidden/>
          </w:rPr>
          <w:instrText xml:space="preserve"> PAGEREF _Toc141647977 \h </w:instrText>
        </w:r>
        <w:r w:rsidR="00F03ADA">
          <w:rPr>
            <w:noProof/>
            <w:webHidden/>
          </w:rPr>
        </w:r>
        <w:r w:rsidR="00F03ADA">
          <w:rPr>
            <w:noProof/>
            <w:webHidden/>
          </w:rPr>
          <w:fldChar w:fldCharType="separate"/>
        </w:r>
        <w:r w:rsidR="00F03ADA">
          <w:rPr>
            <w:noProof/>
            <w:webHidden/>
          </w:rPr>
          <w:t>42</w:t>
        </w:r>
        <w:r w:rsidR="00F03ADA">
          <w:rPr>
            <w:noProof/>
            <w:webHidden/>
          </w:rPr>
          <w:fldChar w:fldCharType="end"/>
        </w:r>
      </w:hyperlink>
    </w:p>
    <w:p w14:paraId="36E523DB" w14:textId="441E2A03" w:rsidR="00F03ADA" w:rsidRDefault="00000000">
      <w:pPr>
        <w:pStyle w:val="TableofFigures"/>
        <w:tabs>
          <w:tab w:val="right" w:leader="dot" w:pos="9016"/>
        </w:tabs>
        <w:rPr>
          <w:noProof/>
          <w:kern w:val="2"/>
          <w:lang w:val="en-PH" w:eastAsia="en-US"/>
          <w14:ligatures w14:val="standardContextual"/>
        </w:rPr>
      </w:pPr>
      <w:hyperlink w:anchor="_Toc141647978" w:history="1">
        <w:r w:rsidR="00F03ADA" w:rsidRPr="00B953DB">
          <w:rPr>
            <w:rStyle w:val="Hyperlink"/>
            <w:noProof/>
          </w:rPr>
          <w:t>Box 7: Calculating the Regional Concentration Index</w:t>
        </w:r>
        <w:r w:rsidR="00F03ADA">
          <w:rPr>
            <w:noProof/>
            <w:webHidden/>
          </w:rPr>
          <w:tab/>
        </w:r>
        <w:r w:rsidR="00F03ADA">
          <w:rPr>
            <w:noProof/>
            <w:webHidden/>
          </w:rPr>
          <w:fldChar w:fldCharType="begin"/>
        </w:r>
        <w:r w:rsidR="00F03ADA">
          <w:rPr>
            <w:noProof/>
            <w:webHidden/>
          </w:rPr>
          <w:instrText xml:space="preserve"> PAGEREF _Toc141647978 \h </w:instrText>
        </w:r>
        <w:r w:rsidR="00F03ADA">
          <w:rPr>
            <w:noProof/>
            <w:webHidden/>
          </w:rPr>
        </w:r>
        <w:r w:rsidR="00F03ADA">
          <w:rPr>
            <w:noProof/>
            <w:webHidden/>
          </w:rPr>
          <w:fldChar w:fldCharType="separate"/>
        </w:r>
        <w:r w:rsidR="00F03ADA">
          <w:rPr>
            <w:noProof/>
            <w:webHidden/>
          </w:rPr>
          <w:t>49</w:t>
        </w:r>
        <w:r w:rsidR="00F03ADA">
          <w:rPr>
            <w:noProof/>
            <w:webHidden/>
          </w:rPr>
          <w:fldChar w:fldCharType="end"/>
        </w:r>
      </w:hyperlink>
    </w:p>
    <w:p w14:paraId="0F9D5776" w14:textId="5E25C62F" w:rsidR="00F03ADA" w:rsidRDefault="00000000">
      <w:pPr>
        <w:pStyle w:val="TableofFigures"/>
        <w:tabs>
          <w:tab w:val="right" w:leader="dot" w:pos="9016"/>
        </w:tabs>
        <w:rPr>
          <w:noProof/>
          <w:kern w:val="2"/>
          <w:lang w:val="en-PH" w:eastAsia="en-US"/>
          <w14:ligatures w14:val="standardContextual"/>
        </w:rPr>
      </w:pPr>
      <w:hyperlink w:anchor="_Toc141647979" w:history="1">
        <w:r w:rsidR="00F03ADA" w:rsidRPr="00B953DB">
          <w:rPr>
            <w:rStyle w:val="Hyperlink"/>
            <w:noProof/>
          </w:rPr>
          <w:t>Box 8: Constructing the Skyline Chart</w:t>
        </w:r>
        <w:r w:rsidR="00F03ADA">
          <w:rPr>
            <w:noProof/>
            <w:webHidden/>
          </w:rPr>
          <w:tab/>
        </w:r>
        <w:r w:rsidR="00F03ADA">
          <w:rPr>
            <w:noProof/>
            <w:webHidden/>
          </w:rPr>
          <w:fldChar w:fldCharType="begin"/>
        </w:r>
        <w:r w:rsidR="00F03ADA">
          <w:rPr>
            <w:noProof/>
            <w:webHidden/>
          </w:rPr>
          <w:instrText xml:space="preserve"> PAGEREF _Toc141647979 \h </w:instrText>
        </w:r>
        <w:r w:rsidR="00F03ADA">
          <w:rPr>
            <w:noProof/>
            <w:webHidden/>
          </w:rPr>
        </w:r>
        <w:r w:rsidR="00F03ADA">
          <w:rPr>
            <w:noProof/>
            <w:webHidden/>
          </w:rPr>
          <w:fldChar w:fldCharType="separate"/>
        </w:r>
        <w:r w:rsidR="00F03ADA">
          <w:rPr>
            <w:noProof/>
            <w:webHidden/>
          </w:rPr>
          <w:t>51</w:t>
        </w:r>
        <w:r w:rsidR="00F03ADA">
          <w:rPr>
            <w:noProof/>
            <w:webHidden/>
          </w:rPr>
          <w:fldChar w:fldCharType="end"/>
        </w:r>
      </w:hyperlink>
    </w:p>
    <w:p w14:paraId="2231079C" w14:textId="73B15EE8" w:rsidR="00F03ADA" w:rsidRDefault="00000000">
      <w:pPr>
        <w:pStyle w:val="TableofFigures"/>
        <w:tabs>
          <w:tab w:val="right" w:leader="dot" w:pos="9016"/>
        </w:tabs>
        <w:rPr>
          <w:noProof/>
          <w:kern w:val="2"/>
          <w:lang w:val="en-PH" w:eastAsia="en-US"/>
          <w14:ligatures w14:val="standardContextual"/>
        </w:rPr>
      </w:pPr>
      <w:hyperlink w:anchor="_Toc141647980" w:history="1">
        <w:r w:rsidR="00F03ADA" w:rsidRPr="00B953DB">
          <w:rPr>
            <w:rStyle w:val="Hyperlink"/>
            <w:noProof/>
          </w:rPr>
          <w:t>Box 10: Constant Price MRIO Tables</w:t>
        </w:r>
        <w:r w:rsidR="00F03ADA">
          <w:rPr>
            <w:noProof/>
            <w:webHidden/>
          </w:rPr>
          <w:tab/>
        </w:r>
        <w:r w:rsidR="00F03ADA">
          <w:rPr>
            <w:noProof/>
            <w:webHidden/>
          </w:rPr>
          <w:fldChar w:fldCharType="begin"/>
        </w:r>
        <w:r w:rsidR="00F03ADA">
          <w:rPr>
            <w:noProof/>
            <w:webHidden/>
          </w:rPr>
          <w:instrText xml:space="preserve"> PAGEREF _Toc141647980 \h </w:instrText>
        </w:r>
        <w:r w:rsidR="00F03ADA">
          <w:rPr>
            <w:noProof/>
            <w:webHidden/>
          </w:rPr>
        </w:r>
        <w:r w:rsidR="00F03ADA">
          <w:rPr>
            <w:noProof/>
            <w:webHidden/>
          </w:rPr>
          <w:fldChar w:fldCharType="separate"/>
        </w:r>
        <w:r w:rsidR="00F03ADA">
          <w:rPr>
            <w:noProof/>
            <w:webHidden/>
          </w:rPr>
          <w:t>53</w:t>
        </w:r>
        <w:r w:rsidR="00F03ADA">
          <w:rPr>
            <w:noProof/>
            <w:webHidden/>
          </w:rPr>
          <w:fldChar w:fldCharType="end"/>
        </w:r>
      </w:hyperlink>
    </w:p>
    <w:p w14:paraId="4F99EE5A" w14:textId="4DFDB8EC" w:rsidR="00C2222F" w:rsidRDefault="00FC2644" w:rsidP="00FC2644">
      <w:r w:rsidRPr="00E55159">
        <w:fldChar w:fldCharType="end"/>
      </w:r>
      <w:r w:rsidR="00C2222F">
        <w:br w:type="page"/>
      </w:r>
    </w:p>
    <w:p w14:paraId="0056ED60" w14:textId="77777777" w:rsidR="00AE3193" w:rsidRDefault="00AE3193" w:rsidP="00AE3193">
      <w:pPr>
        <w:pStyle w:val="Heading1"/>
        <w:numPr>
          <w:ilvl w:val="0"/>
          <w:numId w:val="0"/>
        </w:numPr>
      </w:pPr>
      <w:bookmarkStart w:id="1" w:name="_Toc141647935"/>
      <w:r>
        <w:lastRenderedPageBreak/>
        <w:t>Foreword</w:t>
      </w:r>
      <w:bookmarkEnd w:id="1"/>
    </w:p>
    <w:p w14:paraId="3E06BA84" w14:textId="2F5732C2" w:rsidR="00AE3193" w:rsidRDefault="001D365E">
      <w:pPr>
        <w:spacing w:after="0" w:line="240" w:lineRule="auto"/>
      </w:pPr>
      <w:r>
        <w:t>To follow.</w:t>
      </w:r>
    </w:p>
    <w:p w14:paraId="3C9FFA46" w14:textId="77777777" w:rsidR="00AE3193" w:rsidRDefault="00AE3193">
      <w:pPr>
        <w:spacing w:after="0" w:line="240" w:lineRule="auto"/>
      </w:pPr>
      <w:r>
        <w:br w:type="page"/>
      </w:r>
    </w:p>
    <w:p w14:paraId="3C4297C7" w14:textId="77777777" w:rsidR="002A0707" w:rsidRDefault="002A0707" w:rsidP="002A0707">
      <w:pPr>
        <w:pStyle w:val="Heading1"/>
        <w:numPr>
          <w:ilvl w:val="0"/>
          <w:numId w:val="0"/>
        </w:numPr>
      </w:pPr>
      <w:bookmarkStart w:id="2" w:name="_Toc141647936"/>
      <w:r>
        <w:lastRenderedPageBreak/>
        <w:t>Acknowledgments</w:t>
      </w:r>
      <w:bookmarkEnd w:id="2"/>
    </w:p>
    <w:p w14:paraId="7F9F86D4" w14:textId="4E56E495" w:rsidR="00B06E19" w:rsidRDefault="000544BA" w:rsidP="00B06E19">
      <w:r>
        <w:t>To follow.</w:t>
      </w:r>
    </w:p>
    <w:p w14:paraId="2622B7FD" w14:textId="7DB2437F" w:rsidR="002A0707" w:rsidRDefault="002A0707">
      <w:pPr>
        <w:spacing w:after="0" w:line="240" w:lineRule="auto"/>
        <w:rPr>
          <w:rFonts w:asciiTheme="majorHAnsi" w:eastAsiaTheme="majorEastAsia" w:hAnsiTheme="majorHAnsi" w:cstheme="majorBidi"/>
          <w:color w:val="2F5496" w:themeColor="accent1" w:themeShade="BF"/>
          <w:sz w:val="32"/>
          <w:szCs w:val="32"/>
        </w:rPr>
      </w:pPr>
      <w:r>
        <w:br w:type="page"/>
      </w:r>
    </w:p>
    <w:p w14:paraId="2A762313" w14:textId="4271E31D" w:rsidR="00AE3193" w:rsidRDefault="00AE3193" w:rsidP="00AE3193">
      <w:pPr>
        <w:pStyle w:val="Heading1"/>
        <w:numPr>
          <w:ilvl w:val="0"/>
          <w:numId w:val="0"/>
        </w:numPr>
      </w:pPr>
      <w:bookmarkStart w:id="3" w:name="_Toc141647937"/>
      <w:r>
        <w:lastRenderedPageBreak/>
        <w:t>Abbreviations</w:t>
      </w:r>
      <w:bookmarkEnd w:id="3"/>
    </w:p>
    <w:p w14:paraId="0E61767F" w14:textId="2101D23A" w:rsidR="007410F7" w:rsidRDefault="007410F7" w:rsidP="00B35659">
      <w:pPr>
        <w:tabs>
          <w:tab w:val="left" w:pos="1418"/>
        </w:tabs>
        <w:spacing w:after="0" w:line="240" w:lineRule="auto"/>
      </w:pPr>
      <w:r>
        <w:t>ADB</w:t>
      </w:r>
      <w:r w:rsidR="00693B11">
        <w:tab/>
        <w:t>Asian Development Bank</w:t>
      </w:r>
    </w:p>
    <w:p w14:paraId="43F797FF" w14:textId="212C6B0A" w:rsidR="009B00FD" w:rsidRDefault="009B00FD" w:rsidP="00B35659">
      <w:pPr>
        <w:tabs>
          <w:tab w:val="left" w:pos="1418"/>
        </w:tabs>
        <w:spacing w:after="0" w:line="240" w:lineRule="auto"/>
      </w:pPr>
      <w:r>
        <w:t>ASEAN</w:t>
      </w:r>
      <w:r w:rsidR="00693B11">
        <w:tab/>
        <w:t>Association of Southeast Asian Nations</w:t>
      </w:r>
    </w:p>
    <w:p w14:paraId="1DA3C185" w14:textId="1C9C95ED" w:rsidR="00120274" w:rsidRDefault="00120274" w:rsidP="00B35659">
      <w:pPr>
        <w:tabs>
          <w:tab w:val="left" w:pos="1418"/>
        </w:tabs>
        <w:spacing w:after="0" w:line="240" w:lineRule="auto"/>
      </w:pPr>
      <w:r w:rsidRPr="00120274">
        <w:t>COVID-19</w:t>
      </w:r>
      <w:r w:rsidR="00693B11">
        <w:tab/>
      </w:r>
      <w:r w:rsidR="00CB2528">
        <w:t>C</w:t>
      </w:r>
      <w:r w:rsidR="00693B11">
        <w:t>oronavirus disease 2019</w:t>
      </w:r>
    </w:p>
    <w:p w14:paraId="5F72B5F1" w14:textId="39540C9F" w:rsidR="007410F7" w:rsidRDefault="007410F7" w:rsidP="00B35659">
      <w:pPr>
        <w:tabs>
          <w:tab w:val="left" w:pos="1418"/>
        </w:tabs>
        <w:spacing w:after="0" w:line="240" w:lineRule="auto"/>
      </w:pPr>
      <w:r>
        <w:t>DAVAX</w:t>
      </w:r>
      <w:r w:rsidR="00693B11">
        <w:tab/>
        <w:t>Directly absorbed value-added exports</w:t>
      </w:r>
    </w:p>
    <w:p w14:paraId="38CD251A" w14:textId="19985BAF" w:rsidR="007410F7" w:rsidRDefault="007410F7" w:rsidP="00B35659">
      <w:pPr>
        <w:tabs>
          <w:tab w:val="left" w:pos="1418"/>
        </w:tabs>
        <w:spacing w:after="0" w:line="240" w:lineRule="auto"/>
      </w:pPr>
      <w:r>
        <w:t>DVA</w:t>
      </w:r>
      <w:r w:rsidR="00693B11">
        <w:tab/>
        <w:t>Domestic value added</w:t>
      </w:r>
    </w:p>
    <w:p w14:paraId="376E1B09" w14:textId="2CBD41AD" w:rsidR="00E12012" w:rsidRDefault="00E12012" w:rsidP="00B35659">
      <w:pPr>
        <w:tabs>
          <w:tab w:val="left" w:pos="1418"/>
        </w:tabs>
        <w:spacing w:after="0" w:line="240" w:lineRule="auto"/>
      </w:pPr>
      <w:r>
        <w:t>EAEU</w:t>
      </w:r>
      <w:r>
        <w:tab/>
        <w:t>Eurasian Economic Union</w:t>
      </w:r>
    </w:p>
    <w:p w14:paraId="63818AB7" w14:textId="41E0A7D1" w:rsidR="007410F7" w:rsidRDefault="007410F7" w:rsidP="00B35659">
      <w:pPr>
        <w:tabs>
          <w:tab w:val="left" w:pos="1418"/>
        </w:tabs>
        <w:spacing w:after="0" w:line="240" w:lineRule="auto"/>
      </w:pPr>
      <w:r>
        <w:t>FVA</w:t>
      </w:r>
      <w:r w:rsidR="00693B11">
        <w:tab/>
        <w:t>Foreign value added</w:t>
      </w:r>
    </w:p>
    <w:p w14:paraId="28B74C33" w14:textId="60688C96" w:rsidR="007410F7" w:rsidRDefault="007410F7" w:rsidP="00B35659">
      <w:pPr>
        <w:tabs>
          <w:tab w:val="left" w:pos="1418"/>
        </w:tabs>
        <w:spacing w:after="0" w:line="240" w:lineRule="auto"/>
      </w:pPr>
      <w:r>
        <w:t>GDP</w:t>
      </w:r>
      <w:r w:rsidR="00693B11">
        <w:tab/>
        <w:t>Gross domestic product</w:t>
      </w:r>
    </w:p>
    <w:p w14:paraId="6BD02141" w14:textId="470652D2" w:rsidR="007410F7" w:rsidRDefault="007410F7" w:rsidP="00B35659">
      <w:pPr>
        <w:tabs>
          <w:tab w:val="left" w:pos="1418"/>
        </w:tabs>
        <w:spacing w:after="0" w:line="240" w:lineRule="auto"/>
      </w:pPr>
      <w:r>
        <w:t>GVC</w:t>
      </w:r>
      <w:r w:rsidR="00693B11">
        <w:tab/>
        <w:t>Global value chain</w:t>
      </w:r>
    </w:p>
    <w:p w14:paraId="6845E5DB" w14:textId="70221150" w:rsidR="00120274" w:rsidRDefault="00120274" w:rsidP="00B35659">
      <w:pPr>
        <w:tabs>
          <w:tab w:val="left" w:pos="1418"/>
        </w:tabs>
        <w:spacing w:after="0" w:line="240" w:lineRule="auto"/>
      </w:pPr>
      <w:r>
        <w:t>GVCP</w:t>
      </w:r>
      <w:r w:rsidR="00693B11">
        <w:tab/>
        <w:t>GVC participation rate</w:t>
      </w:r>
    </w:p>
    <w:p w14:paraId="3F6A6DCE" w14:textId="6F975140" w:rsidR="00120274" w:rsidRDefault="00120274" w:rsidP="00B35659">
      <w:pPr>
        <w:tabs>
          <w:tab w:val="left" w:pos="1418"/>
        </w:tabs>
        <w:spacing w:after="0" w:line="240" w:lineRule="auto"/>
      </w:pPr>
      <w:r>
        <w:t>HHI</w:t>
      </w:r>
      <w:r w:rsidR="00693B11">
        <w:tab/>
      </w:r>
      <w:r w:rsidR="00693B11" w:rsidRPr="00693B11">
        <w:t>Herfindahl-Hirschman Index</w:t>
      </w:r>
    </w:p>
    <w:p w14:paraId="29FD080F" w14:textId="4A18B605" w:rsidR="00120274" w:rsidRDefault="00120274" w:rsidP="00B35659">
      <w:pPr>
        <w:tabs>
          <w:tab w:val="left" w:pos="1418"/>
        </w:tabs>
        <w:spacing w:after="0" w:line="240" w:lineRule="auto"/>
      </w:pPr>
      <w:r>
        <w:t>HS</w:t>
      </w:r>
      <w:r w:rsidR="00693B11">
        <w:tab/>
        <w:t>Harmonized system</w:t>
      </w:r>
    </w:p>
    <w:p w14:paraId="22BB0DB2" w14:textId="2A444362" w:rsidR="007410F7" w:rsidRDefault="007410F7" w:rsidP="00B35659">
      <w:pPr>
        <w:tabs>
          <w:tab w:val="left" w:pos="1418"/>
        </w:tabs>
        <w:spacing w:after="0" w:line="240" w:lineRule="auto"/>
      </w:pPr>
      <w:r>
        <w:t>IMF</w:t>
      </w:r>
      <w:r w:rsidR="00693B11">
        <w:tab/>
        <w:t>International Monetary Fund</w:t>
      </w:r>
    </w:p>
    <w:p w14:paraId="426E25F3" w14:textId="38E2822C" w:rsidR="007410F7" w:rsidRDefault="007410F7" w:rsidP="00B35659">
      <w:pPr>
        <w:tabs>
          <w:tab w:val="left" w:pos="1418"/>
        </w:tabs>
        <w:spacing w:after="0" w:line="240" w:lineRule="auto"/>
      </w:pPr>
      <w:proofErr w:type="spellStart"/>
      <w:r>
        <w:t>IsDB</w:t>
      </w:r>
      <w:proofErr w:type="spellEnd"/>
      <w:r w:rsidR="00693B11">
        <w:tab/>
        <w:t>Islamic Development Bank</w:t>
      </w:r>
    </w:p>
    <w:p w14:paraId="67F8CD18" w14:textId="09EF8D71" w:rsidR="00120274" w:rsidRDefault="00120274" w:rsidP="00B35659">
      <w:pPr>
        <w:tabs>
          <w:tab w:val="left" w:pos="1418"/>
        </w:tabs>
        <w:spacing w:after="0" w:line="240" w:lineRule="auto"/>
      </w:pPr>
      <w:r>
        <w:t>METI</w:t>
      </w:r>
      <w:r>
        <w:tab/>
        <w:t xml:space="preserve">Japan Ministry of Economy, Trade and Industry </w:t>
      </w:r>
    </w:p>
    <w:p w14:paraId="4611D83B" w14:textId="246BF268" w:rsidR="004A6FCB" w:rsidRDefault="004A6FCB" w:rsidP="00B35659">
      <w:pPr>
        <w:tabs>
          <w:tab w:val="left" w:pos="1418"/>
        </w:tabs>
        <w:spacing w:after="0" w:line="240" w:lineRule="auto"/>
      </w:pPr>
      <w:r>
        <w:t>MRIO</w:t>
      </w:r>
      <w:r>
        <w:tab/>
        <w:t>Multiregional Input–Output</w:t>
      </w:r>
    </w:p>
    <w:p w14:paraId="34D8E5DC" w14:textId="05BC0503" w:rsidR="00120274" w:rsidRDefault="00120274" w:rsidP="00B35659">
      <w:pPr>
        <w:tabs>
          <w:tab w:val="left" w:pos="1418"/>
        </w:tabs>
        <w:spacing w:after="0" w:line="240" w:lineRule="auto"/>
      </w:pPr>
      <w:r>
        <w:t>NAFTA</w:t>
      </w:r>
      <w:r w:rsidR="00693B11">
        <w:tab/>
        <w:t>North American Free Trade Agreement</w:t>
      </w:r>
    </w:p>
    <w:p w14:paraId="53620C23" w14:textId="13833852" w:rsidR="00120274" w:rsidRDefault="00120274" w:rsidP="00B35659">
      <w:pPr>
        <w:tabs>
          <w:tab w:val="left" w:pos="1418"/>
        </w:tabs>
        <w:spacing w:after="0" w:line="240" w:lineRule="auto"/>
      </w:pPr>
      <w:r>
        <w:t>PDC</w:t>
      </w:r>
      <w:r w:rsidR="00693B11">
        <w:tab/>
        <w:t>Pure double-counting</w:t>
      </w:r>
    </w:p>
    <w:p w14:paraId="14DB98B3" w14:textId="5F27506C" w:rsidR="00120274" w:rsidRDefault="00120274" w:rsidP="00B35659">
      <w:pPr>
        <w:tabs>
          <w:tab w:val="left" w:pos="1418"/>
        </w:tabs>
        <w:spacing w:after="0" w:line="240" w:lineRule="auto"/>
      </w:pPr>
      <w:r>
        <w:t>PRC</w:t>
      </w:r>
      <w:r w:rsidR="00693B11">
        <w:tab/>
        <w:t>People’s Republic of China</w:t>
      </w:r>
    </w:p>
    <w:p w14:paraId="6791A9D8" w14:textId="01F636D2" w:rsidR="00120274" w:rsidRDefault="00120274" w:rsidP="00B35659">
      <w:pPr>
        <w:tabs>
          <w:tab w:val="left" w:pos="1418"/>
        </w:tabs>
        <w:spacing w:after="0" w:line="240" w:lineRule="auto"/>
      </w:pPr>
      <w:r>
        <w:t>RCA</w:t>
      </w:r>
      <w:r w:rsidR="00693B11">
        <w:tab/>
        <w:t>Revealed comparative advantage</w:t>
      </w:r>
    </w:p>
    <w:p w14:paraId="69800EAD" w14:textId="19CCB5AC" w:rsidR="00120274" w:rsidRDefault="00120274" w:rsidP="00B35659">
      <w:pPr>
        <w:tabs>
          <w:tab w:val="left" w:pos="1418"/>
        </w:tabs>
        <w:spacing w:after="0" w:line="240" w:lineRule="auto"/>
      </w:pPr>
      <w:r>
        <w:t>RCI</w:t>
      </w:r>
      <w:r w:rsidR="00693B11">
        <w:tab/>
        <w:t>Regional concentration index</w:t>
      </w:r>
    </w:p>
    <w:p w14:paraId="70BFFC9A" w14:textId="29C498E8" w:rsidR="00120274" w:rsidRDefault="00120274" w:rsidP="00B35659">
      <w:pPr>
        <w:tabs>
          <w:tab w:val="left" w:pos="1418"/>
        </w:tabs>
        <w:spacing w:after="0" w:line="240" w:lineRule="auto"/>
      </w:pPr>
      <w:r>
        <w:t>REER</w:t>
      </w:r>
      <w:r w:rsidR="00693B11">
        <w:tab/>
        <w:t>Real effective exchange rate</w:t>
      </w:r>
    </w:p>
    <w:p w14:paraId="3EDD5916" w14:textId="382EC2C7" w:rsidR="00120274" w:rsidRDefault="00120274" w:rsidP="00B35659">
      <w:pPr>
        <w:tabs>
          <w:tab w:val="left" w:pos="1418"/>
        </w:tabs>
        <w:spacing w:after="0" w:line="240" w:lineRule="auto"/>
      </w:pPr>
      <w:r>
        <w:t>REF</w:t>
      </w:r>
      <w:r w:rsidR="00693B11">
        <w:tab/>
        <w:t>Reflection</w:t>
      </w:r>
    </w:p>
    <w:p w14:paraId="4CAF74FD" w14:textId="295D768C" w:rsidR="00120274" w:rsidRDefault="00120274" w:rsidP="00B35659">
      <w:pPr>
        <w:tabs>
          <w:tab w:val="left" w:pos="1418"/>
        </w:tabs>
        <w:spacing w:after="0" w:line="240" w:lineRule="auto"/>
      </w:pPr>
      <w:r>
        <w:t>REX</w:t>
      </w:r>
      <w:r w:rsidR="00693B11">
        <w:tab/>
        <w:t>Reexports</w:t>
      </w:r>
    </w:p>
    <w:p w14:paraId="25961571" w14:textId="2A3A5189" w:rsidR="00120274" w:rsidRDefault="00120274" w:rsidP="00B35659">
      <w:pPr>
        <w:tabs>
          <w:tab w:val="left" w:pos="1418"/>
        </w:tabs>
        <w:spacing w:after="0" w:line="240" w:lineRule="auto"/>
      </w:pPr>
      <w:r>
        <w:t>RTA</w:t>
      </w:r>
      <w:r w:rsidR="00693B11">
        <w:tab/>
        <w:t>Regional trade agreement</w:t>
      </w:r>
    </w:p>
    <w:p w14:paraId="683F8FCA" w14:textId="7DAAF46F" w:rsidR="00120274" w:rsidRDefault="00120274" w:rsidP="00B35659">
      <w:pPr>
        <w:tabs>
          <w:tab w:val="left" w:pos="1418"/>
        </w:tabs>
        <w:spacing w:after="0" w:line="240" w:lineRule="auto"/>
      </w:pPr>
      <w:r>
        <w:t>VAX</w:t>
      </w:r>
      <w:r w:rsidR="00477024">
        <w:tab/>
        <w:t>Value-added exports</w:t>
      </w:r>
    </w:p>
    <w:p w14:paraId="22703093" w14:textId="44748737" w:rsidR="00C41399" w:rsidRDefault="00C41399" w:rsidP="00B35659">
      <w:pPr>
        <w:tabs>
          <w:tab w:val="left" w:pos="1418"/>
        </w:tabs>
        <w:spacing w:after="0" w:line="240" w:lineRule="auto"/>
      </w:pPr>
      <w:r>
        <w:t>WIOD</w:t>
      </w:r>
      <w:r>
        <w:tab/>
        <w:t>World Input–Output Database</w:t>
      </w:r>
    </w:p>
    <w:p w14:paraId="63884517" w14:textId="1B9DE625" w:rsidR="00693B11" w:rsidRDefault="00693B11" w:rsidP="00B35659">
      <w:pPr>
        <w:tabs>
          <w:tab w:val="left" w:pos="1418"/>
        </w:tabs>
        <w:spacing w:after="0" w:line="240" w:lineRule="auto"/>
      </w:pPr>
      <w:r w:rsidRPr="00693B11">
        <w:t>WTO</w:t>
      </w:r>
      <w:r w:rsidRPr="00693B11">
        <w:tab/>
        <w:t>World Trade Organization</w:t>
      </w:r>
    </w:p>
    <w:p w14:paraId="6E0FC4A5" w14:textId="043F4BE4" w:rsidR="00AE3193" w:rsidRDefault="00AE3193">
      <w:pPr>
        <w:spacing w:after="0" w:line="240" w:lineRule="auto"/>
      </w:pPr>
      <w:r>
        <w:br w:type="page"/>
      </w:r>
    </w:p>
    <w:p w14:paraId="661707DE" w14:textId="77777777" w:rsidR="00F2297C" w:rsidRDefault="001D6092" w:rsidP="00AE3193">
      <w:pPr>
        <w:pStyle w:val="Heading1"/>
        <w:numPr>
          <w:ilvl w:val="0"/>
          <w:numId w:val="0"/>
        </w:numPr>
      </w:pPr>
      <w:bookmarkStart w:id="4" w:name="_Toc141647938"/>
      <w:r>
        <w:lastRenderedPageBreak/>
        <w:t>Highlights</w:t>
      </w:r>
      <w:bookmarkEnd w:id="4"/>
    </w:p>
    <w:p w14:paraId="17DB6F1D" w14:textId="079ACACF" w:rsidR="00402074" w:rsidRDefault="008D2B42" w:rsidP="008D2B42">
      <w:r>
        <w:t>To follow.</w:t>
      </w:r>
      <w:r w:rsidR="00402074">
        <w:br w:type="page"/>
      </w:r>
    </w:p>
    <w:p w14:paraId="5F59DD77" w14:textId="616FC4BD" w:rsidR="00C2222F" w:rsidRPr="00017EDF" w:rsidRDefault="00C2222F" w:rsidP="00C2222F">
      <w:pPr>
        <w:pStyle w:val="Heading1"/>
      </w:pPr>
      <w:bookmarkStart w:id="5" w:name="_Toc141647939"/>
      <w:r w:rsidRPr="00017EDF">
        <w:lastRenderedPageBreak/>
        <w:t>Introduction</w:t>
      </w:r>
      <w:bookmarkEnd w:id="5"/>
    </w:p>
    <w:p w14:paraId="1597BE8A" w14:textId="2D706745" w:rsidR="00C30027" w:rsidRDefault="00C30027" w:rsidP="00C30027">
      <w:r>
        <w:t>This report examines the economy and trade of Kazakhstan in the context of global value chains (GVCs), a form of fragmented production that has affected everything from automobiles to vaccines</w:t>
      </w:r>
      <w:r w:rsidRPr="00B212B6">
        <w:t>.</w:t>
      </w:r>
      <w:r>
        <w:t xml:space="preserve"> It combines innovative analytical tools with the latest available data to produce indicators that describe Kazakhstan’s rate of GVC participation, the lengths of its GVC production, its patterns of specialization, and the price competitiveness of its exports—among many others. This report’s key data source is the Asian Development Bank’s (ADB) Multiregional Input–Output (MRIO) Database, </w:t>
      </w:r>
      <w:r w:rsidR="0018539B">
        <w:t>a</w:t>
      </w:r>
      <w:r>
        <w:t xml:space="preserve"> time series of intercountry input–output tables </w:t>
      </w:r>
      <w:r w:rsidR="0018539B">
        <w:t>featuring extensive coverage of developing Asia</w:t>
      </w:r>
      <w:r>
        <w:t xml:space="preserve">. </w:t>
      </w:r>
      <w:r>
        <w:fldChar w:fldCharType="begin"/>
      </w:r>
      <w:r>
        <w:instrText xml:space="preserve"> REF _Ref82529671 \h </w:instrText>
      </w:r>
      <w:r>
        <w:fldChar w:fldCharType="separate"/>
      </w:r>
      <w:r w:rsidR="00F03ADA">
        <w:t xml:space="preserve">Box </w:t>
      </w:r>
      <w:r w:rsidR="00F03ADA">
        <w:rPr>
          <w:noProof/>
        </w:rPr>
        <w:t>1</w:t>
      </w:r>
      <w:r>
        <w:fldChar w:fldCharType="end"/>
      </w:r>
      <w:r>
        <w:t xml:space="preserve"> provides more information on this dataset. It is hoped that the insights this report presents will prove useful for policymakers and the general public alike.</w:t>
      </w:r>
    </w:p>
    <w:tbl>
      <w:tblPr>
        <w:tblStyle w:val="TableGrid"/>
        <w:tblW w:w="0" w:type="auto"/>
        <w:tblLook w:val="04A0" w:firstRow="1" w:lastRow="0" w:firstColumn="1" w:lastColumn="0" w:noHBand="0" w:noVBand="1"/>
      </w:tblPr>
      <w:tblGrid>
        <w:gridCol w:w="9016"/>
      </w:tblGrid>
      <w:tr w:rsidR="00FD1BD1" w14:paraId="16D09453" w14:textId="77777777" w:rsidTr="00FD1BD1">
        <w:tc>
          <w:tcPr>
            <w:tcW w:w="9016" w:type="dxa"/>
          </w:tcPr>
          <w:p w14:paraId="00F16DB8" w14:textId="63B3F1B5" w:rsidR="00FD1BD1" w:rsidRPr="00B212B6" w:rsidRDefault="00FD1BD1" w:rsidP="00FD1BD1">
            <w:pPr>
              <w:pStyle w:val="Caption"/>
            </w:pPr>
            <w:bookmarkStart w:id="6" w:name="_Ref82529671"/>
            <w:bookmarkStart w:id="7" w:name="_Toc141647971"/>
            <w:r>
              <w:t xml:space="preserve">Box </w:t>
            </w:r>
            <w:fldSimple w:instr=" SEQ Box \* ARABIC ">
              <w:r w:rsidR="00F03ADA">
                <w:rPr>
                  <w:noProof/>
                </w:rPr>
                <w:t>1</w:t>
              </w:r>
            </w:fldSimple>
            <w:bookmarkEnd w:id="6"/>
            <w:r>
              <w:t>: The Asian Development Bank Multiregional Input–Output Database</w:t>
            </w:r>
            <w:bookmarkEnd w:id="7"/>
          </w:p>
          <w:p w14:paraId="151D2366" w14:textId="4D3682EB" w:rsidR="00FD1BD1" w:rsidRDefault="003B09F4" w:rsidP="00FD1BD1">
            <w:pPr>
              <w:pStyle w:val="Box"/>
            </w:pPr>
            <w:r>
              <w:t xml:space="preserve">The Asian Development Bank (ADB) Multiregional Input–Output (MRIO) Database is </w:t>
            </w:r>
            <w:r w:rsidR="008541C5">
              <w:t>a time series of</w:t>
            </w:r>
            <w:r>
              <w:t xml:space="preserve"> intercountry input–output </w:t>
            </w:r>
            <w:r w:rsidR="008541C5">
              <w:t xml:space="preserve">tables </w:t>
            </w:r>
            <w:r>
              <w:t xml:space="preserve">maintained by </w:t>
            </w:r>
            <w:r w:rsidR="00EB3041">
              <w:t xml:space="preserve">a dedicated team in </w:t>
            </w:r>
            <w:r w:rsidR="008541C5">
              <w:t>ADB</w:t>
            </w:r>
            <w:r w:rsidR="00EB3041">
              <w:t>.</w:t>
            </w:r>
            <w:r w:rsidR="008541C5">
              <w:t xml:space="preserve"> </w:t>
            </w:r>
            <w:r w:rsidR="00296246">
              <w:t xml:space="preserve">Information on </w:t>
            </w:r>
            <w:r w:rsidR="00AA1EF5">
              <w:t xml:space="preserve">cross-sectoral linkages are </w:t>
            </w:r>
            <w:r w:rsidR="00296246">
              <w:t xml:space="preserve">provided for </w:t>
            </w:r>
            <w:r w:rsidR="00596D31">
              <w:t>72</w:t>
            </w:r>
            <w:r w:rsidR="00296246">
              <w:t xml:space="preserve"> countries </w:t>
            </w:r>
            <w:r w:rsidR="00596D31">
              <w:t>for the years 2017–2022 and for 62 countries for the years 2000 and 2007–20</w:t>
            </w:r>
            <w:r w:rsidR="00F25F8D">
              <w:t>16</w:t>
            </w:r>
            <w:r w:rsidR="00296246">
              <w:t>. A residua</w:t>
            </w:r>
            <w:r w:rsidR="00FB178C">
              <w:t>l</w:t>
            </w:r>
            <w:r w:rsidR="00296246">
              <w:t xml:space="preserve"> “Rest of the world” entity is also included, allowing the table to capture </w:t>
            </w:r>
            <w:r w:rsidR="000D1163">
              <w:t xml:space="preserve">the entirety of </w:t>
            </w:r>
            <w:r w:rsidR="00296246">
              <w:t>global flows.</w:t>
            </w:r>
          </w:p>
          <w:p w14:paraId="63309F1C" w14:textId="50D8A043" w:rsidR="002E663F" w:rsidRDefault="00F44D43" w:rsidP="00C93B4E">
            <w:pPr>
              <w:pStyle w:val="Box"/>
            </w:pPr>
            <w:r>
              <w:t xml:space="preserve">The ADB MRIO Database </w:t>
            </w:r>
            <w:r w:rsidR="00F25F8D">
              <w:t>was originally</w:t>
            </w:r>
            <w:r>
              <w:t xml:space="preserve"> an extended version of the World Input–Output Database, 2013 release</w:t>
            </w:r>
            <w:r w:rsidR="00652163">
              <w:t>. Each country or economy is divided into 35 sectors, based on Table A2 of</w:t>
            </w:r>
            <w:r w:rsidR="00085541">
              <w:t xml:space="preserve"> Timmer, et al. </w:t>
            </w:r>
            <w:r w:rsidR="00652163">
              <w:t>(</w:t>
            </w:r>
            <w:r w:rsidR="00085541">
              <w:t>201</w:t>
            </w:r>
            <w:r w:rsidR="00652163">
              <w:t>5)</w:t>
            </w:r>
            <w:r>
              <w:t xml:space="preserve">. </w:t>
            </w:r>
            <w:r w:rsidR="002E663F">
              <w:t xml:space="preserve">There are five final demand categories: </w:t>
            </w:r>
            <w:r w:rsidR="002E663F" w:rsidRPr="00CA45CF">
              <w:t>household final consumption expenditure</w:t>
            </w:r>
            <w:r w:rsidR="002E663F">
              <w:t xml:space="preserve"> (FCE)</w:t>
            </w:r>
            <w:r w:rsidR="002E663F" w:rsidRPr="00CA45CF">
              <w:t>, non-profit institutions serving households FCE, government FCE, gross fixed capital formation, and changes in inventories.</w:t>
            </w:r>
          </w:p>
          <w:p w14:paraId="6C48C2BA" w14:textId="0BB93CF8" w:rsidR="005D3CFB" w:rsidRDefault="00E119F4" w:rsidP="007B2CA0">
            <w:pPr>
              <w:pStyle w:val="Box"/>
            </w:pPr>
            <w:r>
              <w:t>Officially published national supply–use tables (SUTs) and/or input–output tables (IOTs) serve as benchmarks in the construction of the ADB MRIO. In each national SUT or IOT, sectoral and product classifications were harmonized to follow the 35 sectors, and whenever necessary, SUTs were transformed into IOTs following the industry technology transformation assumption discussed in European Commission (2008).</w:t>
            </w:r>
            <w:r w:rsidR="007B2CA0">
              <w:t xml:space="preserve"> </w:t>
            </w:r>
          </w:p>
          <w:p w14:paraId="69CDB20E" w14:textId="24323F31" w:rsidR="00E119F4" w:rsidRDefault="00E119F4" w:rsidP="007B2CA0">
            <w:pPr>
              <w:pStyle w:val="Box"/>
            </w:pPr>
            <w:r>
              <w:t xml:space="preserve">Benchmark IOTs also serve as the base structure for producing time-series of the ADB MRIO tables using published estimates on gross output, gross value added, taxes less subsidies on products, imports, and exports sourced from national statistical agencies and central bank databases as control totals. The structure of imports and exports are based on bilateral trade data extracted from </w:t>
            </w:r>
            <w:r w:rsidR="005D3CFB">
              <w:t>the United Nations</w:t>
            </w:r>
            <w:r>
              <w:t xml:space="preserve"> COMTRADE </w:t>
            </w:r>
            <w:r w:rsidR="005D3CFB">
              <w:t xml:space="preserve">Database </w:t>
            </w:r>
            <w:r>
              <w:t xml:space="preserve">and government trade and balance of payments statistics. Once the national IOTs are integrated into the </w:t>
            </w:r>
            <w:r w:rsidR="00234F9A">
              <w:t>MRIO</w:t>
            </w:r>
            <w:r>
              <w:t>, accounts for the sectors of “</w:t>
            </w:r>
            <w:r w:rsidR="00F25F8D">
              <w:t>R</w:t>
            </w:r>
            <w:r>
              <w:t xml:space="preserve">est of the world” are manually and systematically adjusted to ensure consistency with economy–sector totals in the </w:t>
            </w:r>
            <w:r w:rsidR="00234F9A">
              <w:t>MRIO</w:t>
            </w:r>
            <w:r>
              <w:t>.</w:t>
            </w:r>
          </w:p>
          <w:p w14:paraId="7FEC0BAA" w14:textId="20754605" w:rsidR="00D24641" w:rsidRDefault="00C93B4E" w:rsidP="00D24641">
            <w:pPr>
              <w:pStyle w:val="Box"/>
            </w:pPr>
            <w:r>
              <w:t xml:space="preserve">The basic structure of each of </w:t>
            </w:r>
            <w:r w:rsidR="0088085A">
              <w:t>MRIO</w:t>
            </w:r>
            <w:r>
              <w:t xml:space="preserve"> table</w:t>
            </w:r>
            <w:r w:rsidR="0088085A">
              <w:t xml:space="preserve"> </w:t>
            </w:r>
            <w:r>
              <w:t xml:space="preserve">is </w:t>
            </w:r>
            <w:r w:rsidR="00D24641">
              <w:t>given below</w:t>
            </w:r>
            <w:r>
              <w:t xml:space="preserve">. </w:t>
            </w:r>
            <w:r w:rsidR="00D24641" w:rsidRPr="00C93B4E">
              <w:t xml:space="preserve">It is composed of </w:t>
            </w:r>
            <w:r w:rsidR="00D24641" w:rsidRPr="00767BAE">
              <w:rPr>
                <w:b/>
                <w:bCs/>
              </w:rPr>
              <w:t>Z</w:t>
            </w:r>
            <w:r w:rsidR="00D24641" w:rsidRPr="00C93B4E">
              <w:t>, a matrix of intermediates</w:t>
            </w:r>
            <w:r w:rsidR="00D24641">
              <w:t xml:space="preserve"> use</w:t>
            </w:r>
            <w:r w:rsidR="00D24641" w:rsidRPr="00C93B4E">
              <w:t xml:space="preserve">; </w:t>
            </w:r>
            <w:r w:rsidR="00D24641" w:rsidRPr="00767BAE">
              <w:rPr>
                <w:b/>
                <w:bCs/>
              </w:rPr>
              <w:t>Y</w:t>
            </w:r>
            <w:r w:rsidR="00D24641" w:rsidRPr="00C93B4E">
              <w:t xml:space="preserve">, a matrix of final </w:t>
            </w:r>
            <w:r w:rsidR="00D24641">
              <w:t>demand</w:t>
            </w:r>
            <w:r w:rsidR="00D24641" w:rsidRPr="00C93B4E">
              <w:t xml:space="preserve">; </w:t>
            </w:r>
            <w:proofErr w:type="spellStart"/>
            <w:r w:rsidR="00D24641" w:rsidRPr="00767BAE">
              <w:rPr>
                <w:b/>
                <w:bCs/>
              </w:rPr>
              <w:t>va</w:t>
            </w:r>
            <w:proofErr w:type="spellEnd"/>
            <w:r w:rsidR="00D24641" w:rsidRPr="00C93B4E">
              <w:t xml:space="preserve">, a vector of </w:t>
            </w:r>
            <w:r w:rsidR="00D24641">
              <w:t>country-</w:t>
            </w:r>
            <w:r w:rsidR="00D24641" w:rsidRPr="00C93B4E">
              <w:t xml:space="preserve">sector value added; and </w:t>
            </w:r>
            <w:r w:rsidR="00D24641" w:rsidRPr="00767BAE">
              <w:rPr>
                <w:b/>
                <w:bCs/>
              </w:rPr>
              <w:t>x</w:t>
            </w:r>
            <w:r w:rsidR="00D24641" w:rsidRPr="00C93B4E">
              <w:t xml:space="preserve">, a vector of output. Read vertically, the table shows the purchases of each </w:t>
            </w:r>
            <w:r w:rsidR="00D24641">
              <w:t>country-</w:t>
            </w:r>
            <w:r w:rsidR="00D24641" w:rsidRPr="00C93B4E">
              <w:t xml:space="preserve">sector, distinguished between intermediate inputs and primary inputs, the latter also called value added. Read horizontally, it shows the sales of each </w:t>
            </w:r>
            <w:r w:rsidR="00D24641">
              <w:t>country-</w:t>
            </w:r>
            <w:r w:rsidR="00D24641" w:rsidRPr="00C93B4E">
              <w:t xml:space="preserve">sector, distinguished between intermediate sales and final sales. The market-clearing condition stipulates that total purchases and total sales for each </w:t>
            </w:r>
            <w:r w:rsidR="00D24641">
              <w:t>country-</w:t>
            </w:r>
            <w:r w:rsidR="00D24641" w:rsidRPr="00C93B4E">
              <w:t>sector must equal. This amount is total output.</w:t>
            </w:r>
          </w:p>
          <w:p w14:paraId="6C137744" w14:textId="1D886BB3" w:rsidR="00C93B4E" w:rsidRDefault="00C93B4E" w:rsidP="00C93B4E">
            <w:pPr>
              <w:pStyle w:val="Box"/>
            </w:pPr>
          </w:p>
          <w:p w14:paraId="7D73C6E9" w14:textId="5DA2C5D0" w:rsidR="00C93B4E" w:rsidRPr="00C93B4E" w:rsidRDefault="00C93B4E" w:rsidP="00C93B4E">
            <w:pPr>
              <w:pStyle w:val="Box"/>
              <w:jc w:val="center"/>
              <w:rPr>
                <w:b/>
                <w:bCs/>
              </w:rPr>
            </w:pPr>
            <w:r w:rsidRPr="00C93B4E">
              <w:rPr>
                <w:b/>
                <w:bCs/>
              </w:rPr>
              <w:t>A Schematic Representation of the ADB MRIO</w:t>
            </w:r>
          </w:p>
          <w:tbl>
            <w:tblPr>
              <w:tblStyle w:val="TableGrid"/>
              <w:tblW w:w="7265" w:type="dxa"/>
              <w:jc w:val="center"/>
              <w:tblLook w:val="04A0" w:firstRow="1" w:lastRow="0" w:firstColumn="1" w:lastColumn="0" w:noHBand="0" w:noVBand="1"/>
            </w:tblPr>
            <w:tblGrid>
              <w:gridCol w:w="861"/>
              <w:gridCol w:w="389"/>
              <w:gridCol w:w="1082"/>
              <w:gridCol w:w="556"/>
              <w:gridCol w:w="1085"/>
              <w:gridCol w:w="1042"/>
              <w:gridCol w:w="562"/>
              <w:gridCol w:w="1121"/>
              <w:gridCol w:w="567"/>
            </w:tblGrid>
            <w:tr w:rsidR="00C93B4E" w:rsidRPr="00481831" w14:paraId="4A082A5F" w14:textId="77777777" w:rsidTr="00767BAE">
              <w:trPr>
                <w:trHeight w:val="271"/>
                <w:jc w:val="center"/>
              </w:trPr>
              <w:tc>
                <w:tcPr>
                  <w:tcW w:w="867" w:type="dxa"/>
                  <w:tcBorders>
                    <w:top w:val="nil"/>
                    <w:left w:val="nil"/>
                    <w:bottom w:val="nil"/>
                    <w:right w:val="nil"/>
                  </w:tcBorders>
                </w:tcPr>
                <w:p w14:paraId="41D36623" w14:textId="77777777" w:rsidR="00C93B4E" w:rsidRPr="00481831" w:rsidRDefault="00C93B4E" w:rsidP="00C93B4E">
                  <w:pPr>
                    <w:spacing w:after="0" w:line="240" w:lineRule="auto"/>
                    <w:rPr>
                      <w:rFonts w:ascii="Calibri" w:hAnsi="Calibri" w:cs="Calibri"/>
                      <w:sz w:val="12"/>
                      <w:szCs w:val="12"/>
                    </w:rPr>
                  </w:pPr>
                </w:p>
              </w:tc>
              <w:tc>
                <w:tcPr>
                  <w:tcW w:w="328" w:type="dxa"/>
                  <w:tcBorders>
                    <w:top w:val="nil"/>
                    <w:left w:val="nil"/>
                    <w:bottom w:val="nil"/>
                    <w:right w:val="single" w:sz="4" w:space="0" w:color="auto"/>
                  </w:tcBorders>
                </w:tcPr>
                <w:p w14:paraId="66021F0F" w14:textId="77777777" w:rsidR="00C93B4E" w:rsidRPr="00481831" w:rsidRDefault="00C93B4E" w:rsidP="00C93B4E">
                  <w:pPr>
                    <w:spacing w:after="0" w:line="240" w:lineRule="auto"/>
                    <w:jc w:val="center"/>
                    <w:rPr>
                      <w:rFonts w:ascii="Calibri" w:hAnsi="Calibri" w:cs="Calibri"/>
                      <w:sz w:val="12"/>
                      <w:szCs w:val="12"/>
                    </w:rPr>
                  </w:pPr>
                </w:p>
              </w:tc>
              <w:tc>
                <w:tcPr>
                  <w:tcW w:w="1093" w:type="dxa"/>
                  <w:tcBorders>
                    <w:left w:val="single" w:sz="4" w:space="0" w:color="auto"/>
                  </w:tcBorders>
                  <w:shd w:val="clear" w:color="auto" w:fill="FFFFFF" w:themeFill="background1"/>
                  <w:vAlign w:val="center"/>
                </w:tcPr>
                <w:p w14:paraId="7A6E7430" w14:textId="0D44F76A" w:rsidR="00C93B4E" w:rsidRPr="00CB02BA" w:rsidRDefault="00767BAE" w:rsidP="00C93B4E">
                  <w:pPr>
                    <w:spacing w:after="0" w:line="240" w:lineRule="auto"/>
                    <w:jc w:val="center"/>
                    <w:rPr>
                      <w:rFonts w:ascii="Calibri" w:hAnsi="Calibri" w:cs="Calibri"/>
                      <w:b/>
                      <w:bCs/>
                      <w:sz w:val="12"/>
                      <w:szCs w:val="12"/>
                    </w:rPr>
                  </w:pPr>
                  <w:r>
                    <w:rPr>
                      <w:rFonts w:ascii="Calibri" w:hAnsi="Calibri" w:cs="Calibri"/>
                      <w:b/>
                      <w:bCs/>
                      <w:sz w:val="12"/>
                      <w:szCs w:val="12"/>
                    </w:rPr>
                    <w:t>Country</w:t>
                  </w:r>
                  <w:r w:rsidR="00C93B4E" w:rsidRPr="00CB02BA">
                    <w:rPr>
                      <w:rFonts w:ascii="Calibri" w:hAnsi="Calibri" w:cs="Calibri"/>
                      <w:b/>
                      <w:bCs/>
                      <w:sz w:val="12"/>
                      <w:szCs w:val="12"/>
                    </w:rPr>
                    <w:t xml:space="preserve"> A</w:t>
                  </w:r>
                </w:p>
              </w:tc>
              <w:tc>
                <w:tcPr>
                  <w:tcW w:w="561" w:type="dxa"/>
                  <w:shd w:val="clear" w:color="auto" w:fill="FFFFFF" w:themeFill="background1"/>
                  <w:vAlign w:val="center"/>
                </w:tcPr>
                <w:p w14:paraId="7A6C4B4C" w14:textId="77777777" w:rsidR="00C93B4E" w:rsidRPr="00CB02BA" w:rsidRDefault="00C93B4E" w:rsidP="00C93B4E">
                  <w:pPr>
                    <w:spacing w:after="0" w:line="240" w:lineRule="auto"/>
                    <w:jc w:val="center"/>
                    <w:rPr>
                      <w:rFonts w:ascii="Calibri" w:hAnsi="Calibri" w:cs="Calibri"/>
                      <w:b/>
                      <w:bCs/>
                      <w:sz w:val="12"/>
                      <w:szCs w:val="12"/>
                    </w:rPr>
                  </w:pPr>
                  <m:oMathPara>
                    <m:oMath>
                      <m:r>
                        <m:rPr>
                          <m:sty m:val="bi"/>
                        </m:rPr>
                        <w:rPr>
                          <w:rFonts w:ascii="Cambria Math" w:hAnsi="Cambria Math" w:cs="Calibri"/>
                          <w:sz w:val="12"/>
                          <w:szCs w:val="12"/>
                        </w:rPr>
                        <m:t>⋯</m:t>
                      </m:r>
                    </m:oMath>
                  </m:oMathPara>
                </w:p>
              </w:tc>
              <w:tc>
                <w:tcPr>
                  <w:tcW w:w="1097" w:type="dxa"/>
                  <w:shd w:val="clear" w:color="auto" w:fill="FFFFFF" w:themeFill="background1"/>
                  <w:vAlign w:val="center"/>
                </w:tcPr>
                <w:p w14:paraId="2791982C" w14:textId="77777777" w:rsidR="00C93B4E" w:rsidRPr="00CB02BA" w:rsidRDefault="00C93B4E" w:rsidP="00C93B4E">
                  <w:pPr>
                    <w:spacing w:after="0" w:line="240" w:lineRule="auto"/>
                    <w:jc w:val="center"/>
                    <w:rPr>
                      <w:rFonts w:ascii="Calibri" w:hAnsi="Calibri" w:cs="Calibri"/>
                      <w:b/>
                      <w:bCs/>
                      <w:sz w:val="12"/>
                      <w:szCs w:val="12"/>
                    </w:rPr>
                  </w:pPr>
                  <w:r w:rsidRPr="00CB02BA">
                    <w:rPr>
                      <w:rFonts w:ascii="Calibri" w:hAnsi="Calibri" w:cs="Calibri"/>
                      <w:b/>
                      <w:bCs/>
                      <w:sz w:val="12"/>
                      <w:szCs w:val="12"/>
                    </w:rPr>
                    <w:t>Rest of the world</w:t>
                  </w:r>
                </w:p>
              </w:tc>
              <w:tc>
                <w:tcPr>
                  <w:tcW w:w="1051" w:type="dxa"/>
                  <w:shd w:val="clear" w:color="auto" w:fill="FFFFFF" w:themeFill="background1"/>
                  <w:vAlign w:val="center"/>
                </w:tcPr>
                <w:p w14:paraId="1787A9AD" w14:textId="5DEA4128" w:rsidR="00C93B4E" w:rsidRPr="00CB02BA" w:rsidRDefault="00767BAE" w:rsidP="00C93B4E">
                  <w:pPr>
                    <w:spacing w:after="0" w:line="240" w:lineRule="auto"/>
                    <w:jc w:val="center"/>
                    <w:rPr>
                      <w:rFonts w:ascii="Calibri" w:hAnsi="Calibri" w:cs="Calibri"/>
                      <w:b/>
                      <w:bCs/>
                      <w:sz w:val="12"/>
                      <w:szCs w:val="12"/>
                    </w:rPr>
                  </w:pPr>
                  <w:r>
                    <w:rPr>
                      <w:rFonts w:ascii="Calibri" w:hAnsi="Calibri" w:cs="Calibri"/>
                      <w:b/>
                      <w:bCs/>
                      <w:sz w:val="12"/>
                      <w:szCs w:val="12"/>
                    </w:rPr>
                    <w:t>Country</w:t>
                  </w:r>
                  <w:r w:rsidRPr="00CB02BA">
                    <w:rPr>
                      <w:rFonts w:ascii="Calibri" w:hAnsi="Calibri" w:cs="Calibri"/>
                      <w:b/>
                      <w:bCs/>
                      <w:sz w:val="12"/>
                      <w:szCs w:val="12"/>
                    </w:rPr>
                    <w:t xml:space="preserve"> </w:t>
                  </w:r>
                  <w:r w:rsidR="00C93B4E" w:rsidRPr="00CB02BA">
                    <w:rPr>
                      <w:rFonts w:ascii="Calibri" w:hAnsi="Calibri" w:cs="Calibri"/>
                      <w:b/>
                      <w:bCs/>
                      <w:sz w:val="12"/>
                      <w:szCs w:val="12"/>
                    </w:rPr>
                    <w:t>A</w:t>
                  </w:r>
                </w:p>
              </w:tc>
              <w:tc>
                <w:tcPr>
                  <w:tcW w:w="567" w:type="dxa"/>
                  <w:shd w:val="clear" w:color="auto" w:fill="FFFFFF" w:themeFill="background1"/>
                  <w:vAlign w:val="center"/>
                </w:tcPr>
                <w:p w14:paraId="4A851595" w14:textId="77777777" w:rsidR="00C93B4E" w:rsidRPr="00CB02BA" w:rsidRDefault="00C93B4E" w:rsidP="00C93B4E">
                  <w:pPr>
                    <w:spacing w:after="0" w:line="240" w:lineRule="auto"/>
                    <w:jc w:val="center"/>
                    <w:rPr>
                      <w:rFonts w:ascii="Calibri" w:hAnsi="Calibri" w:cs="Calibri"/>
                      <w:b/>
                      <w:bCs/>
                      <w:sz w:val="12"/>
                      <w:szCs w:val="12"/>
                    </w:rPr>
                  </w:pPr>
                  <m:oMathPara>
                    <m:oMath>
                      <m:r>
                        <m:rPr>
                          <m:sty m:val="bi"/>
                        </m:rPr>
                        <w:rPr>
                          <w:rFonts w:ascii="Cambria Math" w:hAnsi="Cambria Math" w:cs="Calibri"/>
                          <w:sz w:val="12"/>
                          <w:szCs w:val="12"/>
                        </w:rPr>
                        <m:t>⋯</m:t>
                      </m:r>
                    </m:oMath>
                  </m:oMathPara>
                </w:p>
              </w:tc>
              <w:tc>
                <w:tcPr>
                  <w:tcW w:w="1134" w:type="dxa"/>
                  <w:shd w:val="clear" w:color="auto" w:fill="FFFFFF" w:themeFill="background1"/>
                  <w:vAlign w:val="center"/>
                </w:tcPr>
                <w:p w14:paraId="6E99D6C2" w14:textId="77777777" w:rsidR="00C93B4E" w:rsidRPr="00CB02BA" w:rsidRDefault="00C93B4E" w:rsidP="00C93B4E">
                  <w:pPr>
                    <w:spacing w:after="0" w:line="240" w:lineRule="auto"/>
                    <w:jc w:val="center"/>
                    <w:rPr>
                      <w:rFonts w:ascii="Calibri" w:hAnsi="Calibri" w:cs="Calibri"/>
                      <w:b/>
                      <w:bCs/>
                      <w:sz w:val="12"/>
                      <w:szCs w:val="12"/>
                    </w:rPr>
                  </w:pPr>
                  <w:r w:rsidRPr="00CB02BA">
                    <w:rPr>
                      <w:rFonts w:ascii="Calibri" w:hAnsi="Calibri" w:cs="Calibri"/>
                      <w:b/>
                      <w:bCs/>
                      <w:sz w:val="12"/>
                      <w:szCs w:val="12"/>
                    </w:rPr>
                    <w:t>Rest of the world</w:t>
                  </w:r>
                </w:p>
              </w:tc>
              <w:tc>
                <w:tcPr>
                  <w:tcW w:w="567" w:type="dxa"/>
                  <w:vMerge w:val="restart"/>
                  <w:shd w:val="clear" w:color="auto" w:fill="FFFFFF" w:themeFill="background1"/>
                  <w:vAlign w:val="center"/>
                </w:tcPr>
                <w:p w14:paraId="1ED0C451" w14:textId="77777777" w:rsidR="00C93B4E" w:rsidRPr="00CB02BA" w:rsidRDefault="00C93B4E" w:rsidP="00C93B4E">
                  <w:pPr>
                    <w:spacing w:after="0" w:line="240" w:lineRule="auto"/>
                    <w:jc w:val="center"/>
                    <w:rPr>
                      <w:rFonts w:ascii="Calibri" w:hAnsi="Calibri" w:cs="Calibri"/>
                      <w:b/>
                      <w:bCs/>
                      <w:sz w:val="12"/>
                      <w:szCs w:val="12"/>
                    </w:rPr>
                  </w:pPr>
                  <w:r w:rsidRPr="00CB02BA">
                    <w:rPr>
                      <w:rFonts w:ascii="Calibri" w:hAnsi="Calibri" w:cs="Calibri"/>
                      <w:b/>
                      <w:bCs/>
                      <w:sz w:val="12"/>
                      <w:szCs w:val="12"/>
                    </w:rPr>
                    <w:t>Total output</w:t>
                  </w:r>
                </w:p>
              </w:tc>
            </w:tr>
            <w:tr w:rsidR="00C93B4E" w:rsidRPr="00481831" w14:paraId="46AF1D89" w14:textId="77777777" w:rsidTr="00767BAE">
              <w:trPr>
                <w:trHeight w:val="261"/>
                <w:jc w:val="center"/>
              </w:trPr>
              <w:tc>
                <w:tcPr>
                  <w:tcW w:w="867" w:type="dxa"/>
                  <w:tcBorders>
                    <w:top w:val="nil"/>
                    <w:left w:val="nil"/>
                    <w:bottom w:val="single" w:sz="4" w:space="0" w:color="auto"/>
                    <w:right w:val="nil"/>
                  </w:tcBorders>
                  <w:vAlign w:val="center"/>
                </w:tcPr>
                <w:p w14:paraId="364E5B46" w14:textId="77777777" w:rsidR="00C93B4E" w:rsidRPr="00481831" w:rsidRDefault="00C93B4E" w:rsidP="00C93B4E">
                  <w:pPr>
                    <w:spacing w:after="0" w:line="240" w:lineRule="auto"/>
                    <w:jc w:val="center"/>
                    <w:rPr>
                      <w:rFonts w:ascii="Calibri" w:hAnsi="Calibri" w:cs="Calibri"/>
                      <w:sz w:val="12"/>
                      <w:szCs w:val="12"/>
                    </w:rPr>
                  </w:pPr>
                </w:p>
              </w:tc>
              <w:tc>
                <w:tcPr>
                  <w:tcW w:w="328" w:type="dxa"/>
                  <w:tcBorders>
                    <w:top w:val="nil"/>
                    <w:left w:val="nil"/>
                    <w:bottom w:val="single" w:sz="4" w:space="0" w:color="auto"/>
                    <w:right w:val="single" w:sz="4" w:space="0" w:color="auto"/>
                  </w:tcBorders>
                  <w:vAlign w:val="center"/>
                </w:tcPr>
                <w:p w14:paraId="77106152" w14:textId="77777777" w:rsidR="00C93B4E" w:rsidRPr="00481831" w:rsidRDefault="00C93B4E" w:rsidP="00C93B4E">
                  <w:pPr>
                    <w:spacing w:after="0" w:line="240" w:lineRule="auto"/>
                    <w:jc w:val="center"/>
                    <w:rPr>
                      <w:rFonts w:ascii="Calibri" w:hAnsi="Calibri" w:cs="Calibri"/>
                      <w:sz w:val="12"/>
                      <w:szCs w:val="12"/>
                    </w:rPr>
                  </w:pPr>
                </w:p>
              </w:tc>
              <w:tc>
                <w:tcPr>
                  <w:tcW w:w="1093" w:type="dxa"/>
                  <w:tcBorders>
                    <w:left w:val="single" w:sz="4" w:space="0" w:color="auto"/>
                  </w:tcBorders>
                  <w:shd w:val="clear" w:color="auto" w:fill="FFFFFF" w:themeFill="background1"/>
                  <w:vAlign w:val="center"/>
                </w:tcPr>
                <w:p w14:paraId="4A727F46"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 xml:space="preserve">c1 </w:t>
                  </w:r>
                  <m:oMath>
                    <m:r>
                      <w:rPr>
                        <w:rFonts w:ascii="Cambria Math" w:hAnsi="Cambria Math" w:cs="Calibri"/>
                        <w:sz w:val="12"/>
                        <w:szCs w:val="12"/>
                      </w:rPr>
                      <m:t>⋯</m:t>
                    </m:r>
                  </m:oMath>
                  <w:r w:rsidRPr="00481831">
                    <w:rPr>
                      <w:rFonts w:ascii="Calibri" w:hAnsi="Calibri" w:cs="Calibri"/>
                      <w:sz w:val="12"/>
                      <w:szCs w:val="12"/>
                    </w:rPr>
                    <w:t xml:space="preserve"> c35</w:t>
                  </w:r>
                </w:p>
              </w:tc>
              <w:tc>
                <w:tcPr>
                  <w:tcW w:w="561" w:type="dxa"/>
                  <w:shd w:val="clear" w:color="auto" w:fill="FFFFFF" w:themeFill="background1"/>
                  <w:vAlign w:val="center"/>
                </w:tcPr>
                <w:p w14:paraId="25897D45"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tc>
              <w:tc>
                <w:tcPr>
                  <w:tcW w:w="1097" w:type="dxa"/>
                  <w:shd w:val="clear" w:color="auto" w:fill="FFFFFF" w:themeFill="background1"/>
                  <w:vAlign w:val="center"/>
                </w:tcPr>
                <w:p w14:paraId="26977591"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 xml:space="preserve">c1 </w:t>
                  </w:r>
                  <m:oMath>
                    <m:r>
                      <w:rPr>
                        <w:rFonts w:ascii="Cambria Math" w:hAnsi="Cambria Math" w:cs="Calibri"/>
                        <w:sz w:val="12"/>
                        <w:szCs w:val="12"/>
                      </w:rPr>
                      <m:t>⋯</m:t>
                    </m:r>
                  </m:oMath>
                  <w:r w:rsidRPr="00481831">
                    <w:rPr>
                      <w:rFonts w:ascii="Calibri" w:hAnsi="Calibri" w:cs="Calibri"/>
                      <w:sz w:val="12"/>
                      <w:szCs w:val="12"/>
                    </w:rPr>
                    <w:t xml:space="preserve"> c35</w:t>
                  </w:r>
                </w:p>
              </w:tc>
              <w:tc>
                <w:tcPr>
                  <w:tcW w:w="1051" w:type="dxa"/>
                  <w:shd w:val="clear" w:color="auto" w:fill="FFFFFF" w:themeFill="background1"/>
                  <w:vAlign w:val="center"/>
                </w:tcPr>
                <w:p w14:paraId="1B8609AE"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 xml:space="preserve">f1 </w:t>
                  </w:r>
                  <m:oMath>
                    <m:r>
                      <w:rPr>
                        <w:rFonts w:ascii="Cambria Math" w:hAnsi="Cambria Math" w:cs="Calibri"/>
                        <w:sz w:val="12"/>
                        <w:szCs w:val="12"/>
                      </w:rPr>
                      <m:t>⋯</m:t>
                    </m:r>
                  </m:oMath>
                  <w:r w:rsidRPr="00481831">
                    <w:rPr>
                      <w:rFonts w:ascii="Calibri" w:hAnsi="Calibri" w:cs="Calibri"/>
                      <w:sz w:val="12"/>
                      <w:szCs w:val="12"/>
                    </w:rPr>
                    <w:t xml:space="preserve"> f5</w:t>
                  </w:r>
                </w:p>
              </w:tc>
              <w:tc>
                <w:tcPr>
                  <w:tcW w:w="567" w:type="dxa"/>
                  <w:shd w:val="clear" w:color="auto" w:fill="FFFFFF" w:themeFill="background1"/>
                  <w:vAlign w:val="center"/>
                </w:tcPr>
                <w:p w14:paraId="002E0F10"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tc>
              <w:tc>
                <w:tcPr>
                  <w:tcW w:w="1134" w:type="dxa"/>
                  <w:shd w:val="clear" w:color="auto" w:fill="FFFFFF" w:themeFill="background1"/>
                  <w:vAlign w:val="center"/>
                </w:tcPr>
                <w:p w14:paraId="02048ACB"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 xml:space="preserve">f1 </w:t>
                  </w:r>
                  <m:oMath>
                    <m:r>
                      <w:rPr>
                        <w:rFonts w:ascii="Cambria Math" w:hAnsi="Cambria Math" w:cs="Calibri"/>
                        <w:sz w:val="12"/>
                        <w:szCs w:val="12"/>
                      </w:rPr>
                      <m:t>⋯</m:t>
                    </m:r>
                  </m:oMath>
                  <w:r w:rsidRPr="00481831">
                    <w:rPr>
                      <w:rFonts w:ascii="Calibri" w:hAnsi="Calibri" w:cs="Calibri"/>
                      <w:sz w:val="12"/>
                      <w:szCs w:val="12"/>
                    </w:rPr>
                    <w:t xml:space="preserve"> f5</w:t>
                  </w:r>
                </w:p>
              </w:tc>
              <w:tc>
                <w:tcPr>
                  <w:tcW w:w="567" w:type="dxa"/>
                  <w:vMerge/>
                </w:tcPr>
                <w:p w14:paraId="034D4726" w14:textId="77777777" w:rsidR="00C93B4E" w:rsidRPr="00481831" w:rsidRDefault="00C93B4E" w:rsidP="00C93B4E">
                  <w:pPr>
                    <w:spacing w:after="0" w:line="240" w:lineRule="auto"/>
                    <w:jc w:val="center"/>
                    <w:rPr>
                      <w:rFonts w:ascii="Calibri" w:hAnsi="Calibri" w:cs="Calibri"/>
                      <w:sz w:val="12"/>
                      <w:szCs w:val="12"/>
                    </w:rPr>
                  </w:pPr>
                </w:p>
              </w:tc>
            </w:tr>
            <w:tr w:rsidR="00C93B4E" w:rsidRPr="00481831" w14:paraId="7E4411AA" w14:textId="77777777" w:rsidTr="00767BAE">
              <w:trPr>
                <w:trHeight w:val="578"/>
                <w:jc w:val="center"/>
              </w:trPr>
              <w:tc>
                <w:tcPr>
                  <w:tcW w:w="867" w:type="dxa"/>
                  <w:tcBorders>
                    <w:top w:val="single" w:sz="4" w:space="0" w:color="auto"/>
                  </w:tcBorders>
                  <w:shd w:val="clear" w:color="auto" w:fill="FFFFFF" w:themeFill="background1"/>
                  <w:vAlign w:val="center"/>
                </w:tcPr>
                <w:p w14:paraId="470CF92F" w14:textId="6E3AA929" w:rsidR="00C93B4E" w:rsidRPr="00CB02BA" w:rsidRDefault="00767BAE" w:rsidP="00C93B4E">
                  <w:pPr>
                    <w:spacing w:after="0" w:line="240" w:lineRule="auto"/>
                    <w:rPr>
                      <w:rFonts w:ascii="Calibri" w:hAnsi="Calibri" w:cs="Calibri"/>
                      <w:b/>
                      <w:bCs/>
                      <w:sz w:val="12"/>
                      <w:szCs w:val="12"/>
                    </w:rPr>
                  </w:pPr>
                  <w:r>
                    <w:rPr>
                      <w:rFonts w:ascii="Calibri" w:hAnsi="Calibri" w:cs="Calibri"/>
                      <w:b/>
                      <w:bCs/>
                      <w:sz w:val="12"/>
                      <w:szCs w:val="12"/>
                    </w:rPr>
                    <w:t>Country</w:t>
                  </w:r>
                  <w:r w:rsidRPr="00CB02BA">
                    <w:rPr>
                      <w:rFonts w:ascii="Calibri" w:hAnsi="Calibri" w:cs="Calibri"/>
                      <w:b/>
                      <w:bCs/>
                      <w:sz w:val="12"/>
                      <w:szCs w:val="12"/>
                    </w:rPr>
                    <w:t xml:space="preserve"> </w:t>
                  </w:r>
                  <w:r w:rsidR="00C93B4E" w:rsidRPr="00CB02BA">
                    <w:rPr>
                      <w:rFonts w:ascii="Calibri" w:hAnsi="Calibri" w:cs="Calibri"/>
                      <w:b/>
                      <w:bCs/>
                      <w:sz w:val="12"/>
                      <w:szCs w:val="12"/>
                    </w:rPr>
                    <w:t>A</w:t>
                  </w:r>
                </w:p>
              </w:tc>
              <w:tc>
                <w:tcPr>
                  <w:tcW w:w="328" w:type="dxa"/>
                  <w:tcBorders>
                    <w:top w:val="single" w:sz="4" w:space="0" w:color="auto"/>
                  </w:tcBorders>
                  <w:shd w:val="clear" w:color="auto" w:fill="FFFFFF" w:themeFill="background1"/>
                  <w:vAlign w:val="center"/>
                </w:tcPr>
                <w:p w14:paraId="57C04B27"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c1</w:t>
                  </w:r>
                </w:p>
                <w:p w14:paraId="070FF129"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p w14:paraId="09A36B25" w14:textId="327D0C9F"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c</w:t>
                  </w:r>
                  <w:r w:rsidR="00CF2D35">
                    <w:rPr>
                      <w:rFonts w:ascii="Calibri" w:hAnsi="Calibri" w:cs="Calibri"/>
                      <w:sz w:val="12"/>
                      <w:szCs w:val="12"/>
                    </w:rPr>
                    <w:t>3</w:t>
                  </w:r>
                  <w:r w:rsidRPr="00481831">
                    <w:rPr>
                      <w:rFonts w:ascii="Calibri" w:hAnsi="Calibri" w:cs="Calibri"/>
                      <w:sz w:val="12"/>
                      <w:szCs w:val="12"/>
                    </w:rPr>
                    <w:t>5</w:t>
                  </w:r>
                </w:p>
              </w:tc>
              <w:tc>
                <w:tcPr>
                  <w:tcW w:w="2751" w:type="dxa"/>
                  <w:gridSpan w:val="3"/>
                  <w:vMerge w:val="restart"/>
                  <w:shd w:val="clear" w:color="auto" w:fill="B4C6E7" w:themeFill="accent1" w:themeFillTint="66"/>
                  <w:vAlign w:val="center"/>
                </w:tcPr>
                <w:p w14:paraId="5D521539" w14:textId="77777777" w:rsidR="00C93B4E" w:rsidRPr="00481831" w:rsidRDefault="00C93B4E" w:rsidP="00C93B4E">
                  <w:pPr>
                    <w:spacing w:after="0" w:line="240" w:lineRule="auto"/>
                    <w:jc w:val="center"/>
                    <w:rPr>
                      <w:rFonts w:ascii="Calibri" w:hAnsi="Calibri" w:cs="Calibri"/>
                      <w:b/>
                      <w:bCs/>
                      <w:sz w:val="12"/>
                      <w:szCs w:val="12"/>
                    </w:rPr>
                  </w:pPr>
                  <w:r w:rsidRPr="00481831">
                    <w:rPr>
                      <w:rFonts w:ascii="Calibri" w:hAnsi="Calibri" w:cs="Calibri"/>
                      <w:b/>
                      <w:bCs/>
                      <w:sz w:val="12"/>
                      <w:szCs w:val="12"/>
                    </w:rPr>
                    <w:t>Z</w:t>
                  </w:r>
                </w:p>
              </w:tc>
              <w:tc>
                <w:tcPr>
                  <w:tcW w:w="2752" w:type="dxa"/>
                  <w:gridSpan w:val="3"/>
                  <w:vMerge w:val="restart"/>
                  <w:shd w:val="clear" w:color="auto" w:fill="F7CAAC" w:themeFill="accent2" w:themeFillTint="66"/>
                  <w:vAlign w:val="center"/>
                </w:tcPr>
                <w:p w14:paraId="3105210C" w14:textId="0FCCBAF3" w:rsidR="00C93B4E" w:rsidRPr="00481831" w:rsidRDefault="00C93B4E" w:rsidP="00C93B4E">
                  <w:pPr>
                    <w:spacing w:after="0" w:line="240" w:lineRule="auto"/>
                    <w:jc w:val="center"/>
                    <w:rPr>
                      <w:rFonts w:ascii="Calibri" w:hAnsi="Calibri" w:cs="Calibri"/>
                      <w:b/>
                      <w:bCs/>
                      <w:sz w:val="12"/>
                      <w:szCs w:val="12"/>
                    </w:rPr>
                  </w:pPr>
                  <w:r>
                    <w:rPr>
                      <w:rFonts w:ascii="Calibri" w:hAnsi="Calibri" w:cs="Calibri"/>
                      <w:b/>
                      <w:bCs/>
                      <w:sz w:val="12"/>
                      <w:szCs w:val="12"/>
                    </w:rPr>
                    <w:t>Y</w:t>
                  </w:r>
                </w:p>
              </w:tc>
              <w:tc>
                <w:tcPr>
                  <w:tcW w:w="567" w:type="dxa"/>
                  <w:vMerge w:val="restart"/>
                  <w:shd w:val="clear" w:color="auto" w:fill="C5E0B3" w:themeFill="accent6" w:themeFillTint="66"/>
                  <w:vAlign w:val="center"/>
                </w:tcPr>
                <w:p w14:paraId="2CD18E12" w14:textId="77777777" w:rsidR="00C93B4E" w:rsidRPr="00481831" w:rsidRDefault="00C93B4E" w:rsidP="00C93B4E">
                  <w:pPr>
                    <w:spacing w:after="0" w:line="240" w:lineRule="auto"/>
                    <w:jc w:val="center"/>
                    <w:rPr>
                      <w:rFonts w:ascii="Calibri" w:hAnsi="Calibri" w:cs="Calibri"/>
                      <w:b/>
                      <w:bCs/>
                      <w:sz w:val="12"/>
                      <w:szCs w:val="12"/>
                    </w:rPr>
                  </w:pPr>
                  <w:r>
                    <w:rPr>
                      <w:rFonts w:ascii="Calibri" w:hAnsi="Calibri" w:cs="Calibri"/>
                      <w:b/>
                      <w:bCs/>
                      <w:sz w:val="12"/>
                      <w:szCs w:val="12"/>
                    </w:rPr>
                    <w:t>x</w:t>
                  </w:r>
                </w:p>
              </w:tc>
            </w:tr>
            <w:tr w:rsidR="00C93B4E" w:rsidRPr="00481831" w14:paraId="545BA8A4" w14:textId="77777777" w:rsidTr="00767BAE">
              <w:trPr>
                <w:trHeight w:val="253"/>
                <w:jc w:val="center"/>
              </w:trPr>
              <w:tc>
                <w:tcPr>
                  <w:tcW w:w="867" w:type="dxa"/>
                  <w:shd w:val="clear" w:color="auto" w:fill="FFFFFF" w:themeFill="background1"/>
                  <w:vAlign w:val="center"/>
                </w:tcPr>
                <w:p w14:paraId="1466B1C1" w14:textId="77777777" w:rsidR="00C93B4E" w:rsidRPr="00CB02BA" w:rsidRDefault="00C93B4E" w:rsidP="00C93B4E">
                  <w:pPr>
                    <w:spacing w:after="0" w:line="240" w:lineRule="auto"/>
                    <w:rPr>
                      <w:rFonts w:ascii="Calibri" w:hAnsi="Calibri" w:cs="Calibri"/>
                      <w:b/>
                      <w:bCs/>
                      <w:sz w:val="12"/>
                      <w:szCs w:val="12"/>
                    </w:rPr>
                  </w:pPr>
                  <m:oMathPara>
                    <m:oMath>
                      <m:r>
                        <m:rPr>
                          <m:sty m:val="bi"/>
                        </m:rPr>
                        <w:rPr>
                          <w:rFonts w:ascii="Cambria Math" w:hAnsi="Cambria Math" w:cs="Calibri"/>
                          <w:sz w:val="12"/>
                          <w:szCs w:val="12"/>
                        </w:rPr>
                        <m:t>⋮</m:t>
                      </m:r>
                    </m:oMath>
                  </m:oMathPara>
                </w:p>
              </w:tc>
              <w:tc>
                <w:tcPr>
                  <w:tcW w:w="328" w:type="dxa"/>
                  <w:shd w:val="clear" w:color="auto" w:fill="FFFFFF" w:themeFill="background1"/>
                  <w:vAlign w:val="center"/>
                </w:tcPr>
                <w:p w14:paraId="42BDEA7E"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tc>
              <w:tc>
                <w:tcPr>
                  <w:tcW w:w="2751" w:type="dxa"/>
                  <w:gridSpan w:val="3"/>
                  <w:vMerge/>
                  <w:shd w:val="clear" w:color="auto" w:fill="B4C6E7" w:themeFill="accent1" w:themeFillTint="66"/>
                  <w:vAlign w:val="center"/>
                </w:tcPr>
                <w:p w14:paraId="0AD9B227" w14:textId="77777777" w:rsidR="00C93B4E" w:rsidRPr="00481831" w:rsidRDefault="00C93B4E" w:rsidP="00C93B4E">
                  <w:pPr>
                    <w:spacing w:after="0" w:line="240" w:lineRule="auto"/>
                    <w:jc w:val="center"/>
                    <w:rPr>
                      <w:rFonts w:ascii="Calibri" w:hAnsi="Calibri" w:cs="Calibri"/>
                      <w:sz w:val="12"/>
                      <w:szCs w:val="12"/>
                    </w:rPr>
                  </w:pPr>
                </w:p>
              </w:tc>
              <w:tc>
                <w:tcPr>
                  <w:tcW w:w="2752" w:type="dxa"/>
                  <w:gridSpan w:val="3"/>
                  <w:vMerge/>
                  <w:shd w:val="clear" w:color="auto" w:fill="F7CAAC" w:themeFill="accent2" w:themeFillTint="66"/>
                  <w:vAlign w:val="center"/>
                </w:tcPr>
                <w:p w14:paraId="5C94357E" w14:textId="77777777" w:rsidR="00C93B4E" w:rsidRPr="00481831" w:rsidRDefault="00C93B4E" w:rsidP="00C93B4E">
                  <w:pPr>
                    <w:spacing w:after="0" w:line="240" w:lineRule="auto"/>
                    <w:jc w:val="center"/>
                    <w:rPr>
                      <w:rFonts w:ascii="Calibri" w:hAnsi="Calibri" w:cs="Calibri"/>
                      <w:sz w:val="12"/>
                      <w:szCs w:val="12"/>
                    </w:rPr>
                  </w:pPr>
                </w:p>
              </w:tc>
              <w:tc>
                <w:tcPr>
                  <w:tcW w:w="567" w:type="dxa"/>
                  <w:vMerge/>
                  <w:shd w:val="clear" w:color="auto" w:fill="C5E0B3" w:themeFill="accent6" w:themeFillTint="66"/>
                  <w:vAlign w:val="center"/>
                </w:tcPr>
                <w:p w14:paraId="3CD50CDF" w14:textId="77777777" w:rsidR="00C93B4E" w:rsidRPr="00481831" w:rsidRDefault="00C93B4E" w:rsidP="00C93B4E">
                  <w:pPr>
                    <w:spacing w:after="0" w:line="240" w:lineRule="auto"/>
                    <w:jc w:val="center"/>
                    <w:rPr>
                      <w:rFonts w:ascii="Calibri" w:hAnsi="Calibri" w:cs="Calibri"/>
                      <w:sz w:val="12"/>
                      <w:szCs w:val="12"/>
                    </w:rPr>
                  </w:pPr>
                </w:p>
              </w:tc>
            </w:tr>
            <w:tr w:rsidR="00C93B4E" w:rsidRPr="00481831" w14:paraId="02EA3881" w14:textId="77777777" w:rsidTr="00767BAE">
              <w:trPr>
                <w:trHeight w:val="563"/>
                <w:jc w:val="center"/>
              </w:trPr>
              <w:tc>
                <w:tcPr>
                  <w:tcW w:w="867" w:type="dxa"/>
                  <w:shd w:val="clear" w:color="auto" w:fill="FFFFFF" w:themeFill="background1"/>
                  <w:vAlign w:val="center"/>
                </w:tcPr>
                <w:p w14:paraId="5B618F6A" w14:textId="77777777" w:rsidR="00C93B4E" w:rsidRPr="00CB02BA" w:rsidRDefault="00C93B4E" w:rsidP="00C93B4E">
                  <w:pPr>
                    <w:spacing w:after="0" w:line="240" w:lineRule="auto"/>
                    <w:rPr>
                      <w:rFonts w:ascii="Calibri" w:hAnsi="Calibri" w:cs="Calibri"/>
                      <w:b/>
                      <w:bCs/>
                      <w:sz w:val="12"/>
                      <w:szCs w:val="12"/>
                    </w:rPr>
                  </w:pPr>
                  <w:r w:rsidRPr="00CB02BA">
                    <w:rPr>
                      <w:rFonts w:ascii="Calibri" w:hAnsi="Calibri" w:cs="Calibri"/>
                      <w:b/>
                      <w:bCs/>
                      <w:sz w:val="12"/>
                      <w:szCs w:val="12"/>
                    </w:rPr>
                    <w:t>Rest of the world</w:t>
                  </w:r>
                </w:p>
              </w:tc>
              <w:tc>
                <w:tcPr>
                  <w:tcW w:w="328" w:type="dxa"/>
                  <w:shd w:val="clear" w:color="auto" w:fill="FFFFFF" w:themeFill="background1"/>
                  <w:vAlign w:val="center"/>
                </w:tcPr>
                <w:p w14:paraId="48C7CEAB"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c1</w:t>
                  </w:r>
                </w:p>
                <w:p w14:paraId="345044F2"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p w14:paraId="0671D50E" w14:textId="0259F094"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c</w:t>
                  </w:r>
                  <w:r w:rsidR="00CF2D35">
                    <w:rPr>
                      <w:rFonts w:ascii="Calibri" w:hAnsi="Calibri" w:cs="Calibri"/>
                      <w:sz w:val="12"/>
                      <w:szCs w:val="12"/>
                    </w:rPr>
                    <w:t>3</w:t>
                  </w:r>
                  <w:r w:rsidRPr="00481831">
                    <w:rPr>
                      <w:rFonts w:ascii="Calibri" w:hAnsi="Calibri" w:cs="Calibri"/>
                      <w:sz w:val="12"/>
                      <w:szCs w:val="12"/>
                    </w:rPr>
                    <w:t>5</w:t>
                  </w:r>
                </w:p>
              </w:tc>
              <w:tc>
                <w:tcPr>
                  <w:tcW w:w="2751" w:type="dxa"/>
                  <w:gridSpan w:val="3"/>
                  <w:vMerge/>
                  <w:shd w:val="clear" w:color="auto" w:fill="B4C6E7" w:themeFill="accent1" w:themeFillTint="66"/>
                  <w:vAlign w:val="center"/>
                </w:tcPr>
                <w:p w14:paraId="58072518" w14:textId="77777777" w:rsidR="00C93B4E" w:rsidRPr="00481831" w:rsidRDefault="00C93B4E" w:rsidP="00C93B4E">
                  <w:pPr>
                    <w:spacing w:after="0" w:line="240" w:lineRule="auto"/>
                    <w:jc w:val="center"/>
                    <w:rPr>
                      <w:rFonts w:ascii="Calibri" w:hAnsi="Calibri" w:cs="Calibri"/>
                      <w:sz w:val="12"/>
                      <w:szCs w:val="12"/>
                    </w:rPr>
                  </w:pPr>
                </w:p>
              </w:tc>
              <w:tc>
                <w:tcPr>
                  <w:tcW w:w="2752" w:type="dxa"/>
                  <w:gridSpan w:val="3"/>
                  <w:vMerge/>
                  <w:tcBorders>
                    <w:bottom w:val="single" w:sz="4" w:space="0" w:color="auto"/>
                  </w:tcBorders>
                  <w:shd w:val="clear" w:color="auto" w:fill="F7CAAC" w:themeFill="accent2" w:themeFillTint="66"/>
                  <w:vAlign w:val="center"/>
                </w:tcPr>
                <w:p w14:paraId="2526ED9A" w14:textId="77777777" w:rsidR="00C93B4E" w:rsidRPr="00481831" w:rsidRDefault="00C93B4E" w:rsidP="00C93B4E">
                  <w:pPr>
                    <w:spacing w:after="0" w:line="240" w:lineRule="auto"/>
                    <w:jc w:val="center"/>
                    <w:rPr>
                      <w:rFonts w:ascii="Calibri" w:hAnsi="Calibri" w:cs="Calibri"/>
                      <w:sz w:val="12"/>
                      <w:szCs w:val="12"/>
                    </w:rPr>
                  </w:pPr>
                </w:p>
              </w:tc>
              <w:tc>
                <w:tcPr>
                  <w:tcW w:w="567" w:type="dxa"/>
                  <w:vMerge/>
                  <w:tcBorders>
                    <w:bottom w:val="single" w:sz="4" w:space="0" w:color="auto"/>
                  </w:tcBorders>
                  <w:shd w:val="clear" w:color="auto" w:fill="C5E0B3" w:themeFill="accent6" w:themeFillTint="66"/>
                  <w:vAlign w:val="center"/>
                </w:tcPr>
                <w:p w14:paraId="6175E54A" w14:textId="77777777" w:rsidR="00C93B4E" w:rsidRPr="00481831" w:rsidRDefault="00C93B4E" w:rsidP="00C93B4E">
                  <w:pPr>
                    <w:spacing w:after="0" w:line="240" w:lineRule="auto"/>
                    <w:jc w:val="center"/>
                    <w:rPr>
                      <w:rFonts w:ascii="Calibri" w:hAnsi="Calibri" w:cs="Calibri"/>
                      <w:sz w:val="12"/>
                      <w:szCs w:val="12"/>
                    </w:rPr>
                  </w:pPr>
                </w:p>
              </w:tc>
            </w:tr>
            <w:tr w:rsidR="00C93B4E" w:rsidRPr="00481831" w14:paraId="6A8CBE7D" w14:textId="77777777" w:rsidTr="00767BAE">
              <w:trPr>
                <w:trHeight w:val="283"/>
                <w:jc w:val="center"/>
              </w:trPr>
              <w:tc>
                <w:tcPr>
                  <w:tcW w:w="1195" w:type="dxa"/>
                  <w:gridSpan w:val="2"/>
                  <w:shd w:val="clear" w:color="auto" w:fill="FFFFFF" w:themeFill="background1"/>
                  <w:vAlign w:val="center"/>
                </w:tcPr>
                <w:p w14:paraId="6E866090" w14:textId="77777777" w:rsidR="00C93B4E" w:rsidRPr="00CB02BA" w:rsidRDefault="00C93B4E" w:rsidP="00C93B4E">
                  <w:pPr>
                    <w:spacing w:after="0" w:line="240" w:lineRule="auto"/>
                    <w:rPr>
                      <w:rFonts w:ascii="Calibri" w:hAnsi="Calibri" w:cs="Calibri"/>
                      <w:b/>
                      <w:bCs/>
                      <w:sz w:val="12"/>
                      <w:szCs w:val="12"/>
                    </w:rPr>
                  </w:pPr>
                  <w:r>
                    <w:rPr>
                      <w:rFonts w:ascii="Calibri" w:hAnsi="Calibri" w:cs="Calibri"/>
                      <w:b/>
                      <w:bCs/>
                      <w:sz w:val="12"/>
                      <w:szCs w:val="12"/>
                    </w:rPr>
                    <w:t>V</w:t>
                  </w:r>
                  <w:r w:rsidRPr="00CB02BA">
                    <w:rPr>
                      <w:rFonts w:ascii="Calibri" w:hAnsi="Calibri" w:cs="Calibri"/>
                      <w:b/>
                      <w:bCs/>
                      <w:sz w:val="12"/>
                      <w:szCs w:val="12"/>
                    </w:rPr>
                    <w:t>alue added</w:t>
                  </w:r>
                </w:p>
              </w:tc>
              <w:tc>
                <w:tcPr>
                  <w:tcW w:w="2751" w:type="dxa"/>
                  <w:gridSpan w:val="3"/>
                  <w:tcBorders>
                    <w:right w:val="single" w:sz="4" w:space="0" w:color="auto"/>
                  </w:tcBorders>
                  <w:shd w:val="clear" w:color="auto" w:fill="FFD966" w:themeFill="accent4" w:themeFillTint="99"/>
                  <w:vAlign w:val="center"/>
                </w:tcPr>
                <w:p w14:paraId="34335AE5" w14:textId="3C2CAF87" w:rsidR="00C93B4E" w:rsidRPr="00481831" w:rsidRDefault="00C93B4E" w:rsidP="00C93B4E">
                  <w:pPr>
                    <w:spacing w:after="0" w:line="240" w:lineRule="auto"/>
                    <w:jc w:val="center"/>
                    <w:rPr>
                      <w:rFonts w:ascii="Calibri" w:hAnsi="Calibri" w:cs="Calibri"/>
                      <w:b/>
                      <w:bCs/>
                      <w:sz w:val="12"/>
                      <w:szCs w:val="12"/>
                    </w:rPr>
                  </w:pPr>
                  <w:proofErr w:type="spellStart"/>
                  <w:r>
                    <w:rPr>
                      <w:rFonts w:ascii="Calibri" w:hAnsi="Calibri" w:cs="Calibri"/>
                      <w:b/>
                      <w:bCs/>
                      <w:sz w:val="12"/>
                      <w:szCs w:val="12"/>
                    </w:rPr>
                    <w:t>v</w:t>
                  </w:r>
                  <w:r w:rsidRPr="00481831">
                    <w:rPr>
                      <w:rFonts w:ascii="Calibri" w:hAnsi="Calibri" w:cs="Calibri"/>
                      <w:b/>
                      <w:bCs/>
                      <w:sz w:val="12"/>
                      <w:szCs w:val="12"/>
                    </w:rPr>
                    <w:t>a</w:t>
                  </w:r>
                  <w:proofErr w:type="spellEnd"/>
                </w:p>
              </w:tc>
              <w:tc>
                <w:tcPr>
                  <w:tcW w:w="1051" w:type="dxa"/>
                  <w:tcBorders>
                    <w:top w:val="single" w:sz="4" w:space="0" w:color="auto"/>
                    <w:left w:val="single" w:sz="4" w:space="0" w:color="auto"/>
                    <w:bottom w:val="nil"/>
                    <w:right w:val="nil"/>
                  </w:tcBorders>
                  <w:vAlign w:val="center"/>
                </w:tcPr>
                <w:p w14:paraId="3132C0DC" w14:textId="77777777" w:rsidR="00C93B4E" w:rsidRPr="00481831" w:rsidRDefault="00C93B4E" w:rsidP="00C93B4E">
                  <w:pPr>
                    <w:spacing w:after="0" w:line="240" w:lineRule="auto"/>
                    <w:jc w:val="center"/>
                    <w:rPr>
                      <w:rFonts w:ascii="Calibri" w:hAnsi="Calibri" w:cs="Calibri"/>
                      <w:sz w:val="12"/>
                      <w:szCs w:val="12"/>
                    </w:rPr>
                  </w:pPr>
                </w:p>
              </w:tc>
              <w:tc>
                <w:tcPr>
                  <w:tcW w:w="567" w:type="dxa"/>
                  <w:tcBorders>
                    <w:top w:val="single" w:sz="4" w:space="0" w:color="auto"/>
                    <w:left w:val="nil"/>
                    <w:bottom w:val="nil"/>
                    <w:right w:val="nil"/>
                  </w:tcBorders>
                  <w:vAlign w:val="center"/>
                </w:tcPr>
                <w:p w14:paraId="031D7E35" w14:textId="77777777" w:rsidR="00C93B4E" w:rsidRPr="00481831" w:rsidRDefault="00C93B4E" w:rsidP="00C93B4E">
                  <w:pPr>
                    <w:spacing w:after="0" w:line="240" w:lineRule="auto"/>
                    <w:jc w:val="center"/>
                    <w:rPr>
                      <w:rFonts w:ascii="Calibri" w:hAnsi="Calibri" w:cs="Calibri"/>
                      <w:sz w:val="12"/>
                      <w:szCs w:val="12"/>
                    </w:rPr>
                  </w:pPr>
                </w:p>
              </w:tc>
              <w:tc>
                <w:tcPr>
                  <w:tcW w:w="1134" w:type="dxa"/>
                  <w:tcBorders>
                    <w:top w:val="single" w:sz="4" w:space="0" w:color="auto"/>
                    <w:left w:val="nil"/>
                    <w:bottom w:val="nil"/>
                    <w:right w:val="nil"/>
                  </w:tcBorders>
                  <w:vAlign w:val="center"/>
                </w:tcPr>
                <w:p w14:paraId="1D7F7945" w14:textId="77777777" w:rsidR="00C93B4E" w:rsidRPr="00481831" w:rsidRDefault="00C93B4E" w:rsidP="00C93B4E">
                  <w:pPr>
                    <w:spacing w:after="0" w:line="240" w:lineRule="auto"/>
                    <w:jc w:val="center"/>
                    <w:rPr>
                      <w:rFonts w:ascii="Calibri" w:hAnsi="Calibri" w:cs="Calibri"/>
                      <w:sz w:val="12"/>
                      <w:szCs w:val="12"/>
                    </w:rPr>
                  </w:pPr>
                </w:p>
              </w:tc>
              <w:tc>
                <w:tcPr>
                  <w:tcW w:w="567" w:type="dxa"/>
                  <w:tcBorders>
                    <w:top w:val="single" w:sz="4" w:space="0" w:color="auto"/>
                    <w:left w:val="nil"/>
                    <w:bottom w:val="nil"/>
                    <w:right w:val="nil"/>
                  </w:tcBorders>
                  <w:vAlign w:val="center"/>
                </w:tcPr>
                <w:p w14:paraId="3E5C0085" w14:textId="77777777" w:rsidR="00C93B4E" w:rsidRPr="00481831" w:rsidRDefault="00C93B4E" w:rsidP="00C93B4E">
                  <w:pPr>
                    <w:spacing w:after="0" w:line="240" w:lineRule="auto"/>
                    <w:jc w:val="center"/>
                    <w:rPr>
                      <w:rFonts w:ascii="Calibri" w:hAnsi="Calibri" w:cs="Calibri"/>
                      <w:sz w:val="12"/>
                      <w:szCs w:val="12"/>
                    </w:rPr>
                  </w:pPr>
                </w:p>
              </w:tc>
            </w:tr>
            <w:tr w:rsidR="00C93B4E" w:rsidRPr="00481831" w14:paraId="35A71DCF" w14:textId="77777777" w:rsidTr="00767BAE">
              <w:trPr>
                <w:trHeight w:val="259"/>
                <w:jc w:val="center"/>
              </w:trPr>
              <w:tc>
                <w:tcPr>
                  <w:tcW w:w="1195" w:type="dxa"/>
                  <w:gridSpan w:val="2"/>
                  <w:shd w:val="clear" w:color="auto" w:fill="FFFFFF" w:themeFill="background1"/>
                  <w:vAlign w:val="center"/>
                </w:tcPr>
                <w:p w14:paraId="3474A8E3" w14:textId="77777777" w:rsidR="00C93B4E" w:rsidRPr="00CB02BA" w:rsidRDefault="00C93B4E" w:rsidP="00C93B4E">
                  <w:pPr>
                    <w:spacing w:after="0" w:line="240" w:lineRule="auto"/>
                    <w:rPr>
                      <w:rFonts w:ascii="Calibri" w:hAnsi="Calibri" w:cs="Calibri"/>
                      <w:b/>
                      <w:bCs/>
                      <w:sz w:val="12"/>
                      <w:szCs w:val="12"/>
                    </w:rPr>
                  </w:pPr>
                  <w:r w:rsidRPr="00CB02BA">
                    <w:rPr>
                      <w:rFonts w:ascii="Calibri" w:hAnsi="Calibri" w:cs="Calibri"/>
                      <w:b/>
                      <w:bCs/>
                      <w:sz w:val="12"/>
                      <w:szCs w:val="12"/>
                    </w:rPr>
                    <w:t>Total output</w:t>
                  </w:r>
                </w:p>
              </w:tc>
              <w:tc>
                <w:tcPr>
                  <w:tcW w:w="2751" w:type="dxa"/>
                  <w:gridSpan w:val="3"/>
                  <w:tcBorders>
                    <w:right w:val="single" w:sz="4" w:space="0" w:color="auto"/>
                  </w:tcBorders>
                  <w:shd w:val="clear" w:color="auto" w:fill="C5E0B3" w:themeFill="accent6" w:themeFillTint="66"/>
                  <w:vAlign w:val="center"/>
                </w:tcPr>
                <w:p w14:paraId="7A7FE062" w14:textId="1956B12D" w:rsidR="00C93B4E" w:rsidRPr="00481831" w:rsidRDefault="00C93B4E" w:rsidP="00C93B4E">
                  <w:pPr>
                    <w:spacing w:after="0" w:line="240" w:lineRule="auto"/>
                    <w:jc w:val="center"/>
                    <w:rPr>
                      <w:rFonts w:ascii="Calibri" w:hAnsi="Calibri" w:cs="Calibri"/>
                      <w:b/>
                      <w:bCs/>
                      <w:sz w:val="12"/>
                      <w:szCs w:val="12"/>
                    </w:rPr>
                  </w:pPr>
                  <w:r>
                    <w:rPr>
                      <w:rFonts w:ascii="Calibri" w:hAnsi="Calibri" w:cs="Calibri"/>
                      <w:b/>
                      <w:bCs/>
                      <w:sz w:val="12"/>
                      <w:szCs w:val="12"/>
                    </w:rPr>
                    <w:t>x</w:t>
                  </w:r>
                </w:p>
              </w:tc>
              <w:tc>
                <w:tcPr>
                  <w:tcW w:w="1051" w:type="dxa"/>
                  <w:tcBorders>
                    <w:top w:val="nil"/>
                    <w:left w:val="single" w:sz="4" w:space="0" w:color="auto"/>
                    <w:bottom w:val="single" w:sz="4" w:space="0" w:color="FFF2CC" w:themeColor="accent4" w:themeTint="33"/>
                    <w:right w:val="nil"/>
                  </w:tcBorders>
                  <w:vAlign w:val="center"/>
                </w:tcPr>
                <w:p w14:paraId="16CFFA3A" w14:textId="77777777" w:rsidR="00C93B4E" w:rsidRPr="00481831" w:rsidRDefault="00C93B4E" w:rsidP="00C93B4E">
                  <w:pPr>
                    <w:spacing w:after="0" w:line="240" w:lineRule="auto"/>
                    <w:jc w:val="center"/>
                    <w:rPr>
                      <w:rFonts w:ascii="Calibri" w:hAnsi="Calibri" w:cs="Calibri"/>
                      <w:sz w:val="12"/>
                      <w:szCs w:val="12"/>
                    </w:rPr>
                  </w:pPr>
                </w:p>
              </w:tc>
              <w:tc>
                <w:tcPr>
                  <w:tcW w:w="567" w:type="dxa"/>
                  <w:tcBorders>
                    <w:top w:val="nil"/>
                    <w:left w:val="nil"/>
                    <w:bottom w:val="single" w:sz="4" w:space="0" w:color="FFF2CC" w:themeColor="accent4" w:themeTint="33"/>
                    <w:right w:val="nil"/>
                  </w:tcBorders>
                  <w:vAlign w:val="center"/>
                </w:tcPr>
                <w:p w14:paraId="43BF48D4" w14:textId="77777777" w:rsidR="00C93B4E" w:rsidRPr="00481831" w:rsidRDefault="00C93B4E" w:rsidP="00C93B4E">
                  <w:pPr>
                    <w:spacing w:after="0" w:line="240" w:lineRule="auto"/>
                    <w:jc w:val="center"/>
                    <w:rPr>
                      <w:rFonts w:ascii="Calibri" w:hAnsi="Calibri" w:cs="Calibri"/>
                      <w:sz w:val="12"/>
                      <w:szCs w:val="12"/>
                    </w:rPr>
                  </w:pPr>
                </w:p>
              </w:tc>
              <w:tc>
                <w:tcPr>
                  <w:tcW w:w="1134" w:type="dxa"/>
                  <w:tcBorders>
                    <w:top w:val="nil"/>
                    <w:left w:val="nil"/>
                    <w:bottom w:val="single" w:sz="4" w:space="0" w:color="FFF2CC" w:themeColor="accent4" w:themeTint="33"/>
                    <w:right w:val="nil"/>
                  </w:tcBorders>
                  <w:vAlign w:val="center"/>
                </w:tcPr>
                <w:p w14:paraId="1C59CAFA" w14:textId="77777777" w:rsidR="00C93B4E" w:rsidRPr="00481831" w:rsidRDefault="00C93B4E" w:rsidP="00C93B4E">
                  <w:pPr>
                    <w:spacing w:after="0" w:line="240" w:lineRule="auto"/>
                    <w:jc w:val="center"/>
                    <w:rPr>
                      <w:rFonts w:ascii="Calibri" w:hAnsi="Calibri" w:cs="Calibri"/>
                      <w:sz w:val="12"/>
                      <w:szCs w:val="12"/>
                    </w:rPr>
                  </w:pPr>
                </w:p>
              </w:tc>
              <w:tc>
                <w:tcPr>
                  <w:tcW w:w="567" w:type="dxa"/>
                  <w:tcBorders>
                    <w:top w:val="nil"/>
                    <w:left w:val="nil"/>
                    <w:bottom w:val="single" w:sz="4" w:space="0" w:color="FFF2CC" w:themeColor="accent4" w:themeTint="33"/>
                    <w:right w:val="nil"/>
                  </w:tcBorders>
                  <w:vAlign w:val="center"/>
                </w:tcPr>
                <w:p w14:paraId="3BCCAA1E" w14:textId="77777777" w:rsidR="00C93B4E" w:rsidRPr="00481831" w:rsidRDefault="00C93B4E" w:rsidP="00C93B4E">
                  <w:pPr>
                    <w:spacing w:after="0" w:line="240" w:lineRule="auto"/>
                    <w:jc w:val="center"/>
                    <w:rPr>
                      <w:rFonts w:ascii="Calibri" w:hAnsi="Calibri" w:cs="Calibri"/>
                      <w:sz w:val="12"/>
                      <w:szCs w:val="12"/>
                    </w:rPr>
                  </w:pPr>
                </w:p>
              </w:tc>
            </w:tr>
          </w:tbl>
          <w:p w14:paraId="74ABF724" w14:textId="77777777" w:rsidR="00767BAE" w:rsidRDefault="00767BAE" w:rsidP="00767BAE">
            <w:pPr>
              <w:pStyle w:val="NotesAbbreviations"/>
            </w:pPr>
          </w:p>
          <w:p w14:paraId="434B8695" w14:textId="34783780" w:rsidR="00DC0383" w:rsidRDefault="00C93B4E" w:rsidP="002F6BD3">
            <w:pPr>
              <w:pStyle w:val="NotesBottom"/>
            </w:pPr>
            <w:r>
              <w:t>Source:</w:t>
            </w:r>
            <w:r>
              <w:tab/>
              <w:t>Asian Development Bank. Multiregional Input–Output Database.</w:t>
            </w:r>
          </w:p>
          <w:p w14:paraId="63DF3638" w14:textId="1997E21A" w:rsidR="00DC0383" w:rsidRPr="00DC0383" w:rsidRDefault="00DC0383" w:rsidP="00DC0383">
            <w:pPr>
              <w:pStyle w:val="Box"/>
              <w:rPr>
                <w:b/>
                <w:bCs/>
              </w:rPr>
            </w:pPr>
            <w:r w:rsidRPr="00DC0383">
              <w:rPr>
                <w:b/>
                <w:bCs/>
              </w:rPr>
              <w:t>References</w:t>
            </w:r>
          </w:p>
          <w:p w14:paraId="674D9854" w14:textId="32B500C3" w:rsidR="00806E9A" w:rsidRDefault="00806E9A" w:rsidP="00806E9A">
            <w:pPr>
              <w:pStyle w:val="BoxReferences"/>
            </w:pPr>
            <w:r>
              <w:t xml:space="preserve">European Commission. 2008. </w:t>
            </w:r>
            <w:r w:rsidRPr="00806E9A">
              <w:rPr>
                <w:i/>
                <w:iCs/>
              </w:rPr>
              <w:t>Eurostat Manual of Supply, Use and Input-Output Tables</w:t>
            </w:r>
            <w:r>
              <w:t>. Luxembourg: European Commission. Retrieved from https://ec.europa.eu/eurostat/web/products-manuals-and-guidelines/-/KS-RA-07-013.</w:t>
            </w:r>
          </w:p>
          <w:p w14:paraId="4649C327" w14:textId="64CB5375" w:rsidR="00DC0383" w:rsidRPr="00DC0383" w:rsidRDefault="00DC0383" w:rsidP="00DC0383">
            <w:pPr>
              <w:pStyle w:val="BoxReferences"/>
            </w:pPr>
            <w:r w:rsidRPr="00DC0383">
              <w:t xml:space="preserve">M. P. Timmer, E. </w:t>
            </w:r>
            <w:proofErr w:type="spellStart"/>
            <w:r w:rsidRPr="00DC0383">
              <w:t>Dietzenbacher</w:t>
            </w:r>
            <w:proofErr w:type="spellEnd"/>
            <w:r w:rsidRPr="00DC0383">
              <w:t xml:space="preserve">, B. Los, R. </w:t>
            </w:r>
            <w:proofErr w:type="spellStart"/>
            <w:r w:rsidRPr="00DC0383">
              <w:t>Stehrer</w:t>
            </w:r>
            <w:proofErr w:type="spellEnd"/>
            <w:r w:rsidRPr="00DC0383">
              <w:t xml:space="preserve">, and G. J. de Vries. 2015. An Illustrated User Guide to the World Input-Output Database: The Case of Global Automotive Production. </w:t>
            </w:r>
            <w:r w:rsidRPr="00C4761F">
              <w:rPr>
                <w:i/>
                <w:iCs/>
              </w:rPr>
              <w:t>Review of International Economics</w:t>
            </w:r>
            <w:r w:rsidR="00C4761F" w:rsidRPr="00C4761F">
              <w:t>.</w:t>
            </w:r>
            <w:r w:rsidRPr="00DC0383">
              <w:t xml:space="preserve"> 23(3)</w:t>
            </w:r>
            <w:r w:rsidR="00C4761F">
              <w:t>.</w:t>
            </w:r>
            <w:r w:rsidRPr="00DC0383">
              <w:t xml:space="preserve"> pp. 575–605.</w:t>
            </w:r>
          </w:p>
        </w:tc>
      </w:tr>
    </w:tbl>
    <w:p w14:paraId="3D8DC105" w14:textId="77777777" w:rsidR="00FD1BD1" w:rsidRDefault="00FD1BD1" w:rsidP="00DA0175"/>
    <w:p w14:paraId="60B5E00D" w14:textId="77777777" w:rsidR="00C30027" w:rsidRDefault="00C30027" w:rsidP="00C30027">
      <w:r>
        <w:t xml:space="preserve">Kazakhstan is a vast, land-locked country that sits at the heart of the Eurasian landmass. Migrants, traders, armies, and pastoral nomads have crossed its steppes for centuries. Historians date the emergence of a distinct Kazakh identity in the 16th century, when tribes sharing a common culture formed a loose federation known as the Kazakh Khanate. It fell under increasing Russian influence in the 18th century, culminating in its incorporation into the Union of Soviet Socialist Republics in the 20th century. Upon the dissolution of that body in 1991, the modern state of Kazakhstan was born (Pavlović 2003). </w:t>
      </w:r>
    </w:p>
    <w:p w14:paraId="3C614B6F" w14:textId="77777777" w:rsidR="00C30027" w:rsidRDefault="00C30027" w:rsidP="00C30027">
      <w:r>
        <w:t>Following independence, the exploitation of Kazakhstan's sizable oil reserves led to rapid growth, particularly during the 2000s boom in oil prices. It transitioned from lower-middle to upper-middle income status by 2006 according to the World Bank.</w:t>
      </w:r>
      <w:r>
        <w:rPr>
          <w:rStyle w:val="FootnoteReference"/>
        </w:rPr>
        <w:footnoteReference w:id="2"/>
      </w:r>
      <w:r>
        <w:t xml:space="preserve"> It has the highest Human Development Index among the states of the former Soviet Union.</w:t>
      </w:r>
      <w:r>
        <w:rPr>
          <w:rStyle w:val="FootnoteReference"/>
        </w:rPr>
        <w:footnoteReference w:id="3"/>
      </w:r>
      <w:r>
        <w:t xml:space="preserve"> However, overdependence on an extractive resource sector naturally poses risks, making </w:t>
      </w:r>
      <w:r>
        <w:lastRenderedPageBreak/>
        <w:t>diversification crucial to Kazakhstan's long-term economic health (</w:t>
      </w:r>
      <w:proofErr w:type="spellStart"/>
      <w:r>
        <w:t>Azretbergenova</w:t>
      </w:r>
      <w:proofErr w:type="spellEnd"/>
      <w:r>
        <w:t xml:space="preserve"> and </w:t>
      </w:r>
      <w:proofErr w:type="spellStart"/>
      <w:r>
        <w:t>Syzdykova</w:t>
      </w:r>
      <w:proofErr w:type="spellEnd"/>
      <w:r>
        <w:t xml:space="preserve"> 2020).</w:t>
      </w:r>
    </w:p>
    <w:p w14:paraId="18BAF79B" w14:textId="47EFE100" w:rsidR="00C2222F" w:rsidRDefault="00C30027" w:rsidP="00C30027">
      <w:r>
        <w:t>The next chapter</w:t>
      </w:r>
      <w:r w:rsidRPr="00935841">
        <w:t xml:space="preserve"> </w:t>
      </w:r>
      <w:r>
        <w:t xml:space="preserve">examines Kazakhstan's economy </w:t>
      </w:r>
      <w:r w:rsidRPr="00BA241E">
        <w:t xml:space="preserve">and trade in more detail. Chapter 3 introduces an array of indicators obtained from the literature that characterizes </w:t>
      </w:r>
      <w:r w:rsidR="00EB6F89" w:rsidRPr="00BA241E">
        <w:t>Kazakhstan's</w:t>
      </w:r>
      <w:r w:rsidRPr="00BA241E">
        <w:t xml:space="preserve"> place in international production sharing. Chapter 4 draws further insights into its specialization and competitiveness by refining two classic trade indicators to account for GVCs. A number of special topics are discussed in chapter 5, including its membership in the </w:t>
      </w:r>
      <w:r w:rsidR="00EB6F89" w:rsidRPr="00BA241E">
        <w:t>Eurasian Economic Union and whether or not its GVC participation was significantly altered by the global inflationary episode seen in 2022</w:t>
      </w:r>
      <w:r w:rsidRPr="00BA241E">
        <w:t>. Chapter 6 concludes with recommendations for maximizing the benefits of GVCs and minimizing their risks.</w:t>
      </w:r>
      <w:r w:rsidR="00C2222F">
        <w:br w:type="page"/>
      </w:r>
    </w:p>
    <w:p w14:paraId="1412CD6E" w14:textId="6681B9F9" w:rsidR="00C2222F" w:rsidRPr="00017EDF" w:rsidRDefault="00C2222F" w:rsidP="00C2222F">
      <w:pPr>
        <w:pStyle w:val="Heading1"/>
      </w:pPr>
      <w:bookmarkStart w:id="8" w:name="_Toc141647940"/>
      <w:r>
        <w:lastRenderedPageBreak/>
        <w:t>Overview</w:t>
      </w:r>
      <w:r w:rsidR="00E55159">
        <w:t xml:space="preserve"> of Economy and Trade</w:t>
      </w:r>
      <w:bookmarkEnd w:id="8"/>
    </w:p>
    <w:p w14:paraId="305FA7EA" w14:textId="02BDCA57" w:rsidR="00C2222F" w:rsidRDefault="00F96A74" w:rsidP="00C2222F">
      <w:r>
        <w:t xml:space="preserve">Kazakhstan is a country rich in extractive resources, namely oil, gas, and ores. The export of these, particularly that of crude oil, has been the defining characteristic of its economic development since attaining independence from the Soviet Union in 1991. This chapter documents how this has contributed to double-digit growth rates while at the same time putting the economy at risk of the resource curse. It shows that over the last two decades, crude oil and a handful of other minerals have dominated its exports—with few signs of change anytime soon. Major destinations of these extractive resources are Europe for crude oil, the Russian Federation for mineral ores, and the People's Republic of China (PRC) for both. The chapter ends by quantifying the degree of concentration in Kazakhstan's exports, finding that while progress has been made over the </w:t>
      </w:r>
      <w:r w:rsidR="004F317C">
        <w:t>last</w:t>
      </w:r>
      <w:r>
        <w:t xml:space="preserve"> decade, much still needs to be done. </w:t>
      </w:r>
      <w:r w:rsidR="004F317C">
        <w:t xml:space="preserve">The findings here set the stage for analyses in succeeding chapters, where input–output data and novel accounting methods are used to provide a deeper understanding of Kazakhstan's trade in the age of global value chains. </w:t>
      </w:r>
    </w:p>
    <w:p w14:paraId="2B56D3EE" w14:textId="64B97866" w:rsidR="00C30027" w:rsidRDefault="00C30027" w:rsidP="00C30027">
      <w:pPr>
        <w:rPr>
          <w:rFonts w:eastAsia="Calibri" w:cstheme="minorHAnsi"/>
          <w:color w:val="000000" w:themeColor="text1"/>
          <w:szCs w:val="22"/>
        </w:rPr>
      </w:pPr>
      <w:bookmarkStart w:id="9" w:name="_Ref77593630"/>
      <w:bookmarkStart w:id="10" w:name="_Ref81223415"/>
      <w:r>
        <w:rPr>
          <w:rFonts w:eastAsia="Calibri" w:cstheme="minorHAnsi"/>
          <w:color w:val="000000" w:themeColor="text1"/>
          <w:szCs w:val="22"/>
        </w:rPr>
        <w:t>Throughout the 1990s, Kazakhstan, along with the other states of the former Soviet Union, faced severe economic dislocation as they transitioned into independent, market-based economies. Hyperinflation struck the region after price controls were lifted in January 1992. Though Kazakhstan replaced the Russian ruble with its own currency, the tenge, in 1993, it was not until 1996 when monthly inflation fell below 50%. Some 1 million people, mostly ethnic Russians, would go on to emigrate (Pomfret 2019). Coal production, once a major industry, fell from 138 million tons in 1989 to 58 million tons in 1999.</w:t>
      </w:r>
      <w:r>
        <w:rPr>
          <w:rStyle w:val="FootnoteReference"/>
          <w:rFonts w:eastAsia="Calibri" w:cstheme="minorHAnsi"/>
          <w:color w:val="000000" w:themeColor="text1"/>
          <w:szCs w:val="22"/>
        </w:rPr>
        <w:footnoteReference w:id="4"/>
      </w:r>
      <w:r>
        <w:rPr>
          <w:rFonts w:eastAsia="Calibri" w:cstheme="minorHAnsi"/>
          <w:color w:val="000000" w:themeColor="text1"/>
          <w:szCs w:val="22"/>
        </w:rPr>
        <w:t xml:space="preserve"> In real terms, the economy in 1999 was just 63% of its size in 1990.</w:t>
      </w:r>
      <w:r>
        <w:rPr>
          <w:rStyle w:val="FootnoteReference"/>
          <w:rFonts w:eastAsia="Calibri" w:cstheme="minorHAnsi"/>
          <w:color w:val="000000" w:themeColor="text1"/>
          <w:szCs w:val="22"/>
        </w:rPr>
        <w:footnoteReference w:id="5"/>
      </w:r>
      <w:r>
        <w:rPr>
          <w:rFonts w:eastAsia="Calibri" w:cstheme="minorHAnsi"/>
          <w:color w:val="000000" w:themeColor="text1"/>
          <w:szCs w:val="22"/>
        </w:rPr>
        <w:t xml:space="preserve"> </w:t>
      </w:r>
    </w:p>
    <w:p w14:paraId="6987A51E" w14:textId="31F8DB44" w:rsidR="00C30027" w:rsidRDefault="00C30027" w:rsidP="00C30027">
      <w:pPr>
        <w:rPr>
          <w:rFonts w:eastAsia="Calibri" w:cstheme="minorHAnsi"/>
          <w:color w:val="000000" w:themeColor="text1"/>
          <w:szCs w:val="22"/>
        </w:rPr>
      </w:pPr>
      <w:r>
        <w:rPr>
          <w:rFonts w:eastAsia="Calibri" w:cstheme="minorHAnsi"/>
          <w:color w:val="000000" w:themeColor="text1"/>
          <w:szCs w:val="22"/>
        </w:rPr>
        <w:t>The economy eventually stabilized and then thrived by 1999, due mainly to a prolonged period of rising oil prices. This enticed foreign capital to invest in the exploitation of Kazakhstan's vast oil reserves, which at 30 billion barrels per day is among the world's largest.</w:t>
      </w:r>
      <w:r>
        <w:rPr>
          <w:rStyle w:val="FootnoteReference"/>
          <w:rFonts w:eastAsia="Calibri" w:cstheme="minorHAnsi"/>
          <w:color w:val="000000" w:themeColor="text1"/>
          <w:szCs w:val="22"/>
        </w:rPr>
        <w:footnoteReference w:id="6"/>
      </w:r>
      <w:r>
        <w:rPr>
          <w:rFonts w:eastAsia="Calibri" w:cstheme="minorHAnsi"/>
          <w:color w:val="000000" w:themeColor="text1"/>
          <w:szCs w:val="22"/>
        </w:rPr>
        <w:t xml:space="preserve"> For instance, t</w:t>
      </w:r>
      <w:r w:rsidRPr="003B049C">
        <w:rPr>
          <w:rFonts w:eastAsia="Calibri" w:cstheme="minorHAnsi"/>
          <w:color w:val="000000" w:themeColor="text1"/>
          <w:szCs w:val="22"/>
        </w:rPr>
        <w:t>he offshore Kashagan oil field,</w:t>
      </w:r>
      <w:r>
        <w:rPr>
          <w:rFonts w:eastAsia="Calibri" w:cstheme="minorHAnsi"/>
          <w:color w:val="000000" w:themeColor="text1"/>
          <w:szCs w:val="22"/>
        </w:rPr>
        <w:t xml:space="preserve"> discovered in 2000,</w:t>
      </w:r>
      <w:r w:rsidRPr="003B049C">
        <w:rPr>
          <w:rFonts w:eastAsia="Calibri" w:cstheme="minorHAnsi"/>
          <w:color w:val="000000" w:themeColor="text1"/>
          <w:szCs w:val="22"/>
        </w:rPr>
        <w:t xml:space="preserve"> was developed by a consortium of European, American, Chinese, and Japanese firms. </w:t>
      </w:r>
      <w:r>
        <w:rPr>
          <w:rFonts w:eastAsia="Calibri" w:cstheme="minorHAnsi"/>
          <w:color w:val="000000" w:themeColor="text1"/>
          <w:szCs w:val="22"/>
        </w:rPr>
        <w:t xml:space="preserve">New modes of transport were also constructed to complement the Russian state-owned </w:t>
      </w:r>
      <w:proofErr w:type="spellStart"/>
      <w:r>
        <w:rPr>
          <w:rFonts w:eastAsia="Calibri" w:cstheme="minorHAnsi"/>
          <w:color w:val="000000" w:themeColor="text1"/>
          <w:szCs w:val="22"/>
        </w:rPr>
        <w:t>Transneft</w:t>
      </w:r>
      <w:proofErr w:type="spellEnd"/>
      <w:r>
        <w:rPr>
          <w:rFonts w:eastAsia="Calibri" w:cstheme="minorHAnsi"/>
          <w:color w:val="000000" w:themeColor="text1"/>
          <w:szCs w:val="22"/>
        </w:rPr>
        <w:t xml:space="preserve"> pipeline, connecting Kazakhstan to broader markets (Pomfret 2019). Consequently, oil production rose steadily from 558,000 barrels per day in 1998 to a peak of 1.7 million barrels per day by </w:t>
      </w:r>
      <w:r>
        <w:rPr>
          <w:rFonts w:eastAsia="Calibri" w:cstheme="minorHAnsi"/>
          <w:color w:val="000000" w:themeColor="text1"/>
          <w:szCs w:val="22"/>
        </w:rPr>
        <w:lastRenderedPageBreak/>
        <w:t>2013.</w:t>
      </w:r>
      <w:r>
        <w:rPr>
          <w:rStyle w:val="FootnoteReference"/>
          <w:rFonts w:eastAsia="Calibri" w:cstheme="minorHAnsi"/>
          <w:color w:val="000000" w:themeColor="text1"/>
          <w:szCs w:val="22"/>
        </w:rPr>
        <w:footnoteReference w:id="7"/>
      </w:r>
      <w:r>
        <w:rPr>
          <w:rFonts w:eastAsia="Calibri" w:cstheme="minorHAnsi"/>
          <w:color w:val="000000" w:themeColor="text1"/>
          <w:szCs w:val="22"/>
        </w:rPr>
        <w:t xml:space="preserve"> At the height of the boom years in 2000–2007, average annual GDP growth was at 10% (see</w:t>
      </w:r>
      <w:r w:rsidR="0018539B">
        <w:rPr>
          <w:rFonts w:eastAsia="Calibri" w:cstheme="minorHAnsi"/>
          <w:color w:val="000000" w:themeColor="text1"/>
          <w:szCs w:val="22"/>
        </w:rPr>
        <w:t xml:space="preserve"> </w:t>
      </w:r>
      <w:r w:rsidR="0018539B">
        <w:rPr>
          <w:rFonts w:eastAsia="Calibri" w:cstheme="minorHAnsi"/>
          <w:color w:val="000000" w:themeColor="text1"/>
          <w:szCs w:val="22"/>
        </w:rPr>
        <w:fldChar w:fldCharType="begin"/>
      </w:r>
      <w:r w:rsidR="0018539B">
        <w:rPr>
          <w:rFonts w:eastAsia="Calibri" w:cstheme="minorHAnsi"/>
          <w:color w:val="000000" w:themeColor="text1"/>
          <w:szCs w:val="22"/>
        </w:rPr>
        <w:instrText xml:space="preserve"> REF _Ref140049265 \h </w:instrText>
      </w:r>
      <w:r w:rsidR="0018539B">
        <w:rPr>
          <w:rFonts w:eastAsia="Calibri" w:cstheme="minorHAnsi"/>
          <w:color w:val="000000" w:themeColor="text1"/>
          <w:szCs w:val="22"/>
        </w:rPr>
      </w:r>
      <w:r w:rsidR="0018539B">
        <w:rPr>
          <w:rFonts w:eastAsia="Calibri" w:cstheme="minorHAnsi"/>
          <w:color w:val="000000" w:themeColor="text1"/>
          <w:szCs w:val="22"/>
        </w:rPr>
        <w:fldChar w:fldCharType="separate"/>
      </w:r>
      <w:r w:rsidR="0018539B">
        <w:t xml:space="preserve">Figure </w:t>
      </w:r>
      <w:r w:rsidR="0018539B">
        <w:rPr>
          <w:noProof/>
        </w:rPr>
        <w:t>2</w:t>
      </w:r>
      <w:r w:rsidR="0018539B">
        <w:t>.</w:t>
      </w:r>
      <w:r w:rsidR="0018539B">
        <w:rPr>
          <w:noProof/>
        </w:rPr>
        <w:t>1</w:t>
      </w:r>
      <w:r w:rsidR="0018539B">
        <w:rPr>
          <w:rFonts w:eastAsia="Calibri" w:cstheme="minorHAnsi"/>
          <w:color w:val="000000" w:themeColor="text1"/>
          <w:szCs w:val="22"/>
        </w:rPr>
        <w:fldChar w:fldCharType="end"/>
      </w:r>
      <w:r>
        <w:rPr>
          <w:rFonts w:eastAsia="Calibri" w:cstheme="minorHAnsi"/>
          <w:color w:val="000000" w:themeColor="text1"/>
          <w:szCs w:val="22"/>
        </w:rPr>
        <w:t xml:space="preserve">). </w:t>
      </w:r>
    </w:p>
    <w:p w14:paraId="47ED9794" w14:textId="6FEFA409" w:rsidR="00C2222F" w:rsidRDefault="00C30027" w:rsidP="005B72B7">
      <w:pPr>
        <w:pStyle w:val="Caption"/>
        <w:rPr>
          <w:rFonts w:eastAsia="Calibri" w:cstheme="minorHAnsi"/>
          <w:szCs w:val="22"/>
        </w:rPr>
      </w:pPr>
      <w:bookmarkStart w:id="11" w:name="_Ref140049265"/>
      <w:bookmarkStart w:id="12" w:name="_Toc141689880"/>
      <w:bookmarkEnd w:id="9"/>
      <w:r>
        <w:rPr>
          <w:rFonts w:eastAsia="Calibri" w:cstheme="minorHAnsi"/>
          <w:noProof/>
          <w:szCs w:val="22"/>
        </w:rPr>
        <w:drawing>
          <wp:anchor distT="0" distB="0" distL="114300" distR="114300" simplePos="0" relativeHeight="251737088" behindDoc="0" locked="0" layoutInCell="1" allowOverlap="1" wp14:anchorId="2E6129BB" wp14:editId="7F63BEF3">
            <wp:simplePos x="0" y="0"/>
            <wp:positionH relativeFrom="column">
              <wp:posOffset>-81915</wp:posOffset>
            </wp:positionH>
            <wp:positionV relativeFrom="paragraph">
              <wp:posOffset>186169</wp:posOffset>
            </wp:positionV>
            <wp:extent cx="5731510" cy="3580765"/>
            <wp:effectExtent l="0" t="0" r="0" b="635"/>
            <wp:wrapSquare wrapText="bothSides"/>
            <wp:docPr id="191236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68805" name="Picture 1912368805"/>
                    <pic:cNvPicPr/>
                  </pic:nvPicPr>
                  <pic:blipFill>
                    <a:blip r:embed="rId8">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5B72B7">
        <w:t xml:space="preserve">Figure </w:t>
      </w:r>
      <w:fldSimple w:instr=" STYLEREF 1 \s ">
        <w:r w:rsidR="00F03ADA">
          <w:rPr>
            <w:noProof/>
          </w:rPr>
          <w:t>2</w:t>
        </w:r>
      </w:fldSimple>
      <w:r w:rsidR="003F26C2">
        <w:t>.</w:t>
      </w:r>
      <w:fldSimple w:instr=" SEQ Figure \* ARABIC \s 1 ">
        <w:r w:rsidR="00F03ADA">
          <w:rPr>
            <w:noProof/>
          </w:rPr>
          <w:t>1</w:t>
        </w:r>
      </w:fldSimple>
      <w:bookmarkEnd w:id="10"/>
      <w:bookmarkEnd w:id="11"/>
      <w:r w:rsidR="005B72B7">
        <w:t>:</w:t>
      </w:r>
      <w:r w:rsidR="00AE73B7">
        <w:t xml:space="preserve"> </w:t>
      </w:r>
      <w:r>
        <w:t>Real Gross Domestic Product Growth Rate and Brent Crude Prices, 1990–2028</w:t>
      </w:r>
      <w:bookmarkEnd w:id="12"/>
    </w:p>
    <w:p w14:paraId="74AF7D76" w14:textId="4DA51065" w:rsidR="00C30027" w:rsidRDefault="00C30027" w:rsidP="00C30027">
      <w:pPr>
        <w:pStyle w:val="Notes"/>
      </w:pPr>
      <w:r w:rsidRPr="00D3295D">
        <w:t xml:space="preserve">GDP = gross domestic product </w:t>
      </w:r>
    </w:p>
    <w:p w14:paraId="1AE9E963" w14:textId="3961B6D3" w:rsidR="00C30027" w:rsidRDefault="00C30027" w:rsidP="00C30027">
      <w:pPr>
        <w:pStyle w:val="Notes"/>
      </w:pPr>
      <w:r>
        <w:t xml:space="preserve">Notes: </w:t>
      </w:r>
      <w:r>
        <w:tab/>
        <w:t>Forecasts are by the International Monetary Fund as of April 2023.</w:t>
      </w:r>
    </w:p>
    <w:p w14:paraId="1AAB442C" w14:textId="77777777" w:rsidR="00C30027" w:rsidRPr="002F176A" w:rsidRDefault="00C30027" w:rsidP="00C30027">
      <w:pPr>
        <w:pStyle w:val="NotesBottom"/>
      </w:pPr>
      <w:r>
        <w:t xml:space="preserve">Sources: </w:t>
      </w:r>
      <w:r>
        <w:tab/>
        <w:t xml:space="preserve">International Monetary Fund. </w:t>
      </w:r>
      <w:r w:rsidRPr="00B3428A">
        <w:t>World Economic Outlook</w:t>
      </w:r>
      <w:r>
        <w:t xml:space="preserve"> Database (April 2023). </w:t>
      </w:r>
      <w:r w:rsidRPr="006C21D2">
        <w:t>https://www.imf.org/en/Publications/WEO/weo-database/202</w:t>
      </w:r>
      <w:r>
        <w:t>3</w:t>
      </w:r>
      <w:r w:rsidRPr="006C21D2">
        <w:t>/April</w:t>
      </w:r>
      <w:r>
        <w:t xml:space="preserve"> (accessed 19 June 2023); U.S. Energy Information Administration. </w:t>
      </w:r>
      <w:r w:rsidRPr="00A829A6">
        <w:t>https://www.eia.gov/dnav/pet/hist/LeafHandler.ashx?n=PET&amp;s=RBRTE&amp;f=M</w:t>
      </w:r>
      <w:r>
        <w:t xml:space="preserve"> (accessed 19 June 2023).</w:t>
      </w:r>
    </w:p>
    <w:p w14:paraId="4397DC00" w14:textId="6B3C2911" w:rsidR="00C30027" w:rsidRDefault="00CF3F3D" w:rsidP="00C30027">
      <w:pPr>
        <w:rPr>
          <w:rFonts w:eastAsia="Calibri" w:cstheme="minorHAnsi"/>
          <w:color w:val="000000" w:themeColor="text1"/>
          <w:szCs w:val="22"/>
        </w:rPr>
      </w:pPr>
      <w:r>
        <w:rPr>
          <w:rFonts w:eastAsia="Calibri" w:cstheme="minorHAnsi"/>
          <w:color w:val="000000" w:themeColor="text1"/>
          <w:szCs w:val="22"/>
        </w:rPr>
        <w:t xml:space="preserve">However, this was not to last. </w:t>
      </w:r>
      <w:r w:rsidR="00C30027">
        <w:rPr>
          <w:rFonts w:eastAsia="Calibri" w:cstheme="minorHAnsi"/>
          <w:color w:val="000000" w:themeColor="text1"/>
          <w:szCs w:val="22"/>
        </w:rPr>
        <w:t>Oil prices retreated in 2014 and remained relatively subdued until 2022. Kazakhstan saw more moderate GDP growth during this time—an average of 3.1% in 2013–2019. It weathered the COVID-19 pandemic fairly well, suffering a 2.6% contraction before bouncing back in 2021 with a 4.1% growth rate.</w:t>
      </w:r>
      <w:r w:rsidR="00CD5874">
        <w:rPr>
          <w:rFonts w:eastAsia="Calibri" w:cstheme="minorHAnsi"/>
          <w:color w:val="000000" w:themeColor="text1"/>
          <w:szCs w:val="22"/>
        </w:rPr>
        <w:t xml:space="preserve"> Kazakhstan </w:t>
      </w:r>
      <w:r>
        <w:rPr>
          <w:rFonts w:eastAsia="Calibri" w:cstheme="minorHAnsi"/>
          <w:color w:val="000000" w:themeColor="text1"/>
          <w:szCs w:val="22"/>
        </w:rPr>
        <w:t xml:space="preserve">then </w:t>
      </w:r>
      <w:r w:rsidR="00CD5874">
        <w:rPr>
          <w:rFonts w:eastAsia="Calibri" w:cstheme="minorHAnsi"/>
          <w:color w:val="000000" w:themeColor="text1"/>
          <w:szCs w:val="22"/>
        </w:rPr>
        <w:t xml:space="preserve">grew by a modest 3.2% in 2022 in spite of the oil price spike that should have benefited its economy. One possible explanation why it did not stems from the relative ephemerality of the spike, lasting just a few months </w:t>
      </w:r>
      <w:r>
        <w:rPr>
          <w:rFonts w:eastAsia="Calibri" w:cstheme="minorHAnsi"/>
          <w:color w:val="000000" w:themeColor="text1"/>
          <w:szCs w:val="22"/>
        </w:rPr>
        <w:t>as global market</w:t>
      </w:r>
      <w:r w:rsidR="004F317C">
        <w:rPr>
          <w:rFonts w:eastAsia="Calibri" w:cstheme="minorHAnsi"/>
          <w:color w:val="000000" w:themeColor="text1"/>
          <w:szCs w:val="22"/>
        </w:rPr>
        <w:t>s</w:t>
      </w:r>
      <w:r>
        <w:rPr>
          <w:rFonts w:eastAsia="Calibri" w:cstheme="minorHAnsi"/>
          <w:color w:val="000000" w:themeColor="text1"/>
          <w:szCs w:val="22"/>
        </w:rPr>
        <w:t xml:space="preserve"> adjusted to the Russian invasion of Ukraine </w:t>
      </w:r>
      <w:r w:rsidR="00CD5874">
        <w:rPr>
          <w:rFonts w:eastAsia="Calibri" w:cstheme="minorHAnsi"/>
          <w:color w:val="000000" w:themeColor="text1"/>
          <w:szCs w:val="22"/>
        </w:rPr>
        <w:t>rather than the years-long mid-2000s boom</w:t>
      </w:r>
      <w:r>
        <w:rPr>
          <w:rFonts w:eastAsia="Calibri" w:cstheme="minorHAnsi"/>
          <w:color w:val="000000" w:themeColor="text1"/>
          <w:szCs w:val="22"/>
        </w:rPr>
        <w:t xml:space="preserve"> that was driven by more wide-ranging factors</w:t>
      </w:r>
      <w:r w:rsidR="00CD5874">
        <w:rPr>
          <w:rFonts w:eastAsia="Calibri" w:cstheme="minorHAnsi"/>
          <w:color w:val="000000" w:themeColor="text1"/>
          <w:szCs w:val="22"/>
        </w:rPr>
        <w:t xml:space="preserve">. </w:t>
      </w:r>
      <w:r w:rsidR="00C30027">
        <w:rPr>
          <w:rFonts w:eastAsia="Calibri" w:cstheme="minorHAnsi"/>
          <w:color w:val="000000" w:themeColor="text1"/>
          <w:szCs w:val="22"/>
        </w:rPr>
        <w:t xml:space="preserve">The International Monetary Fund forecasts </w:t>
      </w:r>
      <w:r w:rsidR="00CD5874">
        <w:rPr>
          <w:rFonts w:eastAsia="Calibri" w:cstheme="minorHAnsi"/>
          <w:color w:val="000000" w:themeColor="text1"/>
          <w:szCs w:val="22"/>
        </w:rPr>
        <w:t>Kazakhstan's</w:t>
      </w:r>
      <w:r w:rsidR="00C30027">
        <w:rPr>
          <w:rFonts w:eastAsia="Calibri" w:cstheme="minorHAnsi"/>
          <w:color w:val="000000" w:themeColor="text1"/>
          <w:szCs w:val="22"/>
        </w:rPr>
        <w:t xml:space="preserve"> growth to </w:t>
      </w:r>
      <w:r w:rsidR="00CD5874">
        <w:rPr>
          <w:rFonts w:eastAsia="Calibri" w:cstheme="minorHAnsi"/>
          <w:color w:val="000000" w:themeColor="text1"/>
          <w:szCs w:val="22"/>
        </w:rPr>
        <w:t xml:space="preserve">hold steady at an average of </w:t>
      </w:r>
      <w:r w:rsidR="00C30027">
        <w:rPr>
          <w:rFonts w:eastAsia="Calibri" w:cstheme="minorHAnsi"/>
          <w:color w:val="000000" w:themeColor="text1"/>
          <w:szCs w:val="22"/>
        </w:rPr>
        <w:t>3.3% until 2028.</w:t>
      </w:r>
    </w:p>
    <w:p w14:paraId="33DFB9ED" w14:textId="4B34CFF8" w:rsidR="00C30027" w:rsidRDefault="00C30027" w:rsidP="00C30027">
      <w:pPr>
        <w:rPr>
          <w:rFonts w:eastAsia="Calibri" w:cstheme="minorHAnsi"/>
          <w:color w:val="000000" w:themeColor="text1"/>
          <w:szCs w:val="22"/>
        </w:rPr>
      </w:pPr>
      <w:r>
        <w:rPr>
          <w:rFonts w:eastAsia="Calibri" w:cstheme="minorHAnsi"/>
          <w:color w:val="000000" w:themeColor="text1"/>
          <w:szCs w:val="22"/>
        </w:rPr>
        <w:lastRenderedPageBreak/>
        <w:t xml:space="preserve">Kazakhstan's reliance on oil puts it in danger of adverse economic outcomes (ADB 2018). As </w:t>
      </w:r>
      <w:r>
        <w:rPr>
          <w:rFonts w:eastAsia="Calibri" w:cstheme="minorHAnsi"/>
          <w:color w:val="000000" w:themeColor="text1"/>
          <w:szCs w:val="22"/>
        </w:rPr>
        <w:fldChar w:fldCharType="begin"/>
      </w:r>
      <w:r>
        <w:rPr>
          <w:rFonts w:eastAsia="Calibri" w:cstheme="minorHAnsi"/>
          <w:color w:val="000000" w:themeColor="text1"/>
          <w:szCs w:val="22"/>
        </w:rPr>
        <w:instrText xml:space="preserve"> REF _Ref139901231 \h </w:instrText>
      </w:r>
      <w:r>
        <w:rPr>
          <w:rFonts w:eastAsia="Calibri" w:cstheme="minorHAnsi"/>
          <w:color w:val="000000" w:themeColor="text1"/>
          <w:szCs w:val="22"/>
        </w:rPr>
      </w:r>
      <w:r>
        <w:rPr>
          <w:rFonts w:eastAsia="Calibri" w:cstheme="minorHAnsi"/>
          <w:color w:val="000000" w:themeColor="text1"/>
          <w:szCs w:val="22"/>
        </w:rPr>
        <w:fldChar w:fldCharType="separate"/>
      </w:r>
      <w:r w:rsidR="00F03ADA" w:rsidRPr="00C30027">
        <w:t xml:space="preserve">Box </w:t>
      </w:r>
      <w:r w:rsidR="00F03ADA">
        <w:rPr>
          <w:noProof/>
        </w:rPr>
        <w:t>2</w:t>
      </w:r>
      <w:r>
        <w:rPr>
          <w:rFonts w:eastAsia="Calibri" w:cstheme="minorHAnsi"/>
          <w:color w:val="000000" w:themeColor="text1"/>
          <w:szCs w:val="22"/>
        </w:rPr>
        <w:fldChar w:fldCharType="end"/>
      </w:r>
      <w:r>
        <w:rPr>
          <w:rFonts w:eastAsia="Calibri" w:cstheme="minorHAnsi"/>
          <w:color w:val="000000" w:themeColor="text1"/>
          <w:szCs w:val="22"/>
        </w:rPr>
        <w:t xml:space="preserve"> explains, the resource curse refers to how countries with rich resource endowments tend to grow slower than their resource-scarce counterparts. Dutch disease may be one cause, where the resource sector crowds out investments in the non-resource sectors that hold the key to long-run sustainable growth. </w:t>
      </w:r>
      <w:r w:rsidR="000E29FC">
        <w:rPr>
          <w:rFonts w:eastAsia="Calibri" w:cstheme="minorHAnsi"/>
          <w:color w:val="000000" w:themeColor="text1"/>
          <w:szCs w:val="22"/>
        </w:rPr>
        <w:t xml:space="preserve">It is important to note that the very nature of extractive resource wealth is its finite supply; </w:t>
      </w:r>
      <w:r>
        <w:rPr>
          <w:rFonts w:eastAsia="Calibri" w:cstheme="minorHAnsi"/>
          <w:color w:val="000000" w:themeColor="text1"/>
          <w:szCs w:val="22"/>
        </w:rPr>
        <w:t>estimates suggest that Kazakhstan's oil reserves will be depleted in 45 years</w:t>
      </w:r>
      <w:r>
        <w:rPr>
          <w:rStyle w:val="FootnoteReference"/>
          <w:rFonts w:eastAsia="Calibri" w:cstheme="minorHAnsi"/>
          <w:color w:val="000000" w:themeColor="text1"/>
          <w:szCs w:val="22"/>
        </w:rPr>
        <w:footnoteReference w:id="8"/>
      </w:r>
      <w:r w:rsidR="000E29FC">
        <w:rPr>
          <w:rFonts w:eastAsia="Calibri" w:cstheme="minorHAnsi"/>
          <w:color w:val="000000" w:themeColor="text1"/>
          <w:szCs w:val="22"/>
        </w:rPr>
        <w:t xml:space="preserve">. But even before that, analysts are expecting </w:t>
      </w:r>
      <w:r>
        <w:rPr>
          <w:rFonts w:eastAsia="Calibri" w:cstheme="minorHAnsi"/>
          <w:color w:val="000000" w:themeColor="text1"/>
          <w:szCs w:val="22"/>
        </w:rPr>
        <w:t xml:space="preserve">world demand for oil </w:t>
      </w:r>
      <w:r w:rsidR="000E29FC">
        <w:rPr>
          <w:rFonts w:eastAsia="Calibri" w:cstheme="minorHAnsi"/>
          <w:color w:val="000000" w:themeColor="text1"/>
          <w:szCs w:val="22"/>
        </w:rPr>
        <w:t xml:space="preserve">to </w:t>
      </w:r>
      <w:r>
        <w:rPr>
          <w:rFonts w:eastAsia="Calibri" w:cstheme="minorHAnsi"/>
          <w:color w:val="000000" w:themeColor="text1"/>
          <w:szCs w:val="22"/>
        </w:rPr>
        <w:t xml:space="preserve">peak </w:t>
      </w:r>
      <w:r w:rsidR="000E29FC">
        <w:rPr>
          <w:rFonts w:eastAsia="Calibri" w:cstheme="minorHAnsi"/>
          <w:color w:val="000000" w:themeColor="text1"/>
          <w:szCs w:val="22"/>
        </w:rPr>
        <w:t>and then decline</w:t>
      </w:r>
      <w:r>
        <w:rPr>
          <w:rFonts w:eastAsia="Calibri" w:cstheme="minorHAnsi"/>
          <w:color w:val="000000" w:themeColor="text1"/>
          <w:szCs w:val="22"/>
        </w:rPr>
        <w:t>, resulting in a plunge in prices (</w:t>
      </w:r>
      <w:proofErr w:type="spellStart"/>
      <w:r>
        <w:rPr>
          <w:rFonts w:eastAsia="Calibri" w:cstheme="minorHAnsi"/>
          <w:color w:val="000000" w:themeColor="text1"/>
          <w:szCs w:val="22"/>
        </w:rPr>
        <w:t>Fickling</w:t>
      </w:r>
      <w:proofErr w:type="spellEnd"/>
      <w:r>
        <w:rPr>
          <w:rFonts w:eastAsia="Calibri" w:cstheme="minorHAnsi"/>
          <w:color w:val="000000" w:themeColor="text1"/>
          <w:szCs w:val="22"/>
        </w:rPr>
        <w:t xml:space="preserve"> 2022). </w:t>
      </w:r>
      <w:r w:rsidR="000E29FC">
        <w:rPr>
          <w:rFonts w:eastAsia="Calibri" w:cstheme="minorHAnsi"/>
          <w:color w:val="000000" w:themeColor="text1"/>
          <w:szCs w:val="22"/>
        </w:rPr>
        <w:t xml:space="preserve">All these make it </w:t>
      </w:r>
      <w:r>
        <w:rPr>
          <w:rFonts w:eastAsia="Calibri" w:cstheme="minorHAnsi"/>
          <w:color w:val="000000" w:themeColor="text1"/>
          <w:szCs w:val="22"/>
        </w:rPr>
        <w:t xml:space="preserve">crucial for Kazakhstan to </w:t>
      </w:r>
      <w:r w:rsidR="00CD51D7">
        <w:rPr>
          <w:rFonts w:eastAsia="Calibri" w:cstheme="minorHAnsi"/>
          <w:color w:val="000000" w:themeColor="text1"/>
          <w:szCs w:val="22"/>
        </w:rPr>
        <w:t xml:space="preserve">diversify </w:t>
      </w:r>
      <w:r>
        <w:rPr>
          <w:rFonts w:eastAsia="Calibri" w:cstheme="minorHAnsi"/>
          <w:color w:val="000000" w:themeColor="text1"/>
          <w:szCs w:val="22"/>
        </w:rPr>
        <w:t xml:space="preserve">its </w:t>
      </w:r>
      <w:r w:rsidR="00CD51D7">
        <w:rPr>
          <w:rFonts w:eastAsia="Calibri" w:cstheme="minorHAnsi"/>
          <w:color w:val="000000" w:themeColor="text1"/>
          <w:szCs w:val="22"/>
        </w:rPr>
        <w:t xml:space="preserve">economy away from its </w:t>
      </w:r>
      <w:r>
        <w:rPr>
          <w:rFonts w:eastAsia="Calibri" w:cstheme="minorHAnsi"/>
          <w:color w:val="000000" w:themeColor="text1"/>
          <w:szCs w:val="22"/>
        </w:rPr>
        <w:t>oil sector.</w:t>
      </w:r>
    </w:p>
    <w:tbl>
      <w:tblPr>
        <w:tblStyle w:val="TableGrid"/>
        <w:tblW w:w="0" w:type="auto"/>
        <w:tblLook w:val="04A0" w:firstRow="1" w:lastRow="0" w:firstColumn="1" w:lastColumn="0" w:noHBand="0" w:noVBand="1"/>
      </w:tblPr>
      <w:tblGrid>
        <w:gridCol w:w="9016"/>
      </w:tblGrid>
      <w:tr w:rsidR="00C30027" w14:paraId="4843C873" w14:textId="77777777" w:rsidTr="00C30027">
        <w:tc>
          <w:tcPr>
            <w:tcW w:w="9016" w:type="dxa"/>
          </w:tcPr>
          <w:p w14:paraId="4A36E7AD" w14:textId="17929BA1" w:rsidR="00C30027" w:rsidRPr="00C30027" w:rsidRDefault="00C30027" w:rsidP="00C30027">
            <w:pPr>
              <w:pStyle w:val="Caption"/>
            </w:pPr>
            <w:bookmarkStart w:id="13" w:name="_Ref139901231"/>
            <w:bookmarkStart w:id="14" w:name="_Toc141647972"/>
            <w:r w:rsidRPr="00C30027">
              <w:t xml:space="preserve">Box </w:t>
            </w:r>
            <w:fldSimple w:instr=" SEQ Box \* ARABIC ">
              <w:r w:rsidR="00F03ADA">
                <w:rPr>
                  <w:noProof/>
                </w:rPr>
                <w:t>2</w:t>
              </w:r>
            </w:fldSimple>
            <w:bookmarkEnd w:id="13"/>
            <w:r w:rsidRPr="00C30027">
              <w:t xml:space="preserve">: </w:t>
            </w:r>
            <w:r w:rsidR="00D9006C">
              <w:t xml:space="preserve">The </w:t>
            </w:r>
            <w:r w:rsidRPr="00C30027">
              <w:t>Resource Curse</w:t>
            </w:r>
            <w:bookmarkEnd w:id="14"/>
          </w:p>
          <w:p w14:paraId="3762C1B9" w14:textId="77777777" w:rsidR="00C30027" w:rsidRDefault="00C30027" w:rsidP="00C30027">
            <w:pPr>
              <w:pStyle w:val="Box"/>
            </w:pPr>
            <w:r>
              <w:t xml:space="preserve">Intuition might hold that a country blessed with abundant natural resources is well positioned for rapid growth. But this is not always the case: some studies actually point to </w:t>
            </w:r>
            <w:r w:rsidRPr="00906B83">
              <w:rPr>
                <w:i/>
                <w:iCs/>
              </w:rPr>
              <w:t>slower</w:t>
            </w:r>
            <w:r>
              <w:t xml:space="preserve"> growth for resource-rich countries (Sachs and Warner 2001). Rather than a blessing, there may in fact be a "resource curse" (</w:t>
            </w:r>
            <w:proofErr w:type="spellStart"/>
            <w:r>
              <w:t>Auty</w:t>
            </w:r>
            <w:proofErr w:type="spellEnd"/>
            <w:r>
              <w:t xml:space="preserve"> 1993), especially when the resource is of the extractive type—minerals, petroleum</w:t>
            </w:r>
          </w:p>
          <w:p w14:paraId="62AEA2EF" w14:textId="63596017" w:rsidR="00C30027" w:rsidRDefault="00C30027" w:rsidP="00C30027">
            <w:pPr>
              <w:pStyle w:val="Box"/>
            </w:pPr>
            <w:r>
              <w:t>What causes this? One set of explanations revolve around the Dutch disease hypothesis, which states that a booming resource sector causes the non-resource export sector (e.g. manufacturing) to shrink due to two effects. First, by making the real exchange rate appreciate, it makes non-resource exports less competitive. Second, it draws labor and capital away from the non-resource sector (Corden and Neary 1982). Since manufacturing is associated with learning by doing and other positive externalities, its demise may hamper long-run growth. Moreover, since the global prices of natural resources tend to be volatile, an economy specialized in it will also experience much volatility, hampering growth (van der Ploeg 2011).</w:t>
            </w:r>
          </w:p>
          <w:p w14:paraId="60AD84A9" w14:textId="77777777" w:rsidR="00C30027" w:rsidRDefault="00C30027" w:rsidP="00C30027">
            <w:pPr>
              <w:pStyle w:val="Box"/>
            </w:pPr>
            <w:r>
              <w:t>Another set of explanations focus on the quality of a country's institutions. The wealth generated by natural resources may facilitate more corruption, rent-seeking, and civil conflict. Governments may be less inclined to invest in non-resource sectors or in building up physical and human capital (van der Ploeg 2011). In these analyses, oil wealth appears to be particularly associated with institutional erosion (Ross 2015).</w:t>
            </w:r>
          </w:p>
          <w:p w14:paraId="7BC73F6D" w14:textId="77777777" w:rsidR="00C30027" w:rsidRDefault="00C30027" w:rsidP="00C30027">
            <w:pPr>
              <w:pStyle w:val="Box"/>
            </w:pPr>
            <w:r>
              <w:t>Because econometrically measuring the impact of natural resources on growth is plagued by measurement and identification issues, the existence of a resource curse is still debated. Resource-rich countries can therefore take heart that the curse is "</w:t>
            </w:r>
            <w:r w:rsidRPr="009B481D">
              <w:t>not cast in stone</w:t>
            </w:r>
            <w:r>
              <w:t xml:space="preserve">" (van der Ploeg 2011, p. 385). </w:t>
            </w:r>
          </w:p>
          <w:p w14:paraId="25D9385A" w14:textId="77777777" w:rsidR="00C30027" w:rsidRPr="00A035EA" w:rsidRDefault="00C30027" w:rsidP="00C30027">
            <w:pPr>
              <w:pStyle w:val="BoxReferences"/>
              <w:rPr>
                <w:b/>
                <w:bCs/>
              </w:rPr>
            </w:pPr>
            <w:r w:rsidRPr="00A035EA">
              <w:rPr>
                <w:b/>
                <w:bCs/>
              </w:rPr>
              <w:t>Reference</w:t>
            </w:r>
            <w:r>
              <w:rPr>
                <w:b/>
                <w:bCs/>
              </w:rPr>
              <w:t>s</w:t>
            </w:r>
          </w:p>
          <w:p w14:paraId="1953A300" w14:textId="77777777" w:rsidR="00C30027" w:rsidRDefault="00C30027" w:rsidP="00C30027">
            <w:pPr>
              <w:pStyle w:val="BoxReferences"/>
            </w:pPr>
            <w:r>
              <w:t xml:space="preserve">R. M. </w:t>
            </w:r>
            <w:proofErr w:type="spellStart"/>
            <w:r w:rsidRPr="00465FCD">
              <w:t>Auty</w:t>
            </w:r>
            <w:proofErr w:type="spellEnd"/>
            <w:r>
              <w:t>.</w:t>
            </w:r>
            <w:r w:rsidRPr="00465FCD">
              <w:t xml:space="preserve"> 1993. </w:t>
            </w:r>
            <w:r w:rsidRPr="00465FCD">
              <w:rPr>
                <w:i/>
                <w:iCs/>
              </w:rPr>
              <w:t xml:space="preserve">Sustaining Development in Mineral Economies: </w:t>
            </w:r>
            <w:r>
              <w:rPr>
                <w:i/>
                <w:iCs/>
              </w:rPr>
              <w:t>T</w:t>
            </w:r>
            <w:r w:rsidRPr="00465FCD">
              <w:rPr>
                <w:i/>
                <w:iCs/>
              </w:rPr>
              <w:t>he Resource Curse Thesis</w:t>
            </w:r>
            <w:r w:rsidRPr="00465FCD">
              <w:t>. Routledge</w:t>
            </w:r>
            <w:r>
              <w:t>:</w:t>
            </w:r>
            <w:r w:rsidRPr="00465FCD">
              <w:t xml:space="preserve"> London</w:t>
            </w:r>
            <w:r>
              <w:t>, UK</w:t>
            </w:r>
            <w:r w:rsidRPr="00465FCD">
              <w:t>.</w:t>
            </w:r>
          </w:p>
          <w:p w14:paraId="38A0E35C" w14:textId="77777777" w:rsidR="00C30027" w:rsidRDefault="00C30027" w:rsidP="00C30027">
            <w:pPr>
              <w:pStyle w:val="BoxReferences"/>
            </w:pPr>
            <w:r>
              <w:t>W. M. Corden and J. P. Neary.</w:t>
            </w:r>
            <w:r w:rsidRPr="00601F5B">
              <w:t xml:space="preserve"> </w:t>
            </w:r>
            <w:r>
              <w:t>1982. Booming Sector and De-</w:t>
            </w:r>
            <w:proofErr w:type="spellStart"/>
            <w:r>
              <w:t>Industrialisation</w:t>
            </w:r>
            <w:proofErr w:type="spellEnd"/>
            <w:r>
              <w:t xml:space="preserve"> in a Small Open Economy. </w:t>
            </w:r>
            <w:r w:rsidRPr="00937E53">
              <w:rPr>
                <w:i/>
                <w:iCs/>
              </w:rPr>
              <w:t>Economic Journal</w:t>
            </w:r>
            <w:r>
              <w:t>. 92. pp. 825–848</w:t>
            </w:r>
            <w:r w:rsidRPr="003B1B51">
              <w:t>.</w:t>
            </w:r>
          </w:p>
          <w:p w14:paraId="0F3F0848" w14:textId="77777777" w:rsidR="00C30027" w:rsidRDefault="00C30027" w:rsidP="00C30027">
            <w:pPr>
              <w:pStyle w:val="BoxReferences"/>
            </w:pPr>
            <w:r>
              <w:t xml:space="preserve">M. L. Ross. 2015. The Politics of the Resource Curse: A Review. In C. Lancaster and N. van de </w:t>
            </w:r>
            <w:proofErr w:type="spellStart"/>
            <w:r>
              <w:t>Walle</w:t>
            </w:r>
            <w:proofErr w:type="spellEnd"/>
            <w:r>
              <w:t xml:space="preserve"> (eds.), </w:t>
            </w:r>
            <w:r w:rsidRPr="009B481D">
              <w:rPr>
                <w:i/>
                <w:iCs/>
              </w:rPr>
              <w:t>The Oxford Handbook of the Politics of Development</w:t>
            </w:r>
            <w:r>
              <w:t>, pp. 200–223. Oxford University Press: Oxford, UK.</w:t>
            </w:r>
          </w:p>
          <w:p w14:paraId="002D6D0E" w14:textId="77777777" w:rsidR="00C30027" w:rsidRDefault="00C30027" w:rsidP="00C30027">
            <w:pPr>
              <w:pStyle w:val="BoxReferences"/>
            </w:pPr>
            <w:r>
              <w:lastRenderedPageBreak/>
              <w:t xml:space="preserve">J. D. Sachs and A. M. Warner. 2001. The Curse of Natural Resources. </w:t>
            </w:r>
            <w:r w:rsidRPr="00465FCD">
              <w:rPr>
                <w:i/>
                <w:iCs/>
              </w:rPr>
              <w:t>European Economic Review</w:t>
            </w:r>
            <w:r>
              <w:t>. 45. pp. 827–838.</w:t>
            </w:r>
          </w:p>
          <w:p w14:paraId="676C7EA7" w14:textId="00C7E7FE" w:rsidR="00C30027" w:rsidRDefault="00C30027" w:rsidP="00C30027">
            <w:pPr>
              <w:pStyle w:val="BoxReferences"/>
            </w:pPr>
            <w:r>
              <w:t xml:space="preserve">F. van der Ploeg. 2011. Natural Resources: Curse or Blessing? </w:t>
            </w:r>
            <w:r w:rsidRPr="009B481D">
              <w:rPr>
                <w:i/>
                <w:iCs/>
              </w:rPr>
              <w:t>Journal of Economic Literature</w:t>
            </w:r>
            <w:r>
              <w:t>. 49(2). pp. 366–420.</w:t>
            </w:r>
          </w:p>
        </w:tc>
      </w:tr>
    </w:tbl>
    <w:p w14:paraId="454B5837" w14:textId="77777777" w:rsidR="00C30027" w:rsidRDefault="00C30027" w:rsidP="00C30027"/>
    <w:p w14:paraId="6877E442" w14:textId="71D3EDFE" w:rsidR="00CF3F3D" w:rsidRDefault="00C30027" w:rsidP="00C30027">
      <w:r>
        <w:fldChar w:fldCharType="begin"/>
      </w:r>
      <w:r>
        <w:instrText xml:space="preserve"> REF _Ref77597736 \h </w:instrText>
      </w:r>
      <w:r>
        <w:fldChar w:fldCharType="separate"/>
      </w:r>
      <w:r w:rsidR="0018539B">
        <w:t xml:space="preserve">Figure </w:t>
      </w:r>
      <w:r w:rsidR="0018539B">
        <w:rPr>
          <w:noProof/>
        </w:rPr>
        <w:t>2</w:t>
      </w:r>
      <w:r w:rsidR="0018539B">
        <w:t>.</w:t>
      </w:r>
      <w:r w:rsidR="0018539B">
        <w:rPr>
          <w:noProof/>
        </w:rPr>
        <w:t>2</w:t>
      </w:r>
      <w:r>
        <w:fldChar w:fldCharType="end"/>
      </w:r>
      <w:r>
        <w:t xml:space="preserve"> </w:t>
      </w:r>
      <w:r w:rsidR="0018539B">
        <w:t>indicates</w:t>
      </w:r>
      <w:r>
        <w:t xml:space="preserve"> that it has some ways to go. </w:t>
      </w:r>
      <w:r w:rsidR="00D7135F">
        <w:t xml:space="preserve">The plot </w:t>
      </w:r>
      <w:r w:rsidR="004F317C">
        <w:t xml:space="preserve">shows trade openness at various levels of economic size, providing a rough metric by which one can gauge whether a country is relatively more trade-oriented or not. Trade is naturally a smaller part of the economy for larger countries like the PRC and India and vice versa for smaller countries like Singapore and the Kyrgyz Republic. Taking this relationship into account, how important is trade for Kazakhstan given its size? For its </w:t>
      </w:r>
      <w:r w:rsidR="00D7135F">
        <w:t>trade as a whole, it does appear to be fairly open</w:t>
      </w:r>
      <w:r w:rsidR="00C65C13">
        <w:t>:</w:t>
      </w:r>
      <w:r w:rsidR="00D7135F">
        <w:t xml:space="preserve"> </w:t>
      </w:r>
      <w:r w:rsidR="00C65C13">
        <w:t>o</w:t>
      </w:r>
      <w:r w:rsidR="00D7135F">
        <w:t>f its $545 billion GDP, exports and imports account</w:t>
      </w:r>
      <w:r w:rsidR="00C65C13">
        <w:t>ed</w:t>
      </w:r>
      <w:r w:rsidR="00D7135F">
        <w:t xml:space="preserve"> for 57.5%</w:t>
      </w:r>
      <w:r w:rsidR="00C65C13">
        <w:t xml:space="preserve"> in 2021</w:t>
      </w:r>
      <w:r w:rsidR="0029259F">
        <w:t xml:space="preserve">, </w:t>
      </w:r>
      <w:r w:rsidR="00C54D0D">
        <w:t xml:space="preserve">below </w:t>
      </w:r>
      <w:r w:rsidR="0029259F">
        <w:t>Saudi Arabia's 59.1% and Uzbekistan's 63.9%</w:t>
      </w:r>
      <w:r w:rsidR="00C54D0D">
        <w:t xml:space="preserve"> but ahead of the Russian Federation's 52.2% and even the United Kingdom's 56.7%</w:t>
      </w:r>
      <w:r w:rsidR="00D7135F">
        <w:t xml:space="preserve">. </w:t>
      </w:r>
    </w:p>
    <w:p w14:paraId="21C27538" w14:textId="2C412560" w:rsidR="00C2222F" w:rsidRDefault="00C54D0D" w:rsidP="00C2222F">
      <w:pPr>
        <w:pStyle w:val="Caption"/>
      </w:pPr>
      <w:bookmarkStart w:id="15" w:name="_Ref77597736"/>
      <w:bookmarkStart w:id="16" w:name="_Toc141689881"/>
      <w:r>
        <w:rPr>
          <w:noProof/>
        </w:rPr>
        <w:drawing>
          <wp:anchor distT="0" distB="0" distL="114300" distR="114300" simplePos="0" relativeHeight="251759616" behindDoc="0" locked="0" layoutInCell="1" allowOverlap="1" wp14:anchorId="6C16F1D0" wp14:editId="085F96D2">
            <wp:simplePos x="0" y="0"/>
            <wp:positionH relativeFrom="column">
              <wp:posOffset>0</wp:posOffset>
            </wp:positionH>
            <wp:positionV relativeFrom="paragraph">
              <wp:posOffset>191868</wp:posOffset>
            </wp:positionV>
            <wp:extent cx="5731510" cy="3580765"/>
            <wp:effectExtent l="0" t="0" r="0" b="635"/>
            <wp:wrapSquare wrapText="bothSides"/>
            <wp:docPr id="83163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33863" name="Picture 831633863"/>
                    <pic:cNvPicPr/>
                  </pic:nvPicPr>
                  <pic:blipFill>
                    <a:blip r:embed="rId9">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C2222F">
        <w:t xml:space="preserve">Figure </w:t>
      </w:r>
      <w:fldSimple w:instr=" STYLEREF 1 \s ">
        <w:r w:rsidR="00F03ADA">
          <w:rPr>
            <w:noProof/>
          </w:rPr>
          <w:t>2</w:t>
        </w:r>
      </w:fldSimple>
      <w:r w:rsidR="003F26C2">
        <w:t>.</w:t>
      </w:r>
      <w:fldSimple w:instr=" SEQ Figure \* ARABIC \s 1 ">
        <w:r w:rsidR="00F03ADA">
          <w:rPr>
            <w:noProof/>
          </w:rPr>
          <w:t>2</w:t>
        </w:r>
      </w:fldSimple>
      <w:bookmarkEnd w:id="15"/>
      <w:r w:rsidR="00C2222F">
        <w:t xml:space="preserve">: </w:t>
      </w:r>
      <w:r w:rsidR="00C30027">
        <w:t xml:space="preserve">Trade Openness at Various Levels of Economic </w:t>
      </w:r>
      <w:r w:rsidR="00D7135F">
        <w:t>Size</w:t>
      </w:r>
      <w:r w:rsidR="00C30027">
        <w:t>, 2021</w:t>
      </w:r>
      <w:bookmarkEnd w:id="16"/>
    </w:p>
    <w:p w14:paraId="01DAD593" w14:textId="77777777" w:rsidR="00C30027" w:rsidRPr="00D3295D" w:rsidRDefault="00C30027" w:rsidP="00C30027">
      <w:pPr>
        <w:pStyle w:val="NotesAbbreviations"/>
      </w:pPr>
      <w:r w:rsidRPr="00D3295D">
        <w:t>GDP = gross domestic product, PPP = purchasing power parity, PRC = People’s Republic of China</w:t>
      </w:r>
      <w:r>
        <w:t>.</w:t>
      </w:r>
    </w:p>
    <w:p w14:paraId="43402A6A" w14:textId="77777777" w:rsidR="00C30027" w:rsidRDefault="00C30027" w:rsidP="00C30027">
      <w:pPr>
        <w:pStyle w:val="Notes"/>
      </w:pPr>
      <w:r>
        <w:t xml:space="preserve">Notes: </w:t>
      </w:r>
      <w:r>
        <w:tab/>
        <w:t xml:space="preserve">Horizontal axis is </w:t>
      </w:r>
      <w:r w:rsidRPr="00A03315">
        <w:t xml:space="preserve">gross domestic product in current international dollars </w:t>
      </w:r>
      <w:r>
        <w:t>at</w:t>
      </w:r>
      <w:r w:rsidRPr="00A03315">
        <w:t xml:space="preserve"> purchasing power parity</w:t>
      </w:r>
      <w:r>
        <w:t xml:space="preserve">. Vertical axis is </w:t>
      </w:r>
      <w:r w:rsidRPr="0096442F">
        <w:t>the sum of exports and imports of goods and services as a share of gross domestic product</w:t>
      </w:r>
      <w:r>
        <w:t>.</w:t>
      </w:r>
    </w:p>
    <w:p w14:paraId="0FA7FF54" w14:textId="77777777" w:rsidR="00C30027" w:rsidRDefault="00C30027" w:rsidP="00C30027">
      <w:pPr>
        <w:pStyle w:val="NotesBottom"/>
      </w:pPr>
      <w:r>
        <w:t xml:space="preserve">Source: </w:t>
      </w:r>
      <w:r>
        <w:tab/>
        <w:t xml:space="preserve">World Bank. World Development Indicators. </w:t>
      </w:r>
      <w:r w:rsidRPr="00621D7C">
        <w:t>https://data.worldbank.org/indicator</w:t>
      </w:r>
      <w:r>
        <w:t xml:space="preserve"> (accessed 19 June 2023). </w:t>
      </w:r>
    </w:p>
    <w:p w14:paraId="00317D1E" w14:textId="3A9AB291" w:rsidR="008130E0" w:rsidRDefault="00CF3F3D" w:rsidP="0018539B">
      <w:r>
        <w:t xml:space="preserve">However, it is reasonable to wonder whether Kazakhstan's very large oil sector is inflating this ratio. Many studies, including the classic paper by Jeffrey A. Frankel and David Romer (1999), have affirmed that countries who trade more tend to grow faster. The four Asian Tigers—Hong Kong, China; the Republic of Korea; Singapore; and </w:t>
      </w:r>
      <w:proofErr w:type="spellStart"/>
      <w:r>
        <w:t>Taipei,China</w:t>
      </w:r>
      <w:proofErr w:type="spellEnd"/>
      <w:r>
        <w:t xml:space="preserve">—had </w:t>
      </w:r>
      <w:r>
        <w:lastRenderedPageBreak/>
        <w:t>famously used an export-oriented development strategy to become advanced economies by the 1990s (Stiglitz 1996), an approach that is now being followed by Viet Nam and Cambodia, among others. But all these cases involve export baskets that lean heavily towards manufactures, not natural resources. Indeed, excluding oil from Kazakhstan's trade lowers its trade-to-GDP ratio to just 18.3%. This back-of-the-envelope calculation strongly suggests that Kazakhstan is not as trade-oriented as its statistics may paint it to be</w:t>
      </w:r>
      <w:r w:rsidR="00CD51D7">
        <w:t>, further highlighting its need for diversification</w:t>
      </w:r>
      <w:r>
        <w:t>.</w:t>
      </w:r>
      <w:r w:rsidR="008130E0" w:rsidRPr="008130E0">
        <w:t xml:space="preserve"> </w:t>
      </w:r>
    </w:p>
    <w:p w14:paraId="29D39948" w14:textId="1FED35E2" w:rsidR="00C2222F" w:rsidRDefault="00000000" w:rsidP="00C2222F">
      <w:fldSimple w:instr=" REF _Ref77602758 ">
        <w:r w:rsidR="0018539B">
          <w:t xml:space="preserve">Figure </w:t>
        </w:r>
        <w:r w:rsidR="0018539B">
          <w:rPr>
            <w:noProof/>
          </w:rPr>
          <w:t>2</w:t>
        </w:r>
        <w:r w:rsidR="0018539B">
          <w:t>.</w:t>
        </w:r>
        <w:r w:rsidR="0018539B">
          <w:rPr>
            <w:noProof/>
          </w:rPr>
          <w:t>3</w:t>
        </w:r>
      </w:fldSimple>
      <w:r w:rsidR="00C2222F">
        <w:t xml:space="preserve"> visualizes international trading networks as of 20</w:t>
      </w:r>
      <w:r w:rsidR="00CD51D7">
        <w:t>21</w:t>
      </w:r>
      <w:r w:rsidR="00C2222F">
        <w:t xml:space="preserve"> and </w:t>
      </w:r>
      <w:r w:rsidR="00CD51D7">
        <w:t>Kazakhstan's</w:t>
      </w:r>
      <w:r w:rsidR="00C2222F">
        <w:t xml:space="preserve"> place in them. As it utilizes the United Nations COMTRADE Database (as processed by CEPII’s BACI International Trade Database), only merchandise trade is included. Each node is a </w:t>
      </w:r>
      <w:r w:rsidR="00A11901">
        <w:t>country or economy</w:t>
      </w:r>
      <w:r w:rsidR="00C2222F">
        <w:t xml:space="preserve">, positioned </w:t>
      </w:r>
      <w:r w:rsidR="0018539B">
        <w:t xml:space="preserve">according to an algorithm of simulated annealing to produce an aesthetic chart (Davidson and </w:t>
      </w:r>
      <w:proofErr w:type="spellStart"/>
      <w:r w:rsidR="0018539B">
        <w:t>Harel</w:t>
      </w:r>
      <w:proofErr w:type="spellEnd"/>
      <w:r w:rsidR="0018539B">
        <w:t xml:space="preserve"> 1996)</w:t>
      </w:r>
      <w:r w:rsidR="00C2222F">
        <w:t xml:space="preserve">. For visual clarity, the figure only draws a trading link if the importing </w:t>
      </w:r>
      <w:r w:rsidR="00A11901">
        <w:t>country</w:t>
      </w:r>
      <w:r w:rsidR="00C2222F">
        <w:t xml:space="preserve"> is among the three largest importers of the exporting </w:t>
      </w:r>
      <w:r w:rsidR="00A11901">
        <w:t>country</w:t>
      </w:r>
      <w:r w:rsidR="00C2222F">
        <w:t xml:space="preserve">. Node sizes are proportional to the number of such links a </w:t>
      </w:r>
      <w:r w:rsidR="00A11901">
        <w:t xml:space="preserve">country </w:t>
      </w:r>
      <w:r w:rsidR="00C2222F">
        <w:t>is connected to. Thus, the fact that the largest nodes are the United States and the People’s Republic of China (PRC) means</w:t>
      </w:r>
      <w:r w:rsidR="00F04A36">
        <w:t xml:space="preserve"> that</w:t>
      </w:r>
      <w:r w:rsidR="00C2222F">
        <w:t xml:space="preserve"> they appear among the top three importers of other </w:t>
      </w:r>
      <w:r w:rsidR="00A11901">
        <w:t>countries</w:t>
      </w:r>
      <w:r w:rsidR="00C2222F">
        <w:t xml:space="preserve"> the most. The thickness of a link, meanwhile, is proportional to the value of trade it is representing. Again, the thickest link is that between the United States and the PRC, indicating that it is the most </w:t>
      </w:r>
      <w:r w:rsidR="00803D35">
        <w:t>significant</w:t>
      </w:r>
      <w:r w:rsidR="00C2222F">
        <w:t xml:space="preserve"> bilateral relationship in the world. </w:t>
      </w:r>
    </w:p>
    <w:p w14:paraId="764A3334" w14:textId="59F38FAF" w:rsidR="00F04A36" w:rsidRDefault="00F04A36" w:rsidP="00F04A36">
      <w:r>
        <w:t>Color-coding by geographic region reveals a gravity-type clustering of nodes, in that countries that are physically near each other on the map tend to trade more with each other</w:t>
      </w:r>
      <w:r w:rsidRPr="00103C0F">
        <w:t>. This is the case for Kazakhstan</w:t>
      </w:r>
      <w:r>
        <w:t xml:space="preserve">: </w:t>
      </w:r>
      <w:r w:rsidRPr="00103C0F">
        <w:t>its large neighbors the People's Republic of China and the R</w:t>
      </w:r>
      <w:r>
        <w:t>u</w:t>
      </w:r>
      <w:r w:rsidRPr="00103C0F">
        <w:t>ssian Federation</w:t>
      </w:r>
      <w:r>
        <w:t xml:space="preserve"> are also its largest trading partners</w:t>
      </w:r>
      <w:r w:rsidRPr="00103C0F">
        <w:t xml:space="preserve">. </w:t>
      </w:r>
      <w:r>
        <w:t>Its exports lean more towards Europe than Asia, with Greece, the United Kingdom, and Germany rounding out its top five export destinations in 2021.</w:t>
      </w:r>
    </w:p>
    <w:p w14:paraId="746CEF8C" w14:textId="0F27EC24" w:rsidR="00C2222F" w:rsidRDefault="00C6601B" w:rsidP="00C2222F">
      <w:pPr>
        <w:pStyle w:val="Caption"/>
      </w:pPr>
      <w:bookmarkStart w:id="17" w:name="_Ref77602758"/>
      <w:bookmarkStart w:id="18" w:name="_Toc141689882"/>
      <w:r>
        <w:rPr>
          <w:noProof/>
        </w:rPr>
        <w:lastRenderedPageBreak/>
        <w:drawing>
          <wp:anchor distT="0" distB="0" distL="114300" distR="114300" simplePos="0" relativeHeight="251739136" behindDoc="0" locked="0" layoutInCell="1" allowOverlap="1" wp14:anchorId="229C12B9" wp14:editId="6D45FD05">
            <wp:simplePos x="0" y="0"/>
            <wp:positionH relativeFrom="column">
              <wp:posOffset>0</wp:posOffset>
            </wp:positionH>
            <wp:positionV relativeFrom="paragraph">
              <wp:posOffset>191021</wp:posOffset>
            </wp:positionV>
            <wp:extent cx="5731510" cy="4301490"/>
            <wp:effectExtent l="0" t="0" r="0" b="3810"/>
            <wp:wrapSquare wrapText="bothSides"/>
            <wp:docPr id="9098189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18985" name="Picture 909818985"/>
                    <pic:cNvPicPr/>
                  </pic:nvPicPr>
                  <pic:blipFill>
                    <a:blip r:embed="rId10">
                      <a:extLst>
                        <a:ext uri="{28A0092B-C50C-407E-A947-70E740481C1C}">
                          <a14:useLocalDpi xmlns:a14="http://schemas.microsoft.com/office/drawing/2010/main" val="0"/>
                        </a:ext>
                      </a:extLst>
                    </a:blip>
                    <a:stretch>
                      <a:fillRect/>
                    </a:stretch>
                  </pic:blipFill>
                  <pic:spPr>
                    <a:xfrm>
                      <a:off x="0" y="0"/>
                      <a:ext cx="5731510" cy="4301490"/>
                    </a:xfrm>
                    <a:prstGeom prst="rect">
                      <a:avLst/>
                    </a:prstGeom>
                  </pic:spPr>
                </pic:pic>
              </a:graphicData>
            </a:graphic>
            <wp14:sizeRelH relativeFrom="page">
              <wp14:pctWidth>0</wp14:pctWidth>
            </wp14:sizeRelH>
            <wp14:sizeRelV relativeFrom="page">
              <wp14:pctHeight>0</wp14:pctHeight>
            </wp14:sizeRelV>
          </wp:anchor>
        </w:drawing>
      </w:r>
      <w:r w:rsidR="00C2222F">
        <w:t xml:space="preserve">Figure </w:t>
      </w:r>
      <w:fldSimple w:instr=" STYLEREF 1 \s ">
        <w:r w:rsidR="00F03ADA">
          <w:rPr>
            <w:noProof/>
          </w:rPr>
          <w:t>2</w:t>
        </w:r>
      </w:fldSimple>
      <w:r w:rsidR="003F26C2">
        <w:t>.</w:t>
      </w:r>
      <w:fldSimple w:instr=" SEQ Figure \* ARABIC \s 1 ">
        <w:r w:rsidR="00F03ADA">
          <w:rPr>
            <w:noProof/>
          </w:rPr>
          <w:t>3</w:t>
        </w:r>
      </w:fldSimple>
      <w:bookmarkEnd w:id="17"/>
      <w:r w:rsidR="00C2222F">
        <w:t xml:space="preserve">: </w:t>
      </w:r>
      <w:r>
        <w:t>Network Diagram of Global Merchandise Trade, 2021</w:t>
      </w:r>
      <w:bookmarkEnd w:id="18"/>
    </w:p>
    <w:p w14:paraId="3F870944" w14:textId="77777777" w:rsidR="00C6601B" w:rsidRDefault="00C6601B" w:rsidP="00C6601B">
      <w:pPr>
        <w:pStyle w:val="NotesAbbreviations"/>
      </w:pPr>
      <w:r>
        <w:t>ARE = United Arab Emirates, BEL = Belgium, FRA = France, GER = Germany, IND = India, ITA = Italy, JPN = Japan, KOR = Republic of Korea, NET = Netherlands, POL = Poland, PRC = People’s Republic of China, RUS = Russia, SAU = Saudi Arabia, SIN = Singapore, SPA = Spain, SWI = Switzerland, THA = Thailand, UKG = United Kingdom, USA = United States, ZAF = South Africa.</w:t>
      </w:r>
    </w:p>
    <w:p w14:paraId="3A7B3F95" w14:textId="77777777" w:rsidR="00C6601B" w:rsidRDefault="00C6601B" w:rsidP="00C6601B">
      <w:pPr>
        <w:pStyle w:val="Notes"/>
      </w:pPr>
      <w:r>
        <w:t xml:space="preserve">Notes: </w:t>
      </w:r>
      <w:r>
        <w:tab/>
        <w:t xml:space="preserve">Each node represents a country or economy. Nodes appear only if they meet a threshold of connectedness, defined as being among the three largest importers of some country. Node sizes reflect the number of such links connected to the node, while edge thickness reflect the dollar value of the trade flow. Nodes are arranged using the </w:t>
      </w:r>
      <w:r w:rsidRPr="00FE25AA">
        <w:t xml:space="preserve">Davidson and </w:t>
      </w:r>
      <w:proofErr w:type="spellStart"/>
      <w:r w:rsidRPr="00FE25AA">
        <w:t>Harel</w:t>
      </w:r>
      <w:proofErr w:type="spellEnd"/>
      <w:r w:rsidRPr="00FE25AA">
        <w:t xml:space="preserve"> (1996)</w:t>
      </w:r>
      <w:r>
        <w:t xml:space="preserve"> layout algorithm. Regional groupings are from the World Bank. </w:t>
      </w:r>
      <w:proofErr w:type="spellStart"/>
      <w:r>
        <w:t>Taipei,China</w:t>
      </w:r>
      <w:proofErr w:type="spellEnd"/>
      <w:r>
        <w:t xml:space="preserve"> is proxied by “</w:t>
      </w:r>
      <w:r w:rsidRPr="001345C3">
        <w:t>Other Asia, not elsewhere specified</w:t>
      </w:r>
      <w:r>
        <w:t>”.</w:t>
      </w:r>
    </w:p>
    <w:p w14:paraId="254314B7" w14:textId="77777777" w:rsidR="00C6601B" w:rsidRDefault="00C6601B" w:rsidP="00C6601B">
      <w:pPr>
        <w:pStyle w:val="NotesBottom"/>
      </w:pPr>
      <w:r>
        <w:t xml:space="preserve">Source: </w:t>
      </w:r>
      <w:r>
        <w:tab/>
        <w:t xml:space="preserve">CEPII. </w:t>
      </w:r>
      <w:r w:rsidRPr="005D5E0C">
        <w:t>BACI</w:t>
      </w:r>
      <w:r>
        <w:t xml:space="preserve"> International Trade Database (January 2023). </w:t>
      </w:r>
      <w:r w:rsidRPr="00F36FCF">
        <w:t>http://www.cepii.fr/cepii/en/bdd_modele/presentation.asp?id=37</w:t>
      </w:r>
      <w:r>
        <w:t xml:space="preserve"> (accessed 19 June 2023).</w:t>
      </w:r>
    </w:p>
    <w:p w14:paraId="010FD6FF" w14:textId="50BDE80D" w:rsidR="00A11901" w:rsidRPr="00DF2384" w:rsidRDefault="00A11901" w:rsidP="00A11901">
      <w:pPr>
        <w:rPr>
          <w:color w:val="FF0000"/>
        </w:rPr>
      </w:pPr>
      <w:r>
        <w:t xml:space="preserve">The advantage of COMTRADE/BACI data is its granularity, reporting exports of products at the 6-digit level of the Harmonized </w:t>
      </w:r>
      <w:r w:rsidRPr="0076232C">
        <w:t>System (HS). It is possible to establish, therefore, that in 20</w:t>
      </w:r>
      <w:r w:rsidR="00745DA6" w:rsidRPr="0076232C">
        <w:t>21</w:t>
      </w:r>
      <w:r w:rsidRPr="0076232C">
        <w:t xml:space="preserve">, </w:t>
      </w:r>
      <w:r w:rsidR="00745DA6" w:rsidRPr="0076232C">
        <w:t>Kazakhstan</w:t>
      </w:r>
      <w:r w:rsidRPr="0076232C">
        <w:t xml:space="preserve">’s </w:t>
      </w:r>
      <w:r w:rsidR="00745DA6" w:rsidRPr="0076232C">
        <w:t>second-largest</w:t>
      </w:r>
      <w:r w:rsidRPr="0076232C">
        <w:t xml:space="preserve"> goods export </w:t>
      </w:r>
      <w:r w:rsidR="00745DA6" w:rsidRPr="0076232C">
        <w:t xml:space="preserve">after </w:t>
      </w:r>
      <w:r w:rsidR="001B0442">
        <w:t xml:space="preserve">crude </w:t>
      </w:r>
      <w:r w:rsidR="00745DA6" w:rsidRPr="0076232C">
        <w:t xml:space="preserve">oil </w:t>
      </w:r>
      <w:r w:rsidRPr="0076232C">
        <w:t>was “</w:t>
      </w:r>
      <w:r w:rsidR="00745DA6" w:rsidRPr="0076232C">
        <w:t>Metals: gold, semi-manufactured</w:t>
      </w:r>
      <w:r w:rsidRPr="0076232C">
        <w:t xml:space="preserve">” (HS code </w:t>
      </w:r>
      <w:r w:rsidR="00745DA6" w:rsidRPr="0076232C">
        <w:t>7108.13</w:t>
      </w:r>
      <w:r w:rsidRPr="0076232C">
        <w:t>), valued at $</w:t>
      </w:r>
      <w:r w:rsidR="00745DA6" w:rsidRPr="0076232C">
        <w:t>3.9</w:t>
      </w:r>
      <w:r w:rsidRPr="0076232C">
        <w:t xml:space="preserve"> billion. Product categories may be aggregated into broader categories if needed. The “chapter” of </w:t>
      </w:r>
      <w:r w:rsidR="00EC70BC" w:rsidRPr="0076232C">
        <w:t>7108.13</w:t>
      </w:r>
      <w:r w:rsidRPr="0076232C">
        <w:t xml:space="preserve">, for example, is </w:t>
      </w:r>
      <w:r w:rsidR="00EC70BC" w:rsidRPr="0076232C">
        <w:t>71</w:t>
      </w:r>
      <w:r w:rsidRPr="0076232C">
        <w:t>, “</w:t>
      </w:r>
      <w:r w:rsidR="00EC70BC" w:rsidRPr="0076232C">
        <w:t xml:space="preserve">Natural or cultured pearls, precious or semi-precious stones, precious metals, metals clad with precious metal and articles thereof; imitation, </w:t>
      </w:r>
      <w:proofErr w:type="spellStart"/>
      <w:r w:rsidR="00EC70BC" w:rsidRPr="0076232C">
        <w:t>jewellery</w:t>
      </w:r>
      <w:proofErr w:type="spellEnd"/>
      <w:r w:rsidR="00EC70BC" w:rsidRPr="0076232C">
        <w:t>; coin</w:t>
      </w:r>
      <w:r w:rsidRPr="0076232C">
        <w:t>”.</w:t>
      </w:r>
    </w:p>
    <w:p w14:paraId="12D9EF6C" w14:textId="71180A2C" w:rsidR="00C2222F" w:rsidRDefault="00000000" w:rsidP="00C2222F">
      <w:fldSimple w:instr=" REF _Ref77604920 ">
        <w:r w:rsidR="00F03ADA">
          <w:t xml:space="preserve">Figure </w:t>
        </w:r>
        <w:r w:rsidR="00F03ADA">
          <w:rPr>
            <w:noProof/>
          </w:rPr>
          <w:t>2</w:t>
        </w:r>
        <w:r w:rsidR="00F03ADA">
          <w:t>.</w:t>
        </w:r>
        <w:r w:rsidR="00F03ADA">
          <w:rPr>
            <w:noProof/>
          </w:rPr>
          <w:t>4</w:t>
        </w:r>
      </w:fldSimple>
      <w:r w:rsidR="00C2222F">
        <w:t xml:space="preserve"> examines the product make-up of </w:t>
      </w:r>
      <w:r w:rsidR="00DF2384">
        <w:t>Kazakhstan's</w:t>
      </w:r>
      <w:r w:rsidR="00C2222F">
        <w:t xml:space="preserve"> merchandise exports over 2002–20</w:t>
      </w:r>
      <w:r w:rsidR="00DF2384">
        <w:t>21</w:t>
      </w:r>
      <w:r w:rsidR="00C2222F">
        <w:t xml:space="preserve"> by aggregating HS codes into </w:t>
      </w:r>
      <w:r w:rsidR="00DF2384">
        <w:t>seven</w:t>
      </w:r>
      <w:r w:rsidR="00C2222F">
        <w:t xml:space="preserve"> broad groupings. Exports are overwhelmingly dominated by </w:t>
      </w:r>
      <w:r w:rsidR="00DF2384">
        <w:t>minerals</w:t>
      </w:r>
      <w:r w:rsidR="00C2222F">
        <w:t xml:space="preserve">, which in </w:t>
      </w:r>
      <w:r w:rsidR="00DF2384">
        <w:t>2021</w:t>
      </w:r>
      <w:r w:rsidR="00C2222F">
        <w:t xml:space="preserve"> accounted </w:t>
      </w:r>
      <w:r w:rsidR="00C2222F" w:rsidRPr="001B0442">
        <w:t>for 56</w:t>
      </w:r>
      <w:r w:rsidR="0076232C" w:rsidRPr="001B0442">
        <w:t>.4</w:t>
      </w:r>
      <w:r w:rsidR="00C2222F" w:rsidRPr="001B0442">
        <w:t>% of export value or $</w:t>
      </w:r>
      <w:r w:rsidR="0076232C" w:rsidRPr="001B0442">
        <w:t>30.</w:t>
      </w:r>
      <w:r w:rsidR="00C2222F" w:rsidRPr="001B0442">
        <w:t xml:space="preserve">5 billion. </w:t>
      </w:r>
      <w:r w:rsidR="00C2222F">
        <w:t xml:space="preserve">While down from its </w:t>
      </w:r>
      <w:r w:rsidR="00205C8B">
        <w:t>76.7%</w:t>
      </w:r>
      <w:r w:rsidR="00C2222F">
        <w:t xml:space="preserve"> share in 20</w:t>
      </w:r>
      <w:r w:rsidR="00205C8B">
        <w:t>13</w:t>
      </w:r>
      <w:r w:rsidR="00C2222F">
        <w:t xml:space="preserve">, it is still far larger than any other grouping. Within </w:t>
      </w:r>
      <w:r w:rsidR="00205C8B">
        <w:t>this group</w:t>
      </w:r>
      <w:r w:rsidR="00C2222F">
        <w:t xml:space="preserve">, </w:t>
      </w:r>
      <w:r w:rsidR="00205C8B">
        <w:t xml:space="preserve">the single largest product was of course crude oil (HS code </w:t>
      </w:r>
      <w:r w:rsidR="00205C8B" w:rsidRPr="00205C8B">
        <w:t>2709</w:t>
      </w:r>
      <w:r w:rsidR="00205C8B">
        <w:t>.</w:t>
      </w:r>
      <w:r w:rsidR="00205C8B" w:rsidRPr="00205C8B">
        <w:t>00</w:t>
      </w:r>
      <w:r w:rsidR="00205C8B">
        <w:t>)</w:t>
      </w:r>
      <w:r w:rsidR="003E3DA2">
        <w:t xml:space="preserve">, with a </w:t>
      </w:r>
      <w:r w:rsidR="003E3DA2">
        <w:lastRenderedPageBreak/>
        <w:t>40.4% share in 2021.</w:t>
      </w:r>
      <w:r w:rsidR="00205C8B">
        <w:t xml:space="preserve"> </w:t>
      </w:r>
      <w:r w:rsidR="00C2222F" w:rsidRPr="00142870">
        <w:t xml:space="preserve">This is largely oriented towards the European </w:t>
      </w:r>
      <w:r w:rsidR="00142870" w:rsidRPr="00142870">
        <w:t xml:space="preserve">market—particularly Greece and Germany—and the PRC. </w:t>
      </w:r>
      <w:r w:rsidR="00142870">
        <w:t>In 2021, Greece took 20.1% of Kazakhstan's crude oil exports while Germany took 16.1% and the PRC 10.0%. Other mining products like ores</w:t>
      </w:r>
      <w:r w:rsidR="00C855A0">
        <w:t xml:space="preserve"> are significant as well. In fact, while 20.4% of Kazakhstan's exports to the PRC comprise</w:t>
      </w:r>
      <w:r w:rsidR="00F04A36">
        <w:t>d</w:t>
      </w:r>
      <w:r w:rsidR="00C855A0">
        <w:t xml:space="preserve"> of crude oil,</w:t>
      </w:r>
      <w:r w:rsidR="00F04A36">
        <w:t xml:space="preserve"> a larger share of</w:t>
      </w:r>
      <w:r w:rsidR="00C855A0">
        <w:t xml:space="preserve"> 21.8% comprise</w:t>
      </w:r>
      <w:r w:rsidR="00F04A36">
        <w:t>d</w:t>
      </w:r>
      <w:r w:rsidR="00C855A0">
        <w:t xml:space="preserve"> of iron, copper, and other crude ores. </w:t>
      </w:r>
    </w:p>
    <w:p w14:paraId="403AEA61" w14:textId="43986250" w:rsidR="00C2222F" w:rsidRDefault="00C6601B" w:rsidP="00C2222F">
      <w:pPr>
        <w:pStyle w:val="Caption"/>
      </w:pPr>
      <w:bookmarkStart w:id="19" w:name="_Ref77604920"/>
      <w:bookmarkStart w:id="20" w:name="_Toc141689883"/>
      <w:r>
        <w:rPr>
          <w:noProof/>
        </w:rPr>
        <w:drawing>
          <wp:anchor distT="0" distB="0" distL="114300" distR="114300" simplePos="0" relativeHeight="251740160" behindDoc="0" locked="0" layoutInCell="1" allowOverlap="1" wp14:anchorId="21DB474B" wp14:editId="1851DA8B">
            <wp:simplePos x="0" y="0"/>
            <wp:positionH relativeFrom="column">
              <wp:posOffset>0</wp:posOffset>
            </wp:positionH>
            <wp:positionV relativeFrom="paragraph">
              <wp:posOffset>200025</wp:posOffset>
            </wp:positionV>
            <wp:extent cx="5731510" cy="4301490"/>
            <wp:effectExtent l="0" t="0" r="0" b="3810"/>
            <wp:wrapSquare wrapText="bothSides"/>
            <wp:docPr id="1150330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30435" name="Picture 1150330435"/>
                    <pic:cNvPicPr/>
                  </pic:nvPicPr>
                  <pic:blipFill>
                    <a:blip r:embed="rId11">
                      <a:extLst>
                        <a:ext uri="{28A0092B-C50C-407E-A947-70E740481C1C}">
                          <a14:useLocalDpi xmlns:a14="http://schemas.microsoft.com/office/drawing/2010/main" val="0"/>
                        </a:ext>
                      </a:extLst>
                    </a:blip>
                    <a:stretch>
                      <a:fillRect/>
                    </a:stretch>
                  </pic:blipFill>
                  <pic:spPr>
                    <a:xfrm>
                      <a:off x="0" y="0"/>
                      <a:ext cx="5731510" cy="4301490"/>
                    </a:xfrm>
                    <a:prstGeom prst="rect">
                      <a:avLst/>
                    </a:prstGeom>
                  </pic:spPr>
                </pic:pic>
              </a:graphicData>
            </a:graphic>
            <wp14:sizeRelH relativeFrom="page">
              <wp14:pctWidth>0</wp14:pctWidth>
            </wp14:sizeRelH>
            <wp14:sizeRelV relativeFrom="page">
              <wp14:pctHeight>0</wp14:pctHeight>
            </wp14:sizeRelV>
          </wp:anchor>
        </w:drawing>
      </w:r>
      <w:r w:rsidR="00C2222F">
        <w:t xml:space="preserve">Figure </w:t>
      </w:r>
      <w:fldSimple w:instr=" STYLEREF 1 \s ">
        <w:r w:rsidR="00F03ADA">
          <w:rPr>
            <w:noProof/>
          </w:rPr>
          <w:t>2</w:t>
        </w:r>
      </w:fldSimple>
      <w:r w:rsidR="003F26C2">
        <w:t>.</w:t>
      </w:r>
      <w:fldSimple w:instr=" SEQ Figure \* ARABIC \s 1 ">
        <w:r w:rsidR="00F03ADA">
          <w:rPr>
            <w:noProof/>
          </w:rPr>
          <w:t>4</w:t>
        </w:r>
      </w:fldSimple>
      <w:bookmarkEnd w:id="19"/>
      <w:r w:rsidR="00C2222F">
        <w:t xml:space="preserve">: </w:t>
      </w:r>
      <w:r>
        <w:t>Merchandise Exports by Broad Product Groupings, 2002–2021</w:t>
      </w:r>
      <w:bookmarkEnd w:id="20"/>
    </w:p>
    <w:p w14:paraId="6C763B5C" w14:textId="77777777" w:rsidR="00C6601B" w:rsidRDefault="00C6601B" w:rsidP="00C6601B">
      <w:pPr>
        <w:pStyle w:val="Notes"/>
      </w:pPr>
      <w:r>
        <w:t xml:space="preserve">Notes: </w:t>
      </w:r>
      <w:r>
        <w:tab/>
        <w:t>Broad product groupings are based on the chapters of the Harmonized System, 2002 edition. “Food” covers 01–24. “Minerals” covers 25–27, of which "crude oil" (</w:t>
      </w:r>
      <w:r w:rsidRPr="009A3864">
        <w:t>2709</w:t>
      </w:r>
      <w:r>
        <w:t>.</w:t>
      </w:r>
      <w:r w:rsidRPr="009A3864">
        <w:t>00</w:t>
      </w:r>
      <w:r>
        <w:t>), "natural gas" (</w:t>
      </w:r>
      <w:r w:rsidRPr="009A3864">
        <w:t>2711</w:t>
      </w:r>
      <w:r>
        <w:t>.</w:t>
      </w:r>
      <w:r w:rsidRPr="009A3864">
        <w:t>11</w:t>
      </w:r>
      <w:r>
        <w:t>,</w:t>
      </w:r>
      <w:r w:rsidRPr="009A3864">
        <w:t xml:space="preserve"> 2711</w:t>
      </w:r>
      <w:r>
        <w:t>.</w:t>
      </w:r>
      <w:r w:rsidRPr="009A3864">
        <w:t>21</w:t>
      </w:r>
      <w:r>
        <w:t>), and "ores" (</w:t>
      </w:r>
      <w:r w:rsidRPr="009A3864">
        <w:t>2601</w:t>
      </w:r>
      <w:r>
        <w:t>.</w:t>
      </w:r>
      <w:r w:rsidRPr="009A3864">
        <w:t>11</w:t>
      </w:r>
      <w:r>
        <w:t>–</w:t>
      </w:r>
      <w:r w:rsidRPr="009A3864">
        <w:t>2617</w:t>
      </w:r>
      <w:r>
        <w:t>.</w:t>
      </w:r>
      <w:r w:rsidRPr="009A3864">
        <w:t>90</w:t>
      </w:r>
      <w:r>
        <w:t>) are</w:t>
      </w:r>
      <w:r w:rsidRPr="00756D67">
        <w:t xml:space="preserve"> </w:t>
      </w:r>
      <w:r>
        <w:t>separately identified. “Chemicals” covers 28–38. "Metals" covers 72–83, of which "ferroalloys" (</w:t>
      </w:r>
      <w:r w:rsidRPr="00756D67">
        <w:t>7202</w:t>
      </w:r>
      <w:r>
        <w:t>.</w:t>
      </w:r>
      <w:r w:rsidRPr="00756D67">
        <w:t>11</w:t>
      </w:r>
      <w:r>
        <w:t>–</w:t>
      </w:r>
      <w:r w:rsidRPr="00756D67">
        <w:t>7202</w:t>
      </w:r>
      <w:r>
        <w:t>.</w:t>
      </w:r>
      <w:r w:rsidRPr="00756D67">
        <w:t>99</w:t>
      </w:r>
      <w:r>
        <w:t>) and "copper" (</w:t>
      </w:r>
      <w:r w:rsidRPr="00756D67">
        <w:t>7401</w:t>
      </w:r>
      <w:r>
        <w:t>.</w:t>
      </w:r>
      <w:r w:rsidRPr="00756D67">
        <w:t>10</w:t>
      </w:r>
      <w:r>
        <w:t>–</w:t>
      </w:r>
      <w:r w:rsidRPr="00756D67">
        <w:t>7419</w:t>
      </w:r>
      <w:r>
        <w:t>.</w:t>
      </w:r>
      <w:r w:rsidRPr="00756D67">
        <w:t>99</w:t>
      </w:r>
      <w:r>
        <w:t xml:space="preserve">) are separately identified. The remaining chapters are collected under "Others". </w:t>
      </w:r>
    </w:p>
    <w:p w14:paraId="0ED01AF5" w14:textId="77777777" w:rsidR="00C6601B" w:rsidRDefault="00C6601B" w:rsidP="00C6601B">
      <w:pPr>
        <w:pStyle w:val="NotesBottom"/>
      </w:pPr>
      <w:r>
        <w:t xml:space="preserve">Source: </w:t>
      </w:r>
      <w:r>
        <w:tab/>
        <w:t xml:space="preserve">CEPII. </w:t>
      </w:r>
      <w:r w:rsidRPr="005D5E0C">
        <w:t>BACI</w:t>
      </w:r>
      <w:r>
        <w:t xml:space="preserve"> International Trade Database (January 2023). </w:t>
      </w:r>
      <w:r w:rsidRPr="00F36FCF">
        <w:t>http://www.cepii.fr/cepii/en/bdd_modele/presentation.asp?id=37</w:t>
      </w:r>
      <w:r>
        <w:t xml:space="preserve"> (accessed 19 June 2023).</w:t>
      </w:r>
    </w:p>
    <w:p w14:paraId="39A11762" w14:textId="77777777" w:rsidR="00F04A36" w:rsidRPr="00142870" w:rsidRDefault="00F04A36" w:rsidP="00F04A36">
      <w:r>
        <w:t xml:space="preserve">Metals is Kazakhstan's second-largest export. Using the grouping defined in </w:t>
      </w:r>
      <w:r>
        <w:fldChar w:fldCharType="begin"/>
      </w:r>
      <w:r>
        <w:instrText xml:space="preserve"> REF _Ref77604920 \h </w:instrText>
      </w:r>
      <w:r>
        <w:fldChar w:fldCharType="separate"/>
      </w:r>
      <w:r>
        <w:t xml:space="preserve">Figure </w:t>
      </w:r>
      <w:r>
        <w:rPr>
          <w:noProof/>
        </w:rPr>
        <w:t>2</w:t>
      </w:r>
      <w:r>
        <w:t>.</w:t>
      </w:r>
      <w:r>
        <w:rPr>
          <w:noProof/>
        </w:rPr>
        <w:t>4</w:t>
      </w:r>
      <w:r>
        <w:fldChar w:fldCharType="end"/>
      </w:r>
      <w:r>
        <w:t xml:space="preserve">, this accounted for 21.1% of exports in 2021, amounting to $11.4 billion. This share is double the trough of about 10% seen in 2013, when the share of oil was at its peak. Europe is no longer Kazakhstan's primary market here: of its 2021 exports, 35.5% went to the PRC, 19.4% to the Russian Federation, and 10.0% to Turkey.  </w:t>
      </w:r>
    </w:p>
    <w:p w14:paraId="19704B39" w14:textId="66FF8F83" w:rsidR="00C2222F" w:rsidRDefault="006E6719" w:rsidP="00C2222F">
      <w:r>
        <w:t xml:space="preserve">With mining and metals routinely taking up over 80% of Kazakhstan's annual exports, </w:t>
      </w:r>
      <w:r w:rsidR="00C2222F">
        <w:t>the issue of diversification</w:t>
      </w:r>
      <w:r>
        <w:t xml:space="preserve"> becomes salient</w:t>
      </w:r>
      <w:r w:rsidR="00C2222F">
        <w:t xml:space="preserve">. Concentrating too much on only a few sectors or products poses risks to an economy since shocks to the dominant sector can more easily cause an economy-wide recession. </w:t>
      </w:r>
      <w:r w:rsidR="005A59F4">
        <w:t xml:space="preserve">Compounding this in Kazakhstan's case is the possibility </w:t>
      </w:r>
      <w:r w:rsidR="005A59F4">
        <w:lastRenderedPageBreak/>
        <w:t xml:space="preserve">of resource curse-type adverse effects (see </w:t>
      </w:r>
      <w:r w:rsidR="005A59F4">
        <w:fldChar w:fldCharType="begin"/>
      </w:r>
      <w:r w:rsidR="005A59F4">
        <w:instrText xml:space="preserve"> REF _Ref139901231 \h </w:instrText>
      </w:r>
      <w:r w:rsidR="005A59F4">
        <w:fldChar w:fldCharType="separate"/>
      </w:r>
      <w:r w:rsidR="00F03ADA" w:rsidRPr="00C30027">
        <w:t xml:space="preserve">Box </w:t>
      </w:r>
      <w:r w:rsidR="00F03ADA">
        <w:rPr>
          <w:noProof/>
        </w:rPr>
        <w:t>2</w:t>
      </w:r>
      <w:r w:rsidR="005A59F4">
        <w:fldChar w:fldCharType="end"/>
      </w:r>
      <w:r w:rsidR="005A59F4">
        <w:t>). To inform the discussion</w:t>
      </w:r>
      <w:r w:rsidR="00C2222F">
        <w:t xml:space="preserve">, </w:t>
      </w:r>
      <w:r w:rsidR="005A59F4">
        <w:t xml:space="preserve">some quantitative measure of concentration in Kazakhstan's exports basket is needed. This is served by </w:t>
      </w:r>
      <w:r w:rsidR="00C2222F">
        <w:t>the Herfindahl–Hirschman index (HHI)</w:t>
      </w:r>
      <w:r w:rsidR="005A59F4">
        <w:t xml:space="preserve">, </w:t>
      </w:r>
      <w:r w:rsidR="00C2222F">
        <w:t xml:space="preserve">computed </w:t>
      </w:r>
      <w:r w:rsidR="005A59F4">
        <w:t xml:space="preserve">here </w:t>
      </w:r>
      <w:r w:rsidR="00C2222F">
        <w:t>on the 2-digit level of HS product categories. See</w:t>
      </w:r>
      <w:r w:rsidR="00C2222F" w:rsidRPr="001508A2">
        <w:t xml:space="preserve"> </w:t>
      </w:r>
      <w:r w:rsidR="00C2222F" w:rsidRPr="001508A2">
        <w:fldChar w:fldCharType="begin"/>
      </w:r>
      <w:r w:rsidR="00C2222F" w:rsidRPr="001508A2">
        <w:instrText xml:space="preserve"> REF _Ref77687273 </w:instrText>
      </w:r>
      <w:r w:rsidR="001508A2" w:rsidRPr="001508A2">
        <w:instrText xml:space="preserve"> \* MERGEFORMAT </w:instrText>
      </w:r>
      <w:r w:rsidR="00C2222F" w:rsidRPr="001508A2">
        <w:fldChar w:fldCharType="separate"/>
      </w:r>
      <w:r w:rsidR="00F03ADA" w:rsidRPr="001508A2">
        <w:t xml:space="preserve">Box </w:t>
      </w:r>
      <w:r w:rsidR="00F03ADA">
        <w:rPr>
          <w:noProof/>
        </w:rPr>
        <w:t>3</w:t>
      </w:r>
      <w:r w:rsidR="00C2222F" w:rsidRPr="001508A2">
        <w:rPr>
          <w:noProof/>
        </w:rPr>
        <w:fldChar w:fldCharType="end"/>
      </w:r>
      <w:r w:rsidR="00C2222F">
        <w:t xml:space="preserve"> for more details on this methodology.</w:t>
      </w:r>
    </w:p>
    <w:tbl>
      <w:tblPr>
        <w:tblStyle w:val="TableGrid"/>
        <w:tblW w:w="0" w:type="auto"/>
        <w:tblLook w:val="04A0" w:firstRow="1" w:lastRow="0" w:firstColumn="1" w:lastColumn="0" w:noHBand="0" w:noVBand="1"/>
      </w:tblPr>
      <w:tblGrid>
        <w:gridCol w:w="9016"/>
      </w:tblGrid>
      <w:tr w:rsidR="00C2222F" w14:paraId="79DD6F65" w14:textId="77777777" w:rsidTr="00372C2E">
        <w:tc>
          <w:tcPr>
            <w:tcW w:w="9016" w:type="dxa"/>
          </w:tcPr>
          <w:p w14:paraId="04029204" w14:textId="3F898282" w:rsidR="00C2222F" w:rsidRPr="001508A2" w:rsidRDefault="00C2222F" w:rsidP="00372C2E">
            <w:pPr>
              <w:pStyle w:val="Caption"/>
            </w:pPr>
            <w:bookmarkStart w:id="21" w:name="_Ref77687273"/>
            <w:bookmarkStart w:id="22" w:name="_Toc141647973"/>
            <w:r w:rsidRPr="001508A2">
              <w:t xml:space="preserve">Box </w:t>
            </w:r>
            <w:fldSimple w:instr=" SEQ Box \* ARABIC ">
              <w:r w:rsidR="00F03ADA">
                <w:rPr>
                  <w:noProof/>
                </w:rPr>
                <w:t>3</w:t>
              </w:r>
            </w:fldSimple>
            <w:bookmarkEnd w:id="21"/>
            <w:r w:rsidRPr="001508A2">
              <w:t>: Export Diversification</w:t>
            </w:r>
            <w:bookmarkEnd w:id="22"/>
          </w:p>
          <w:p w14:paraId="71A861CA" w14:textId="777CCD12" w:rsidR="00C2222F" w:rsidRDefault="00C2222F" w:rsidP="00A72769">
            <w:pPr>
              <w:pStyle w:val="Box"/>
            </w:pPr>
            <w:r>
              <w:t>Export diversification refers to the diversity in products exported by an economy. To quantify this, this report uses a widely accepted measure of concentration, the Herfindahl–Hirschman index (HHI), computed by summing the squared share of each entity in the population in question</w:t>
            </w:r>
            <w:r w:rsidR="00183834">
              <w:t xml:space="preserve"> (</w:t>
            </w:r>
            <w:proofErr w:type="spellStart"/>
            <w:r w:rsidR="00183834">
              <w:t>Shughart</w:t>
            </w:r>
            <w:proofErr w:type="spellEnd"/>
            <w:r w:rsidR="00183834">
              <w:t xml:space="preserve"> 2008)</w:t>
            </w:r>
            <w:r>
              <w:t>. Formally,</w:t>
            </w:r>
          </w:p>
          <w:p w14:paraId="63BC8761" w14:textId="2E1638FF" w:rsidR="00C2222F" w:rsidRDefault="00C2222F" w:rsidP="00A72769">
            <w:pPr>
              <w:pStyle w:val="Box"/>
            </w:pPr>
            <m:oMathPara>
              <m:oMath>
                <m:r>
                  <w:rPr>
                    <w:rFonts w:ascii="Cambria Math" w:hAnsi="Cambria Math"/>
                  </w:rPr>
                  <m:t>HHI=</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e>
                </m:nary>
                <m:r>
                  <w:rPr>
                    <w:rFonts w:ascii="Cambria Math" w:hAnsi="Cambria Math"/>
                  </w:rPr>
                  <m:t>,</m:t>
                </m:r>
              </m:oMath>
            </m:oMathPara>
          </w:p>
          <w:p w14:paraId="4DF8AECE" w14:textId="77777777" w:rsidR="00C6601B" w:rsidRDefault="00C6601B" w:rsidP="00C6601B">
            <w:pPr>
              <w:pStyle w:val="Box"/>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share of entity </w:t>
            </w:r>
            <m:oMath>
              <m:r>
                <w:rPr>
                  <w:rFonts w:ascii="Cambria Math" w:hAnsi="Cambria Math"/>
                </w:rPr>
                <m:t>i</m:t>
              </m:r>
            </m:oMath>
            <w:r>
              <w:t xml:space="preserve"> and </w:t>
            </w:r>
            <m:oMath>
              <m:r>
                <w:rPr>
                  <w:rFonts w:ascii="Cambria Math" w:hAnsi="Cambria Math"/>
                </w:rPr>
                <m:t>N</m:t>
              </m:r>
            </m:oMath>
            <w:r>
              <w:t xml:space="preserve"> is the number of entities in the population. The HHI ranges from </w:t>
            </w:r>
            <m:oMath>
              <m:r>
                <w:rPr>
                  <w:rFonts w:ascii="Cambria Math" w:hAnsi="Cambria Math"/>
                </w:rPr>
                <m:t>1/N</m:t>
              </m:r>
            </m:oMath>
            <w:r>
              <w:t xml:space="preserve"> to 1, with higher numbers indicating greater concentration, or conversely, lower diversification. While originally devised to measure market concentration, it is applicable to a wide range of distribution-related contexts. </w:t>
            </w:r>
          </w:p>
          <w:p w14:paraId="5856E96E" w14:textId="77777777" w:rsidR="00C6601B" w:rsidRDefault="00C6601B" w:rsidP="00C6601B">
            <w:pPr>
              <w:pStyle w:val="Box"/>
            </w:pPr>
            <w:r>
              <w:t xml:space="preserve">The HHI is sensitive to </w:t>
            </w:r>
            <m:oMath>
              <m:r>
                <w:rPr>
                  <w:rFonts w:ascii="Cambria Math" w:hAnsi="Cambria Math"/>
                </w:rPr>
                <m:t>N</m:t>
              </m:r>
            </m:oMath>
            <w:r>
              <w:t xml:space="preserve">, with the index tending to be lower as </w:t>
            </w:r>
            <m:oMath>
              <m:r>
                <w:rPr>
                  <w:rFonts w:ascii="Cambria Math" w:hAnsi="Cambria Math"/>
                </w:rPr>
                <m:t>N</m:t>
              </m:r>
            </m:oMath>
            <w:r>
              <w:t xml:space="preserve"> gets bigger. For this report, the 4-digit level of the Hamonized System is used, which aggregates 5223 products into 1245 categories. </w:t>
            </w:r>
          </w:p>
          <w:p w14:paraId="0BA67B80" w14:textId="54707C97" w:rsidR="00A333C7" w:rsidRPr="00A035EA" w:rsidRDefault="00A333C7" w:rsidP="00A333C7">
            <w:pPr>
              <w:pStyle w:val="BoxReferences"/>
              <w:rPr>
                <w:b/>
                <w:bCs/>
              </w:rPr>
            </w:pPr>
            <w:r w:rsidRPr="00A035EA">
              <w:rPr>
                <w:b/>
                <w:bCs/>
              </w:rPr>
              <w:t>Reference</w:t>
            </w:r>
          </w:p>
          <w:p w14:paraId="3EC72B85" w14:textId="4C78A471" w:rsidR="00A333C7" w:rsidRDefault="00A333C7" w:rsidP="00A333C7">
            <w:pPr>
              <w:pStyle w:val="BoxReferences"/>
            </w:pPr>
            <w:r>
              <w:t xml:space="preserve">W. F. </w:t>
            </w:r>
            <w:proofErr w:type="spellStart"/>
            <w:r>
              <w:t>Shughart</w:t>
            </w:r>
            <w:proofErr w:type="spellEnd"/>
            <w:r>
              <w:t>.</w:t>
            </w:r>
            <w:r w:rsidRPr="00601F5B">
              <w:t xml:space="preserve"> </w:t>
            </w:r>
            <w:r>
              <w:t xml:space="preserve">2008. Industrial Concentration. In D. R. Henderson (Ed.), </w:t>
            </w:r>
            <w:r w:rsidR="003B1B51" w:rsidRPr="003B1B51">
              <w:rPr>
                <w:i/>
                <w:iCs/>
              </w:rPr>
              <w:t>Concise Encyclopedia of Economics</w:t>
            </w:r>
            <w:r w:rsidR="003B1B51" w:rsidRPr="003B1B51">
              <w:t>,</w:t>
            </w:r>
            <w:r w:rsidR="003B1B51">
              <w:t xml:space="preserve"> </w:t>
            </w:r>
            <w:r w:rsidR="003B1B51" w:rsidRPr="003B1B51">
              <w:t>2nd ed. Indianapolis</w:t>
            </w:r>
            <w:r w:rsidR="003B1B51">
              <w:t>, IN</w:t>
            </w:r>
            <w:r w:rsidR="003B1B51" w:rsidRPr="003B1B51">
              <w:t>: Library of Economics and Liberty.</w:t>
            </w:r>
          </w:p>
        </w:tc>
      </w:tr>
    </w:tbl>
    <w:p w14:paraId="3F076CFA" w14:textId="77777777" w:rsidR="00C2222F" w:rsidRDefault="00C2222F" w:rsidP="00C2222F"/>
    <w:p w14:paraId="5C1807AD" w14:textId="11AB5FB6" w:rsidR="005A59F4" w:rsidRDefault="00000000" w:rsidP="00C2222F">
      <w:fldSimple w:instr=" REF _Ref77687311 ">
        <w:r w:rsidR="00F03ADA">
          <w:t xml:space="preserve">Figure </w:t>
        </w:r>
        <w:r w:rsidR="00F03ADA">
          <w:rPr>
            <w:noProof/>
          </w:rPr>
          <w:t>2</w:t>
        </w:r>
        <w:r w:rsidR="00F03ADA">
          <w:t>.</w:t>
        </w:r>
        <w:r w:rsidR="00F03ADA">
          <w:rPr>
            <w:noProof/>
          </w:rPr>
          <w:t>5</w:t>
        </w:r>
      </w:fldSimple>
      <w:r w:rsidR="00C2222F">
        <w:t xml:space="preserve"> plots the exports HHI of </w:t>
      </w:r>
      <w:r w:rsidR="005A59F4">
        <w:t>Kazakhstan</w:t>
      </w:r>
      <w:r w:rsidR="00C2222F">
        <w:t xml:space="preserve"> along with, for comparison, its neighbors</w:t>
      </w:r>
      <w:r w:rsidR="005A59F4">
        <w:t xml:space="preserve"> the Kyrgyz Republic, the Russian Federation, and Uzbekistan</w:t>
      </w:r>
      <w:r w:rsidR="0070650D">
        <w:t>.</w:t>
      </w:r>
      <w:r w:rsidR="005A59F4">
        <w:t xml:space="preserve"> </w:t>
      </w:r>
      <w:r w:rsidR="0070650D">
        <w:t xml:space="preserve">For comparison with </w:t>
      </w:r>
      <w:r w:rsidR="00522CE1">
        <w:t>an</w:t>
      </w:r>
      <w:r w:rsidR="0070650D">
        <w:t xml:space="preserve">other </w:t>
      </w:r>
      <w:r w:rsidR="005A59F4">
        <w:t>oil exporter</w:t>
      </w:r>
      <w:r w:rsidR="0070650D">
        <w:t>,</w:t>
      </w:r>
      <w:r w:rsidR="005A59F4">
        <w:t xml:space="preserve"> Saudi Arabia</w:t>
      </w:r>
      <w:r w:rsidR="0070650D">
        <w:t xml:space="preserve"> is included as well</w:t>
      </w:r>
      <w:r w:rsidR="00C2222F">
        <w:t xml:space="preserve">. </w:t>
      </w:r>
      <w:r w:rsidR="00522CE1">
        <w:t>Note that a higher HHI implies greater concentration (or less diversity) in the country's exports basket. The plot shows that Kazakhstan does tend to be more concentrated than the other Central Asian economies</w:t>
      </w:r>
      <w:r w:rsidR="00F96A74">
        <w:t>, with its HHI index peaking in 2010 at 0.40</w:t>
      </w:r>
      <w:r w:rsidR="00522CE1">
        <w:t xml:space="preserve">. However, it appears to have been steadily diversifying since </w:t>
      </w:r>
      <w:r w:rsidR="00F96A74">
        <w:t>then</w:t>
      </w:r>
      <w:r w:rsidR="00522CE1">
        <w:t>, bringing its HHI down to 0.18 by 2021. The opposite trend had been happening in the Kyrgyz Republic, resulting in its 2021 HHI of 0.26 surpassing that of Kazakhstan's. In this regard, Kazakhstan has been more successful at diversification than Saudi Arabia, whose 2021 HHI still stands at 0.32. Nevertheless, it remains behind the Russian Federation, who both exports a lot of oil and gas while at the same time maintaining a fairly diverse export profile.</w:t>
      </w:r>
    </w:p>
    <w:p w14:paraId="44B328F2" w14:textId="0F1710E8" w:rsidR="00C2222F" w:rsidRDefault="0070650D" w:rsidP="00C2222F">
      <w:pPr>
        <w:pStyle w:val="Caption"/>
      </w:pPr>
      <w:bookmarkStart w:id="23" w:name="_Ref77687311"/>
      <w:bookmarkStart w:id="24" w:name="_Toc141689884"/>
      <w:r>
        <w:rPr>
          <w:noProof/>
        </w:rPr>
        <w:lastRenderedPageBreak/>
        <w:drawing>
          <wp:anchor distT="0" distB="0" distL="114300" distR="114300" simplePos="0" relativeHeight="251760640" behindDoc="0" locked="0" layoutInCell="1" allowOverlap="1" wp14:anchorId="7B74E1AB" wp14:editId="235AAD4C">
            <wp:simplePos x="0" y="0"/>
            <wp:positionH relativeFrom="column">
              <wp:posOffset>0</wp:posOffset>
            </wp:positionH>
            <wp:positionV relativeFrom="paragraph">
              <wp:posOffset>191868</wp:posOffset>
            </wp:positionV>
            <wp:extent cx="5731510" cy="3580765"/>
            <wp:effectExtent l="0" t="0" r="0" b="635"/>
            <wp:wrapSquare wrapText="bothSides"/>
            <wp:docPr id="1031734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34174" name="Picture 1031734174"/>
                    <pic:cNvPicPr/>
                  </pic:nvPicPr>
                  <pic:blipFill>
                    <a:blip r:embed="rId12">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C2222F">
        <w:t xml:space="preserve">Figure </w:t>
      </w:r>
      <w:fldSimple w:instr=" STYLEREF 1 \s ">
        <w:r w:rsidR="00F03ADA">
          <w:rPr>
            <w:noProof/>
          </w:rPr>
          <w:t>2</w:t>
        </w:r>
      </w:fldSimple>
      <w:r w:rsidR="003F26C2">
        <w:t>.</w:t>
      </w:r>
      <w:fldSimple w:instr=" SEQ Figure \* ARABIC \s 1 ">
        <w:r w:rsidR="00F03ADA">
          <w:rPr>
            <w:noProof/>
          </w:rPr>
          <w:t>5</w:t>
        </w:r>
      </w:fldSimple>
      <w:bookmarkEnd w:id="23"/>
      <w:r w:rsidR="00C2222F">
        <w:t xml:space="preserve">: </w:t>
      </w:r>
      <w:r w:rsidR="00C6601B">
        <w:t>Merchandise Export Concentration, Selected Countries, 2005, 2010, 2015, 2021</w:t>
      </w:r>
      <w:bookmarkEnd w:id="24"/>
    </w:p>
    <w:p w14:paraId="32A4CF0D" w14:textId="77777777" w:rsidR="00C6601B" w:rsidRDefault="00C6601B" w:rsidP="00C6601B">
      <w:pPr>
        <w:pStyle w:val="Notes"/>
      </w:pPr>
      <w:r>
        <w:t xml:space="preserve">Notes: </w:t>
      </w:r>
      <w:r>
        <w:tab/>
        <w:t xml:space="preserve">Diversification is measured by the Herfindahl–Hirschman index. A higher index implies more concentration. Products are disaggregated at the 2-digit level of the Harmonized System, 2002 edition. </w:t>
      </w:r>
    </w:p>
    <w:p w14:paraId="77A7E4CF" w14:textId="77777777" w:rsidR="00C6601B" w:rsidRPr="00B6680A" w:rsidRDefault="00C6601B" w:rsidP="00C6601B">
      <w:pPr>
        <w:pStyle w:val="NotesBottom"/>
      </w:pPr>
      <w:r>
        <w:t xml:space="preserve">Sources: </w:t>
      </w:r>
      <w:r>
        <w:tab/>
        <w:t xml:space="preserve">CEPII. </w:t>
      </w:r>
      <w:r w:rsidRPr="005D5E0C">
        <w:t>BACI</w:t>
      </w:r>
      <w:r>
        <w:t xml:space="preserve"> International Trade Database (January 2023). </w:t>
      </w:r>
      <w:r w:rsidRPr="00F36FCF">
        <w:t>http://www.cepii.fr/cepii/en/bdd_modele/presentation.asp?id=37</w:t>
      </w:r>
      <w:r>
        <w:t xml:space="preserve"> </w:t>
      </w:r>
      <w:r w:rsidRPr="00B6680A">
        <w:t>(accessed 19 June 2023); Asian Development Bank estimates.</w:t>
      </w:r>
    </w:p>
    <w:p w14:paraId="62F1CFB3" w14:textId="296B8BA3" w:rsidR="00C2222F" w:rsidRDefault="00A11901" w:rsidP="00B6680A">
      <w:r w:rsidRPr="00B6680A">
        <w:t xml:space="preserve">In summary, this chapter has </w:t>
      </w:r>
      <w:r w:rsidR="00C65C13" w:rsidRPr="00B6680A">
        <w:t>used traditional GDP and trade statistics to show that Kazakhstan is a classic case of an extractive resource economy. It exports a lot of crude oil and mineral ores, most of which go to the PRC, Europe, and its neighbors</w:t>
      </w:r>
      <w:r w:rsidRPr="00B6680A">
        <w:t xml:space="preserve"> </w:t>
      </w:r>
      <w:r w:rsidR="00C65C13" w:rsidRPr="00B6680A">
        <w:t xml:space="preserve">in Central Asia. This specialization has brought it economic riches—10% annual growth at its peak—but </w:t>
      </w:r>
      <w:r w:rsidR="00B6680A" w:rsidRPr="00B6680A">
        <w:t xml:space="preserve">at the cost of an undiversified economy whose fortunes are linked to the fluctuations of global oil prices. This has changed </w:t>
      </w:r>
      <w:r w:rsidR="00F04A36">
        <w:t xml:space="preserve">somewhat </w:t>
      </w:r>
      <w:r w:rsidR="00B6680A" w:rsidRPr="00B6680A">
        <w:t>since the end of the oil boom in 2014, but much remains to be done. It is interesting that metals manufactures are its second-largest export product. As succeeding chapters show, metals are a good candidate for instigating greater diversification</w:t>
      </w:r>
      <w:r w:rsidR="00F04A36">
        <w:t xml:space="preserve"> as it lends itself easily to global value chain participation</w:t>
      </w:r>
      <w:r w:rsidR="00B6680A" w:rsidRPr="00B6680A">
        <w:t>. To explore this idea, an assortment of new indicators must now be introduced.</w:t>
      </w:r>
      <w:r w:rsidR="00C2222F">
        <w:br w:type="page"/>
      </w:r>
    </w:p>
    <w:p w14:paraId="774989CC" w14:textId="1C1DB9BA" w:rsidR="00257BE5" w:rsidRPr="00017EDF" w:rsidRDefault="00EA4DE0" w:rsidP="00017EDF">
      <w:pPr>
        <w:pStyle w:val="Heading1"/>
      </w:pPr>
      <w:bookmarkStart w:id="25" w:name="_Toc141647941"/>
      <w:r>
        <w:lastRenderedPageBreak/>
        <w:t>Participation in Global Value Chains</w:t>
      </w:r>
      <w:bookmarkEnd w:id="25"/>
    </w:p>
    <w:p w14:paraId="5C6A9166" w14:textId="310F6A21" w:rsidR="0087355A" w:rsidRDefault="001D1F89" w:rsidP="00B2646F">
      <w:r>
        <w:t>A global value chain (GVC) is a type of production arrangement where different stages are undertaken in different territories, typically by different firms.</w:t>
      </w:r>
      <w:r w:rsidR="00AB3605">
        <w:rPr>
          <w:rStyle w:val="FootnoteReference"/>
        </w:rPr>
        <w:footnoteReference w:id="9"/>
      </w:r>
      <w:r>
        <w:t xml:space="preserve"> It intensified in the 1990s as several trends took shape, including leaps in information and communications technologies, the </w:t>
      </w:r>
      <w:r w:rsidR="00CE5722">
        <w:t xml:space="preserve">spread of market economies in </w:t>
      </w:r>
      <w:r>
        <w:t xml:space="preserve">the former Communist states, and perhaps most importantly, the opening up of the People’s Republic of China (PRC) to world trade. </w:t>
      </w:r>
      <w:r w:rsidR="00DB7163">
        <w:t xml:space="preserve">All these encouraged managers to relocate certain stages of production to where they can be performed at the lowest cost. </w:t>
      </w:r>
    </w:p>
    <w:p w14:paraId="13341C64" w14:textId="25DFB5DE" w:rsidR="00017EDF" w:rsidRDefault="00650FF7" w:rsidP="00B2646F">
      <w:r>
        <w:t>Among</w:t>
      </w:r>
      <w:r w:rsidR="0087355A">
        <w:t xml:space="preserve"> </w:t>
      </w:r>
      <w:r>
        <w:t xml:space="preserve">the </w:t>
      </w:r>
      <w:r w:rsidR="0087355A">
        <w:t>numerous consequences</w:t>
      </w:r>
      <w:r>
        <w:t xml:space="preserve"> of GVCs is</w:t>
      </w:r>
      <w:r w:rsidR="0087355A">
        <w:t xml:space="preserve"> statistical. </w:t>
      </w:r>
      <w:r w:rsidR="00770D9D">
        <w:t>Trade is generally reported in gross</w:t>
      </w:r>
      <w:r w:rsidR="00CE61F5">
        <w:t xml:space="preserve"> </w:t>
      </w:r>
      <w:r w:rsidR="00770D9D">
        <w:t xml:space="preserve">bilateral terms: </w:t>
      </w:r>
      <w:r w:rsidR="00CE61F5">
        <w:t>country</w:t>
      </w:r>
      <w:r w:rsidR="00770D9D">
        <w:t xml:space="preserve"> A’s exports to </w:t>
      </w:r>
      <w:r w:rsidR="00CE61F5">
        <w:t xml:space="preserve">country </w:t>
      </w:r>
      <w:r w:rsidR="00770D9D">
        <w:t>B. GVCs complicate this in two ways. First, some of A’s exports may contain value</w:t>
      </w:r>
      <w:r w:rsidR="00CE61F5">
        <w:t xml:space="preserve"> </w:t>
      </w:r>
      <w:r w:rsidR="00770D9D">
        <w:t>added that did not originate in A. Second, not all of A’s exports to B are finally consumed in B.</w:t>
      </w:r>
      <w:r w:rsidR="00DA601C">
        <w:t xml:space="preserve"> Imported inputs on the one hand and reexports on the other mean that third </w:t>
      </w:r>
      <w:r w:rsidR="00CE61F5">
        <w:t>countries</w:t>
      </w:r>
      <w:r w:rsidR="00DA601C">
        <w:t xml:space="preserve"> may have an indirect relationship with each other via the bilateral link between A and B, relationships that are hidden in </w:t>
      </w:r>
      <w:r w:rsidR="00C57619">
        <w:t xml:space="preserve">standard </w:t>
      </w:r>
      <w:r w:rsidR="00DA601C">
        <w:t xml:space="preserve">trade data. </w:t>
      </w:r>
    </w:p>
    <w:p w14:paraId="4522558C" w14:textId="4E9CD736" w:rsidR="00B2646F" w:rsidRDefault="00D435B5" w:rsidP="00870F65">
      <w:pPr>
        <w:rPr>
          <w:rFonts w:eastAsia="Calibri" w:cstheme="minorHAnsi"/>
          <w:color w:val="000000" w:themeColor="text1"/>
          <w:szCs w:val="22"/>
        </w:rPr>
      </w:pPr>
      <w:r>
        <w:rPr>
          <w:rFonts w:eastAsia="Calibri" w:cstheme="minorHAnsi"/>
          <w:color w:val="000000" w:themeColor="text1"/>
          <w:szCs w:val="22"/>
        </w:rPr>
        <w:t xml:space="preserve">This chapter explores </w:t>
      </w:r>
      <w:r w:rsidR="00596D31">
        <w:rPr>
          <w:rFonts w:eastAsia="Calibri" w:cstheme="minorHAnsi"/>
          <w:color w:val="000000" w:themeColor="text1"/>
          <w:szCs w:val="22"/>
        </w:rPr>
        <w:t>Kazakhstan</w:t>
      </w:r>
      <w:r>
        <w:rPr>
          <w:rFonts w:eastAsia="Calibri" w:cstheme="minorHAnsi"/>
          <w:color w:val="000000" w:themeColor="text1"/>
          <w:szCs w:val="22"/>
        </w:rPr>
        <w:t xml:space="preserve">’s engagement with GVCs by </w:t>
      </w:r>
      <w:r w:rsidR="00414CE0">
        <w:rPr>
          <w:rFonts w:eastAsia="Calibri" w:cstheme="minorHAnsi"/>
          <w:color w:val="000000" w:themeColor="text1"/>
          <w:szCs w:val="22"/>
        </w:rPr>
        <w:t>combining</w:t>
      </w:r>
      <w:r>
        <w:rPr>
          <w:rFonts w:eastAsia="Calibri" w:cstheme="minorHAnsi"/>
          <w:color w:val="000000" w:themeColor="text1"/>
          <w:szCs w:val="22"/>
        </w:rPr>
        <w:t xml:space="preserve"> the rich information found in the Asian Development Bank Multiregional Input–Output (</w:t>
      </w:r>
      <w:r w:rsidR="0047487D">
        <w:rPr>
          <w:rFonts w:eastAsia="Calibri" w:cstheme="minorHAnsi"/>
          <w:color w:val="000000" w:themeColor="text1"/>
          <w:szCs w:val="22"/>
        </w:rPr>
        <w:t xml:space="preserve">ADB </w:t>
      </w:r>
      <w:r>
        <w:rPr>
          <w:rFonts w:eastAsia="Calibri" w:cstheme="minorHAnsi"/>
          <w:color w:val="000000" w:themeColor="text1"/>
          <w:szCs w:val="22"/>
        </w:rPr>
        <w:t>MRIO) Database</w:t>
      </w:r>
      <w:r w:rsidR="00414CE0">
        <w:rPr>
          <w:rFonts w:eastAsia="Calibri" w:cstheme="minorHAnsi"/>
          <w:color w:val="000000" w:themeColor="text1"/>
          <w:szCs w:val="22"/>
        </w:rPr>
        <w:t xml:space="preserve"> with </w:t>
      </w:r>
      <w:r w:rsidR="00493C5F">
        <w:rPr>
          <w:rFonts w:eastAsia="Calibri" w:cstheme="minorHAnsi"/>
          <w:color w:val="000000" w:themeColor="text1"/>
          <w:szCs w:val="22"/>
        </w:rPr>
        <w:t xml:space="preserve">the </w:t>
      </w:r>
      <w:r w:rsidR="00414CE0">
        <w:rPr>
          <w:rFonts w:eastAsia="Calibri" w:cstheme="minorHAnsi"/>
          <w:color w:val="000000" w:themeColor="text1"/>
          <w:szCs w:val="22"/>
        </w:rPr>
        <w:t xml:space="preserve">GVC-focused input–output models </w:t>
      </w:r>
      <w:r w:rsidR="00493C5F">
        <w:rPr>
          <w:rFonts w:eastAsia="Calibri" w:cstheme="minorHAnsi"/>
          <w:color w:val="000000" w:themeColor="text1"/>
          <w:szCs w:val="22"/>
        </w:rPr>
        <w:t xml:space="preserve">that have been </w:t>
      </w:r>
      <w:r w:rsidR="00414CE0">
        <w:rPr>
          <w:rFonts w:eastAsia="Calibri" w:cstheme="minorHAnsi"/>
          <w:color w:val="000000" w:themeColor="text1"/>
          <w:szCs w:val="22"/>
        </w:rPr>
        <w:t xml:space="preserve">developed in the literature. The </w:t>
      </w:r>
      <w:r w:rsidR="00D129C2">
        <w:rPr>
          <w:rFonts w:eastAsia="Calibri" w:cstheme="minorHAnsi"/>
          <w:color w:val="000000" w:themeColor="text1"/>
          <w:szCs w:val="22"/>
        </w:rPr>
        <w:t xml:space="preserve">ADB </w:t>
      </w:r>
      <w:r w:rsidR="00414CE0">
        <w:rPr>
          <w:rFonts w:eastAsia="Calibri" w:cstheme="minorHAnsi"/>
          <w:color w:val="000000" w:themeColor="text1"/>
          <w:szCs w:val="22"/>
        </w:rPr>
        <w:t xml:space="preserve">MRIO is available for the years </w:t>
      </w:r>
      <w:r w:rsidR="00D9006C">
        <w:rPr>
          <w:rFonts w:eastAsia="Calibri" w:cstheme="minorHAnsi"/>
          <w:color w:val="000000" w:themeColor="text1"/>
          <w:szCs w:val="22"/>
        </w:rPr>
        <w:t>2017</w:t>
      </w:r>
      <w:r w:rsidR="00414CE0">
        <w:rPr>
          <w:rFonts w:eastAsia="Calibri" w:cstheme="minorHAnsi"/>
          <w:color w:val="000000" w:themeColor="text1"/>
          <w:szCs w:val="22"/>
        </w:rPr>
        <w:t>–202</w:t>
      </w:r>
      <w:r w:rsidR="00D9006C">
        <w:rPr>
          <w:rFonts w:eastAsia="Calibri" w:cstheme="minorHAnsi"/>
          <w:color w:val="000000" w:themeColor="text1"/>
          <w:szCs w:val="22"/>
        </w:rPr>
        <w:t>2</w:t>
      </w:r>
      <w:r w:rsidR="00414CE0">
        <w:rPr>
          <w:rFonts w:eastAsia="Calibri" w:cstheme="minorHAnsi"/>
          <w:color w:val="000000" w:themeColor="text1"/>
          <w:szCs w:val="22"/>
        </w:rPr>
        <w:t xml:space="preserve"> and covers </w:t>
      </w:r>
      <w:r w:rsidR="00D9006C">
        <w:rPr>
          <w:rFonts w:eastAsia="Calibri" w:cstheme="minorHAnsi"/>
          <w:color w:val="000000" w:themeColor="text1"/>
          <w:szCs w:val="22"/>
        </w:rPr>
        <w:t>7</w:t>
      </w:r>
      <w:r w:rsidR="00414CE0">
        <w:rPr>
          <w:rFonts w:eastAsia="Calibri" w:cstheme="minorHAnsi"/>
          <w:color w:val="000000" w:themeColor="text1"/>
          <w:szCs w:val="22"/>
        </w:rPr>
        <w:t xml:space="preserve">2 economies, including </w:t>
      </w:r>
      <w:r w:rsidR="002E3AAC" w:rsidRPr="002E3AAC">
        <w:rPr>
          <w:rFonts w:eastAsia="Calibri" w:cstheme="minorHAnsi"/>
          <w:szCs w:val="22"/>
        </w:rPr>
        <w:t>48</w:t>
      </w:r>
      <w:r w:rsidR="007655DD" w:rsidRPr="002E3AAC">
        <w:rPr>
          <w:rFonts w:eastAsia="Calibri" w:cstheme="minorHAnsi"/>
          <w:szCs w:val="22"/>
        </w:rPr>
        <w:t xml:space="preserve"> </w:t>
      </w:r>
      <w:r w:rsidR="002E3AAC">
        <w:rPr>
          <w:rFonts w:eastAsia="Calibri" w:cstheme="minorHAnsi"/>
          <w:szCs w:val="22"/>
        </w:rPr>
        <w:t xml:space="preserve">of the 68 </w:t>
      </w:r>
      <w:r w:rsidR="007655DD">
        <w:rPr>
          <w:rFonts w:eastAsia="Calibri" w:cstheme="minorHAnsi"/>
          <w:color w:val="000000" w:themeColor="text1"/>
          <w:szCs w:val="22"/>
        </w:rPr>
        <w:t xml:space="preserve">ADB member </w:t>
      </w:r>
      <w:r w:rsidR="002E3AAC">
        <w:rPr>
          <w:rFonts w:eastAsia="Calibri" w:cstheme="minorHAnsi"/>
          <w:color w:val="000000" w:themeColor="text1"/>
          <w:szCs w:val="22"/>
        </w:rPr>
        <w:t>countries</w:t>
      </w:r>
      <w:r w:rsidR="007655DD">
        <w:rPr>
          <w:rFonts w:eastAsia="Calibri" w:cstheme="minorHAnsi"/>
          <w:color w:val="000000" w:themeColor="text1"/>
          <w:szCs w:val="22"/>
        </w:rPr>
        <w:t>.</w:t>
      </w:r>
      <w:r w:rsidR="00B636F1">
        <w:rPr>
          <w:rFonts w:eastAsia="Calibri" w:cstheme="minorHAnsi"/>
          <w:color w:val="000000" w:themeColor="text1"/>
          <w:szCs w:val="22"/>
        </w:rPr>
        <w:t xml:space="preserve"> </w:t>
      </w:r>
      <w:r w:rsidR="00D9006C">
        <w:rPr>
          <w:rFonts w:eastAsia="Calibri" w:cstheme="minorHAnsi"/>
          <w:color w:val="000000" w:themeColor="text1"/>
          <w:szCs w:val="22"/>
        </w:rPr>
        <w:t xml:space="preserve">Tables are also available for the years 2000 and 2007–2016, albeit for a smaller set of 62 economies. </w:t>
      </w:r>
      <w:r w:rsidR="0087414F">
        <w:rPr>
          <w:rFonts w:eastAsia="Calibri" w:cstheme="minorHAnsi"/>
          <w:color w:val="000000" w:themeColor="text1"/>
          <w:szCs w:val="22"/>
        </w:rPr>
        <w:t xml:space="preserve">Each country's economy is exhaustively divided into 35 sectors, meaning unlike the previous chapter, trade in both goods and services will be part of the analysis. </w:t>
      </w:r>
      <w:r w:rsidR="00B636F1">
        <w:rPr>
          <w:rFonts w:eastAsia="Calibri" w:cstheme="minorHAnsi"/>
          <w:color w:val="000000" w:themeColor="text1"/>
          <w:szCs w:val="22"/>
        </w:rPr>
        <w:t xml:space="preserve">More details on </w:t>
      </w:r>
      <w:r w:rsidR="0087414F">
        <w:rPr>
          <w:rFonts w:eastAsia="Calibri" w:cstheme="minorHAnsi"/>
          <w:color w:val="000000" w:themeColor="text1"/>
          <w:szCs w:val="22"/>
        </w:rPr>
        <w:t xml:space="preserve">the MRIO </w:t>
      </w:r>
      <w:r w:rsidR="00B636F1">
        <w:rPr>
          <w:rFonts w:eastAsia="Calibri" w:cstheme="minorHAnsi"/>
          <w:color w:val="000000" w:themeColor="text1"/>
          <w:szCs w:val="22"/>
        </w:rPr>
        <w:t xml:space="preserve">database </w:t>
      </w:r>
      <w:r w:rsidR="00FA6B78">
        <w:rPr>
          <w:rFonts w:eastAsia="Calibri" w:cstheme="minorHAnsi"/>
          <w:color w:val="000000" w:themeColor="text1"/>
          <w:szCs w:val="22"/>
        </w:rPr>
        <w:t>are</w:t>
      </w:r>
      <w:r w:rsidR="00B636F1">
        <w:rPr>
          <w:rFonts w:eastAsia="Calibri" w:cstheme="minorHAnsi"/>
          <w:color w:val="000000" w:themeColor="text1"/>
          <w:szCs w:val="22"/>
        </w:rPr>
        <w:t xml:space="preserve"> given in </w:t>
      </w:r>
      <w:r w:rsidR="00CE61F5">
        <w:rPr>
          <w:rFonts w:eastAsia="Calibri" w:cstheme="minorHAnsi"/>
          <w:color w:val="000000" w:themeColor="text1"/>
          <w:szCs w:val="22"/>
        </w:rPr>
        <w:fldChar w:fldCharType="begin"/>
      </w:r>
      <w:r w:rsidR="00CE61F5">
        <w:rPr>
          <w:rFonts w:eastAsia="Calibri" w:cstheme="minorHAnsi"/>
          <w:color w:val="000000" w:themeColor="text1"/>
          <w:szCs w:val="22"/>
        </w:rPr>
        <w:instrText xml:space="preserve"> REF _Ref82529671 </w:instrText>
      </w:r>
      <w:r w:rsidR="00CE61F5">
        <w:rPr>
          <w:rFonts w:eastAsia="Calibri" w:cstheme="minorHAnsi"/>
          <w:color w:val="000000" w:themeColor="text1"/>
          <w:szCs w:val="22"/>
        </w:rPr>
        <w:fldChar w:fldCharType="separate"/>
      </w:r>
      <w:r w:rsidR="00F03ADA">
        <w:t xml:space="preserve">Box </w:t>
      </w:r>
      <w:r w:rsidR="00F03ADA">
        <w:rPr>
          <w:noProof/>
        </w:rPr>
        <w:t>1</w:t>
      </w:r>
      <w:r w:rsidR="00CE61F5">
        <w:rPr>
          <w:rFonts w:eastAsia="Calibri" w:cstheme="minorHAnsi"/>
          <w:color w:val="000000" w:themeColor="text1"/>
          <w:szCs w:val="22"/>
        </w:rPr>
        <w:fldChar w:fldCharType="end"/>
      </w:r>
      <w:r w:rsidR="00CE61F5">
        <w:rPr>
          <w:rFonts w:eastAsia="Calibri" w:cstheme="minorHAnsi"/>
          <w:color w:val="000000" w:themeColor="text1"/>
          <w:szCs w:val="22"/>
        </w:rPr>
        <w:t>.</w:t>
      </w:r>
    </w:p>
    <w:p w14:paraId="7E267811" w14:textId="220393A4" w:rsidR="00B64F39" w:rsidRDefault="00B64F39" w:rsidP="00870F65">
      <w:pPr>
        <w:rPr>
          <w:rFonts w:eastAsia="Calibri" w:cstheme="minorHAnsi"/>
          <w:color w:val="000000" w:themeColor="text1"/>
          <w:szCs w:val="22"/>
        </w:rPr>
      </w:pPr>
      <w:r>
        <w:rPr>
          <w:rFonts w:eastAsia="Calibri" w:cstheme="minorHAnsi"/>
          <w:color w:val="000000" w:themeColor="text1"/>
          <w:szCs w:val="22"/>
        </w:rPr>
        <w:t>Accounting for intersectoral linkages allows this chapter to take a value</w:t>
      </w:r>
      <w:r w:rsidR="00E030CD">
        <w:rPr>
          <w:rFonts w:eastAsia="Calibri" w:cstheme="minorHAnsi"/>
          <w:color w:val="000000" w:themeColor="text1"/>
          <w:szCs w:val="22"/>
        </w:rPr>
        <w:t xml:space="preserve"> </w:t>
      </w:r>
      <w:r>
        <w:rPr>
          <w:rFonts w:eastAsia="Calibri" w:cstheme="minorHAnsi"/>
          <w:color w:val="000000" w:themeColor="text1"/>
          <w:szCs w:val="22"/>
        </w:rPr>
        <w:t>added ap</w:t>
      </w:r>
      <w:r w:rsidR="00993DE9">
        <w:rPr>
          <w:rFonts w:eastAsia="Calibri" w:cstheme="minorHAnsi"/>
          <w:color w:val="000000" w:themeColor="text1"/>
          <w:szCs w:val="22"/>
        </w:rPr>
        <w:t>p</w:t>
      </w:r>
      <w:r>
        <w:rPr>
          <w:rFonts w:eastAsia="Calibri" w:cstheme="minorHAnsi"/>
          <w:color w:val="000000" w:themeColor="text1"/>
          <w:szCs w:val="22"/>
        </w:rPr>
        <w:t xml:space="preserve">roach to </w:t>
      </w:r>
      <w:r w:rsidR="00D9006C">
        <w:rPr>
          <w:rFonts w:eastAsia="Calibri" w:cstheme="minorHAnsi"/>
          <w:color w:val="000000" w:themeColor="text1"/>
          <w:szCs w:val="22"/>
        </w:rPr>
        <w:t>Kazakhstan</w:t>
      </w:r>
      <w:r>
        <w:rPr>
          <w:rFonts w:eastAsia="Calibri" w:cstheme="minorHAnsi"/>
          <w:color w:val="000000" w:themeColor="text1"/>
          <w:szCs w:val="22"/>
        </w:rPr>
        <w:t xml:space="preserve">’s trade. </w:t>
      </w:r>
      <w:r w:rsidR="00E27C43">
        <w:rPr>
          <w:rFonts w:eastAsia="Calibri" w:cstheme="minorHAnsi"/>
          <w:color w:val="000000" w:themeColor="text1"/>
          <w:szCs w:val="22"/>
        </w:rPr>
        <w:t>This begins with a careful decomposition of its exports into various value</w:t>
      </w:r>
      <w:r w:rsidR="00E030CD">
        <w:rPr>
          <w:rFonts w:eastAsia="Calibri" w:cstheme="minorHAnsi"/>
          <w:color w:val="000000" w:themeColor="text1"/>
          <w:szCs w:val="22"/>
        </w:rPr>
        <w:t xml:space="preserve"> </w:t>
      </w:r>
      <w:r w:rsidR="00E27C43">
        <w:rPr>
          <w:rFonts w:eastAsia="Calibri" w:cstheme="minorHAnsi"/>
          <w:color w:val="000000" w:themeColor="text1"/>
          <w:szCs w:val="22"/>
        </w:rPr>
        <w:t>added categories. Using the methodology in ADB (2021), gross exports are divided into those whose value</w:t>
      </w:r>
      <w:r w:rsidR="00446460">
        <w:rPr>
          <w:rFonts w:eastAsia="Calibri" w:cstheme="minorHAnsi"/>
          <w:color w:val="000000" w:themeColor="text1"/>
          <w:szCs w:val="22"/>
        </w:rPr>
        <w:t xml:space="preserve"> </w:t>
      </w:r>
      <w:r w:rsidR="00E27C43">
        <w:rPr>
          <w:rFonts w:eastAsia="Calibri" w:cstheme="minorHAnsi"/>
          <w:color w:val="000000" w:themeColor="text1"/>
          <w:szCs w:val="22"/>
        </w:rPr>
        <w:t>added originated domestically (DVA), those that originated from foreign sources (FVA), and those that did not originate from value</w:t>
      </w:r>
      <w:r w:rsidR="00446460">
        <w:rPr>
          <w:rFonts w:eastAsia="Calibri" w:cstheme="minorHAnsi"/>
          <w:color w:val="000000" w:themeColor="text1"/>
          <w:szCs w:val="22"/>
        </w:rPr>
        <w:t xml:space="preserve"> </w:t>
      </w:r>
      <w:r w:rsidR="00E27C43">
        <w:rPr>
          <w:rFonts w:eastAsia="Calibri" w:cstheme="minorHAnsi"/>
          <w:color w:val="000000" w:themeColor="text1"/>
          <w:szCs w:val="22"/>
        </w:rPr>
        <w:t>added at all. The last, called pure double-counting (PDC), refers to duplicated recordings of the same value</w:t>
      </w:r>
      <w:r w:rsidR="00446460">
        <w:rPr>
          <w:rFonts w:eastAsia="Calibri" w:cstheme="minorHAnsi"/>
          <w:color w:val="000000" w:themeColor="text1"/>
          <w:szCs w:val="22"/>
        </w:rPr>
        <w:t xml:space="preserve"> </w:t>
      </w:r>
      <w:r w:rsidR="00E27C43">
        <w:rPr>
          <w:rFonts w:eastAsia="Calibri" w:cstheme="minorHAnsi"/>
          <w:color w:val="000000" w:themeColor="text1"/>
          <w:szCs w:val="22"/>
        </w:rPr>
        <w:t xml:space="preserve">added crossing the same border more than once. DVA, in turn, is further divided into those that are directly absorbed by the importer (DAVAX), those that are reexported by the importer and eventually absorbed abroad (REX), and those that are reexported by the importer and </w:t>
      </w:r>
      <w:r w:rsidR="00E27C43">
        <w:rPr>
          <w:rFonts w:eastAsia="Calibri" w:cstheme="minorHAnsi"/>
          <w:color w:val="000000" w:themeColor="text1"/>
          <w:szCs w:val="22"/>
        </w:rPr>
        <w:lastRenderedPageBreak/>
        <w:t xml:space="preserve">eventually returns to and is consumed by the exporter (“reflection”, or REF). See </w:t>
      </w:r>
      <w:r w:rsidR="004816C1">
        <w:rPr>
          <w:rFonts w:eastAsia="Calibri" w:cstheme="minorHAnsi"/>
          <w:color w:val="000000" w:themeColor="text1"/>
          <w:szCs w:val="22"/>
        </w:rPr>
        <w:fldChar w:fldCharType="begin"/>
      </w:r>
      <w:r w:rsidR="004816C1">
        <w:rPr>
          <w:rFonts w:eastAsia="Calibri" w:cstheme="minorHAnsi"/>
          <w:color w:val="000000" w:themeColor="text1"/>
          <w:szCs w:val="22"/>
        </w:rPr>
        <w:instrText xml:space="preserve"> REF _Ref77751741 </w:instrText>
      </w:r>
      <w:r w:rsidR="004816C1">
        <w:rPr>
          <w:rFonts w:eastAsia="Calibri" w:cstheme="minorHAnsi"/>
          <w:color w:val="000000" w:themeColor="text1"/>
          <w:szCs w:val="22"/>
        </w:rPr>
        <w:fldChar w:fldCharType="separate"/>
      </w:r>
      <w:r w:rsidR="00F03ADA" w:rsidRPr="009F0FF5">
        <w:t xml:space="preserve">Box </w:t>
      </w:r>
      <w:r w:rsidR="00F03ADA">
        <w:rPr>
          <w:noProof/>
        </w:rPr>
        <w:t>4</w:t>
      </w:r>
      <w:r w:rsidR="004816C1">
        <w:rPr>
          <w:rFonts w:eastAsia="Calibri" w:cstheme="minorHAnsi"/>
          <w:color w:val="000000" w:themeColor="text1"/>
          <w:szCs w:val="22"/>
        </w:rPr>
        <w:fldChar w:fldCharType="end"/>
      </w:r>
      <w:r w:rsidR="004816C1">
        <w:rPr>
          <w:rFonts w:eastAsia="Calibri" w:cstheme="minorHAnsi"/>
          <w:color w:val="000000" w:themeColor="text1"/>
          <w:szCs w:val="22"/>
        </w:rPr>
        <w:t xml:space="preserve"> </w:t>
      </w:r>
      <w:r w:rsidR="00E27C43">
        <w:rPr>
          <w:rFonts w:eastAsia="Calibri" w:cstheme="minorHAnsi"/>
          <w:color w:val="000000" w:themeColor="text1"/>
          <w:szCs w:val="22"/>
        </w:rPr>
        <w:t xml:space="preserve">for more details on this framework. </w:t>
      </w:r>
    </w:p>
    <w:tbl>
      <w:tblPr>
        <w:tblStyle w:val="TableGrid"/>
        <w:tblW w:w="0" w:type="auto"/>
        <w:tblLook w:val="04A0" w:firstRow="1" w:lastRow="0" w:firstColumn="1" w:lastColumn="0" w:noHBand="0" w:noVBand="1"/>
      </w:tblPr>
      <w:tblGrid>
        <w:gridCol w:w="9016"/>
      </w:tblGrid>
      <w:tr w:rsidR="00F72D1B" w14:paraId="749BDB60" w14:textId="77777777" w:rsidTr="00B35725">
        <w:tc>
          <w:tcPr>
            <w:tcW w:w="9016" w:type="dxa"/>
          </w:tcPr>
          <w:p w14:paraId="640D2EFE" w14:textId="09F3DD0F" w:rsidR="00F72D1B" w:rsidRPr="009F0FF5" w:rsidRDefault="00F72D1B" w:rsidP="009F0FF5">
            <w:pPr>
              <w:pStyle w:val="Caption"/>
            </w:pPr>
            <w:bookmarkStart w:id="26" w:name="_Ref77751741"/>
            <w:bookmarkStart w:id="27" w:name="_Toc141647974"/>
            <w:r w:rsidRPr="009F0FF5">
              <w:t xml:space="preserve">Box </w:t>
            </w:r>
            <w:fldSimple w:instr=" SEQ Box \* ARABIC ">
              <w:r w:rsidR="00F03ADA">
                <w:rPr>
                  <w:noProof/>
                </w:rPr>
                <w:t>4</w:t>
              </w:r>
            </w:fldSimple>
            <w:bookmarkEnd w:id="26"/>
            <w:r w:rsidRPr="009F0FF5">
              <w:t>: Decomposing Exports into Value-Added Categories</w:t>
            </w:r>
            <w:bookmarkEnd w:id="27"/>
          </w:p>
          <w:p w14:paraId="46BF934F" w14:textId="63D28968" w:rsidR="00F72D1B" w:rsidRPr="00601F5B" w:rsidRDefault="001942E8" w:rsidP="00601F5B">
            <w:pPr>
              <w:pStyle w:val="Box"/>
            </w:pPr>
            <w:r w:rsidRPr="00601F5B">
              <w:t>The prevalence of cross-border production sharing</w:t>
            </w:r>
            <w:r w:rsidR="00002B93" w:rsidRPr="00601F5B">
              <w:t xml:space="preserve">—what </w:t>
            </w:r>
            <w:r w:rsidR="00F612C8" w:rsidRPr="00601F5B">
              <w:t>this report calls</w:t>
            </w:r>
            <w:r w:rsidR="00002B93" w:rsidRPr="00601F5B">
              <w:t xml:space="preserve"> </w:t>
            </w:r>
            <w:r w:rsidRPr="00601F5B">
              <w:t>global value chains (GVCs)</w:t>
            </w:r>
            <w:r w:rsidR="00002B93" w:rsidRPr="00601F5B">
              <w:t>—</w:t>
            </w:r>
            <w:r w:rsidRPr="00601F5B">
              <w:t>has meant that flows of value</w:t>
            </w:r>
            <w:r w:rsidR="00446460">
              <w:t xml:space="preserve"> </w:t>
            </w:r>
            <w:r w:rsidRPr="00601F5B">
              <w:t>added may increasingly diverge from the flows captured in standard trade statistics</w:t>
            </w:r>
            <w:r w:rsidR="00DE354F" w:rsidRPr="00601F5B">
              <w:t xml:space="preserve">. </w:t>
            </w:r>
            <w:r w:rsidR="002E466A" w:rsidRPr="00601F5B">
              <w:t>D</w:t>
            </w:r>
            <w:r w:rsidR="00DE354F" w:rsidRPr="00601F5B">
              <w:t xml:space="preserve">atasets </w:t>
            </w:r>
            <w:r w:rsidR="00882D49" w:rsidRPr="00601F5B">
              <w:t xml:space="preserve">like </w:t>
            </w:r>
            <w:r w:rsidR="00DE354F" w:rsidRPr="00601F5B">
              <w:t xml:space="preserve">balance of payments accounts and </w:t>
            </w:r>
            <w:r w:rsidR="00EC4E47" w:rsidRPr="00601F5B">
              <w:t xml:space="preserve">the United Nations COMTRADE database </w:t>
            </w:r>
            <w:r w:rsidR="002E466A" w:rsidRPr="00601F5B">
              <w:t xml:space="preserve">record </w:t>
            </w:r>
            <w:r w:rsidR="00DE354F" w:rsidRPr="00601F5B">
              <w:t xml:space="preserve">bilateral flows from </w:t>
            </w:r>
            <w:r w:rsidR="001F5500" w:rsidRPr="00601F5B">
              <w:t xml:space="preserve">one </w:t>
            </w:r>
            <w:r w:rsidR="00DE354F" w:rsidRPr="00601F5B">
              <w:t xml:space="preserve">economy to </w:t>
            </w:r>
            <w:r w:rsidR="001F5500" w:rsidRPr="00601F5B">
              <w:t>another</w:t>
            </w:r>
            <w:r w:rsidR="00DE354F" w:rsidRPr="00601F5B">
              <w:t xml:space="preserve">, but </w:t>
            </w:r>
            <w:r w:rsidR="00882D49" w:rsidRPr="00601F5B">
              <w:t>do not typically provide information on the value</w:t>
            </w:r>
            <w:r w:rsidR="00E030CD">
              <w:t xml:space="preserve"> </w:t>
            </w:r>
            <w:r w:rsidR="00882D49" w:rsidRPr="00601F5B">
              <w:t xml:space="preserve">added </w:t>
            </w:r>
            <w:r w:rsidR="002E466A" w:rsidRPr="00601F5B">
              <w:t>make-up</w:t>
            </w:r>
            <w:r w:rsidR="00882D49" w:rsidRPr="00601F5B">
              <w:t xml:space="preserve"> of such flow</w:t>
            </w:r>
            <w:r w:rsidR="002E466A" w:rsidRPr="00601F5B">
              <w:t>s</w:t>
            </w:r>
            <w:r w:rsidRPr="00601F5B">
              <w:t xml:space="preserve">. </w:t>
            </w:r>
          </w:p>
          <w:p w14:paraId="5F5BC864" w14:textId="36DDC179" w:rsidR="00B36320" w:rsidRPr="00601F5B" w:rsidRDefault="00B36320" w:rsidP="00601F5B">
            <w:pPr>
              <w:pStyle w:val="Box"/>
              <w:rPr>
                <w:szCs w:val="20"/>
              </w:rPr>
            </w:pPr>
            <w:r w:rsidRPr="00601F5B">
              <w:rPr>
                <w:szCs w:val="20"/>
              </w:rPr>
              <w:t xml:space="preserve">In a framework pioneered by Koopman, Wang, and Wei (2014) and refined by </w:t>
            </w:r>
            <w:proofErr w:type="spellStart"/>
            <w:r w:rsidRPr="00601F5B">
              <w:rPr>
                <w:szCs w:val="20"/>
              </w:rPr>
              <w:t>Borin</w:t>
            </w:r>
            <w:proofErr w:type="spellEnd"/>
            <w:r w:rsidRPr="00601F5B">
              <w:rPr>
                <w:szCs w:val="20"/>
              </w:rPr>
              <w:t xml:space="preserve"> and Mancini (2019), information from an </w:t>
            </w:r>
            <w:r w:rsidR="00446460">
              <w:rPr>
                <w:szCs w:val="20"/>
              </w:rPr>
              <w:t>intercountry</w:t>
            </w:r>
            <w:r w:rsidRPr="00601F5B">
              <w:rPr>
                <w:szCs w:val="20"/>
              </w:rPr>
              <w:t xml:space="preserve"> input–output table is used to decompose export flows into value</w:t>
            </w:r>
            <w:r w:rsidR="00E030CD">
              <w:rPr>
                <w:szCs w:val="20"/>
              </w:rPr>
              <w:t xml:space="preserve"> </w:t>
            </w:r>
            <w:r w:rsidRPr="00601F5B">
              <w:rPr>
                <w:szCs w:val="20"/>
              </w:rPr>
              <w:t xml:space="preserve">added categories. </w:t>
            </w:r>
            <w:r w:rsidR="00F76470" w:rsidRPr="00601F5B">
              <w:rPr>
                <w:szCs w:val="20"/>
              </w:rPr>
              <w:t>An exposition of the particular methodology employed in this report is given in Asian Development Bank</w:t>
            </w:r>
            <w:r w:rsidR="001757C8" w:rsidRPr="00601F5B">
              <w:rPr>
                <w:szCs w:val="20"/>
              </w:rPr>
              <w:t xml:space="preserve"> (ADB)</w:t>
            </w:r>
            <w:r w:rsidR="00F76470" w:rsidRPr="00601F5B">
              <w:rPr>
                <w:szCs w:val="20"/>
              </w:rPr>
              <w:t xml:space="preserve"> (2021). </w:t>
            </w:r>
            <w:r w:rsidR="00E23A32" w:rsidRPr="00601F5B">
              <w:rPr>
                <w:szCs w:val="20"/>
              </w:rPr>
              <w:t xml:space="preserve">To summarize, exports are broken down into five main categories, as shown in </w:t>
            </w:r>
            <w:r w:rsidR="008C700C" w:rsidRPr="00601F5B">
              <w:rPr>
                <w:szCs w:val="20"/>
              </w:rPr>
              <w:t>the figure below</w:t>
            </w:r>
            <w:r w:rsidR="00124DCD" w:rsidRPr="00601F5B">
              <w:rPr>
                <w:szCs w:val="20"/>
              </w:rPr>
              <w:t>.</w:t>
            </w:r>
          </w:p>
          <w:p w14:paraId="6A525A58" w14:textId="2B6BAD51" w:rsidR="00E23A32" w:rsidRPr="00601F5B" w:rsidRDefault="00601F5B" w:rsidP="00E23A32">
            <w:pPr>
              <w:pStyle w:val="Caption"/>
              <w:rPr>
                <w:rFonts w:eastAsia="Calibri" w:cstheme="minorHAnsi"/>
                <w:sz w:val="20"/>
                <w:szCs w:val="20"/>
              </w:rPr>
            </w:pPr>
            <w:bookmarkStart w:id="28" w:name="_Ref77752679"/>
            <w:r w:rsidRPr="00601F5B">
              <w:rPr>
                <w:rFonts w:ascii="Calibri" w:eastAsia="Calibri" w:hAnsi="Calibri" w:cs="Calibri"/>
                <w:noProof/>
                <w:sz w:val="20"/>
                <w:szCs w:val="20"/>
              </w:rPr>
              <w:drawing>
                <wp:anchor distT="0" distB="0" distL="114300" distR="114300" simplePos="0" relativeHeight="251672576" behindDoc="0" locked="0" layoutInCell="1" allowOverlap="1" wp14:anchorId="44EB958A" wp14:editId="039FE528">
                  <wp:simplePos x="0" y="0"/>
                  <wp:positionH relativeFrom="margin">
                    <wp:posOffset>127000</wp:posOffset>
                  </wp:positionH>
                  <wp:positionV relativeFrom="paragraph">
                    <wp:posOffset>295910</wp:posOffset>
                  </wp:positionV>
                  <wp:extent cx="5314950" cy="3763010"/>
                  <wp:effectExtent l="0" t="0" r="19050" b="0"/>
                  <wp:wrapTopAndBottom/>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bookmarkEnd w:id="28"/>
            <w:r w:rsidR="002C40D9" w:rsidRPr="00601F5B">
              <w:rPr>
                <w:sz w:val="20"/>
                <w:szCs w:val="20"/>
              </w:rPr>
              <w:t>Decomposition of Home’s Exports to Partner</w:t>
            </w:r>
          </w:p>
          <w:p w14:paraId="232380C5" w14:textId="79D148A7" w:rsidR="00BC0E45" w:rsidRPr="00601F5B" w:rsidRDefault="00BC0E45" w:rsidP="00791320">
            <w:pPr>
              <w:pStyle w:val="NotesAbbreviations"/>
            </w:pPr>
            <w:r w:rsidRPr="00601F5B">
              <w:t>H = home, P = partner</w:t>
            </w:r>
          </w:p>
          <w:p w14:paraId="4111C7A7" w14:textId="4B4496FC" w:rsidR="00601F5B" w:rsidRPr="00601F5B" w:rsidRDefault="002C40D9" w:rsidP="00993DE9">
            <w:pPr>
              <w:pStyle w:val="NotesBottom"/>
            </w:pPr>
            <w:r w:rsidRPr="00601F5B">
              <w:t xml:space="preserve">Source: </w:t>
            </w:r>
            <w:r w:rsidR="003A0954" w:rsidRPr="00601F5B">
              <w:tab/>
            </w:r>
            <w:r w:rsidR="00993DE9" w:rsidRPr="00601F5B">
              <w:t xml:space="preserve">Asian Development Bank. 2021. </w:t>
            </w:r>
            <w:r w:rsidR="00993DE9" w:rsidRPr="00601F5B">
              <w:rPr>
                <w:i/>
                <w:iCs/>
              </w:rPr>
              <w:t>Key Indicators for Asia and the Pacific 2021</w:t>
            </w:r>
            <w:r w:rsidR="00993DE9" w:rsidRPr="00601F5B">
              <w:t xml:space="preserve">. Manila, Philippines: Asian Development Bank. </w:t>
            </w:r>
          </w:p>
          <w:p w14:paraId="57FBBA63" w14:textId="5ED2C5E3" w:rsidR="00E23A32" w:rsidRPr="00601F5B" w:rsidRDefault="003D4136" w:rsidP="00601F5B">
            <w:pPr>
              <w:pStyle w:val="Box"/>
              <w:rPr>
                <w:szCs w:val="20"/>
              </w:rPr>
            </w:pPr>
            <w:r w:rsidRPr="00601F5B">
              <w:rPr>
                <w:szCs w:val="20"/>
              </w:rPr>
              <w:t>DAVAX are exports of domestic value</w:t>
            </w:r>
            <w:r w:rsidR="00446460">
              <w:rPr>
                <w:szCs w:val="20"/>
              </w:rPr>
              <w:t xml:space="preserve"> </w:t>
            </w:r>
            <w:r w:rsidRPr="00601F5B">
              <w:rPr>
                <w:szCs w:val="20"/>
              </w:rPr>
              <w:t xml:space="preserve">added that are directly absorbed by the importer. </w:t>
            </w:r>
            <w:r w:rsidR="00691C07" w:rsidRPr="00601F5B">
              <w:rPr>
                <w:szCs w:val="20"/>
              </w:rPr>
              <w:t xml:space="preserve">It will be useful to </w:t>
            </w:r>
            <w:r w:rsidR="00C64EC3" w:rsidRPr="00601F5B">
              <w:rPr>
                <w:szCs w:val="20"/>
              </w:rPr>
              <w:t>sub</w:t>
            </w:r>
            <w:r w:rsidR="00691C07" w:rsidRPr="00601F5B">
              <w:rPr>
                <w:szCs w:val="20"/>
              </w:rPr>
              <w:t xml:space="preserve">divide this into DAVAX1 and DAVAX2, corresponding to exports of final goods and </w:t>
            </w:r>
            <w:r w:rsidR="008407A2" w:rsidRPr="00601F5B">
              <w:rPr>
                <w:szCs w:val="20"/>
              </w:rPr>
              <w:t xml:space="preserve">exports of </w:t>
            </w:r>
            <w:r w:rsidR="00691C07" w:rsidRPr="00601F5B">
              <w:rPr>
                <w:szCs w:val="20"/>
              </w:rPr>
              <w:t xml:space="preserve">intermediates, respectively. </w:t>
            </w:r>
            <w:r w:rsidRPr="00601F5B">
              <w:rPr>
                <w:szCs w:val="20"/>
              </w:rPr>
              <w:t>REX and REF are exports of domestic value</w:t>
            </w:r>
            <w:r w:rsidR="00446460">
              <w:rPr>
                <w:szCs w:val="20"/>
              </w:rPr>
              <w:t xml:space="preserve"> </w:t>
            </w:r>
            <w:r w:rsidRPr="00601F5B">
              <w:rPr>
                <w:szCs w:val="20"/>
              </w:rPr>
              <w:t xml:space="preserve">added that are reexported by the importer, to eventually be absorbed abroad (REX) or returned to and absorbed by the exporter (REF). </w:t>
            </w:r>
            <w:r w:rsidR="00311753" w:rsidRPr="00601F5B">
              <w:rPr>
                <w:szCs w:val="20"/>
              </w:rPr>
              <w:t>FVA are foreign value</w:t>
            </w:r>
            <w:r w:rsidR="00446460">
              <w:rPr>
                <w:szCs w:val="20"/>
              </w:rPr>
              <w:t xml:space="preserve"> </w:t>
            </w:r>
            <w:r w:rsidR="00311753" w:rsidRPr="00601F5B">
              <w:rPr>
                <w:szCs w:val="20"/>
              </w:rPr>
              <w:t xml:space="preserve">added embedded in exports, arising from the use of imported inputs. Finally, PDC are the </w:t>
            </w:r>
            <w:r w:rsidR="00311753" w:rsidRPr="00601F5B">
              <w:rPr>
                <w:szCs w:val="20"/>
              </w:rPr>
              <w:lastRenderedPageBreak/>
              <w:t xml:space="preserve">pure double-counting that results from value-added crossing the same border more than once. </w:t>
            </w:r>
            <w:r w:rsidR="00501E71" w:rsidRPr="00601F5B">
              <w:rPr>
                <w:szCs w:val="20"/>
              </w:rPr>
              <w:t xml:space="preserve">The levels, shares, and trends of each of these categories provide insights into an economy’s engagement </w:t>
            </w:r>
            <w:r w:rsidR="00037BFD" w:rsidRPr="00601F5B">
              <w:rPr>
                <w:szCs w:val="20"/>
              </w:rPr>
              <w:t>with</w:t>
            </w:r>
            <w:r w:rsidR="00501E71" w:rsidRPr="00601F5B">
              <w:rPr>
                <w:szCs w:val="20"/>
              </w:rPr>
              <w:t xml:space="preserve"> GVCs.</w:t>
            </w:r>
          </w:p>
          <w:p w14:paraId="437EA9C2" w14:textId="790F8243" w:rsidR="00E23A32" w:rsidRPr="00601F5B" w:rsidRDefault="00F9787F" w:rsidP="00601F5B">
            <w:pPr>
              <w:pStyle w:val="Box"/>
              <w:rPr>
                <w:szCs w:val="20"/>
              </w:rPr>
            </w:pPr>
            <w:r w:rsidRPr="00601F5B">
              <w:rPr>
                <w:szCs w:val="20"/>
              </w:rPr>
              <w:t xml:space="preserve">A useful statistic derived from this framework is the GVC participation rate. </w:t>
            </w:r>
            <w:r w:rsidR="00D64965" w:rsidRPr="00601F5B">
              <w:rPr>
                <w:szCs w:val="20"/>
              </w:rPr>
              <w:t xml:space="preserve">ADB (2021) identifies two approaches to measuring this. The trade-based approach, used among others by Hummels, Ishii, and Yi (2001) and </w:t>
            </w:r>
            <w:proofErr w:type="spellStart"/>
            <w:r w:rsidR="00D64965" w:rsidRPr="00601F5B">
              <w:rPr>
                <w:szCs w:val="20"/>
              </w:rPr>
              <w:t>Borin</w:t>
            </w:r>
            <w:proofErr w:type="spellEnd"/>
            <w:r w:rsidR="00D64965" w:rsidRPr="00601F5B">
              <w:rPr>
                <w:szCs w:val="20"/>
              </w:rPr>
              <w:t xml:space="preserve"> and Mancini (2019), </w:t>
            </w:r>
            <w:r w:rsidR="00D26A12" w:rsidRPr="00601F5B">
              <w:rPr>
                <w:szCs w:val="20"/>
              </w:rPr>
              <w:t>is computed as</w:t>
            </w:r>
          </w:p>
          <w:p w14:paraId="630540B8" w14:textId="12C1282C" w:rsidR="00D26A12" w:rsidRPr="00601F5B" w:rsidRDefault="00D26A12" w:rsidP="00601F5B">
            <w:pPr>
              <w:pStyle w:val="Box"/>
              <w:rPr>
                <w:szCs w:val="20"/>
              </w:rPr>
            </w:pPr>
            <m:oMathPara>
              <m:oMath>
                <m:r>
                  <w:rPr>
                    <w:rFonts w:ascii="Cambria Math" w:hAnsi="Cambria Math"/>
                    <w:szCs w:val="20"/>
                  </w:rPr>
                  <m:t>GVC</m:t>
                </m:r>
                <m:sSup>
                  <m:sSupPr>
                    <m:ctrlPr>
                      <w:rPr>
                        <w:rFonts w:ascii="Cambria Math" w:hAnsi="Cambria Math"/>
                        <w:i/>
                        <w:szCs w:val="20"/>
                      </w:rPr>
                    </m:ctrlPr>
                  </m:sSupPr>
                  <m:e>
                    <m:r>
                      <w:rPr>
                        <w:rFonts w:ascii="Cambria Math" w:hAnsi="Cambria Math"/>
                        <w:szCs w:val="20"/>
                      </w:rPr>
                      <m:t>P</m:t>
                    </m:r>
                  </m:e>
                  <m:sup>
                    <m:r>
                      <m:rPr>
                        <m:sty m:val="p"/>
                      </m:rPr>
                      <w:rPr>
                        <w:rFonts w:ascii="Cambria Math" w:hAnsi="Cambria Math"/>
                        <w:szCs w:val="20"/>
                      </w:rPr>
                      <m:t>Trade</m:t>
                    </m:r>
                  </m:sup>
                </m:sSup>
                <m:r>
                  <w:rPr>
                    <w:rFonts w:ascii="Cambria Math" w:hAnsi="Cambria Math"/>
                    <w:szCs w:val="20"/>
                  </w:rPr>
                  <m:t>=</m:t>
                </m:r>
                <m:f>
                  <m:fPr>
                    <m:ctrlPr>
                      <w:rPr>
                        <w:rFonts w:ascii="Cambria Math" w:hAnsi="Cambria Math"/>
                        <w:i/>
                        <w:szCs w:val="20"/>
                      </w:rPr>
                    </m:ctrlPr>
                  </m:fPr>
                  <m:num>
                    <m:r>
                      <w:rPr>
                        <w:rFonts w:ascii="Cambria Math" w:hAnsi="Cambria Math"/>
                        <w:szCs w:val="20"/>
                      </w:rPr>
                      <m:t>REX+REF</m:t>
                    </m:r>
                  </m:num>
                  <m:den>
                    <m:r>
                      <m:rPr>
                        <m:sty m:val="p"/>
                      </m:rPr>
                      <w:rPr>
                        <w:rFonts w:ascii="Cambria Math" w:hAnsi="Cambria Math"/>
                        <w:szCs w:val="20"/>
                      </w:rPr>
                      <m:t>Exports</m:t>
                    </m:r>
                  </m:den>
                </m:f>
                <m:r>
                  <w:rPr>
                    <w:rFonts w:ascii="Cambria Math" w:hAnsi="Cambria Math"/>
                    <w:szCs w:val="20"/>
                  </w:rPr>
                  <m:t>+</m:t>
                </m:r>
                <m:f>
                  <m:fPr>
                    <m:ctrlPr>
                      <w:rPr>
                        <w:rFonts w:ascii="Cambria Math" w:hAnsi="Cambria Math"/>
                        <w:i/>
                        <w:szCs w:val="20"/>
                      </w:rPr>
                    </m:ctrlPr>
                  </m:fPr>
                  <m:num>
                    <m:r>
                      <w:rPr>
                        <w:rFonts w:ascii="Cambria Math" w:hAnsi="Cambria Math"/>
                        <w:szCs w:val="20"/>
                      </w:rPr>
                      <m:t>FVA+PDC</m:t>
                    </m:r>
                  </m:num>
                  <m:den>
                    <m:r>
                      <m:rPr>
                        <m:sty m:val="p"/>
                      </m:rPr>
                      <w:rPr>
                        <w:rFonts w:ascii="Cambria Math" w:hAnsi="Cambria Math"/>
                        <w:szCs w:val="20"/>
                      </w:rPr>
                      <m:t>Exports</m:t>
                    </m:r>
                  </m:den>
                </m:f>
              </m:oMath>
            </m:oMathPara>
          </w:p>
          <w:p w14:paraId="172EE8F8" w14:textId="6D84A533" w:rsidR="007E2FE1" w:rsidRPr="00601F5B" w:rsidRDefault="007E2FE1" w:rsidP="00601F5B">
            <w:pPr>
              <w:pStyle w:val="Box"/>
              <w:rPr>
                <w:szCs w:val="20"/>
              </w:rPr>
            </w:pPr>
            <w:r w:rsidRPr="00601F5B">
              <w:rPr>
                <w:szCs w:val="20"/>
              </w:rPr>
              <w:t xml:space="preserve">This rate may be divided into a forward participation rate and a backward participation rate, given by the first and second terms respectively. </w:t>
            </w:r>
          </w:p>
          <w:p w14:paraId="14C28B51" w14:textId="670F71B3" w:rsidR="00691C07" w:rsidRPr="00601F5B" w:rsidRDefault="00691C07" w:rsidP="00601F5B">
            <w:pPr>
              <w:pStyle w:val="Box"/>
              <w:rPr>
                <w:szCs w:val="20"/>
              </w:rPr>
            </w:pPr>
            <w:r w:rsidRPr="00601F5B">
              <w:rPr>
                <w:szCs w:val="20"/>
              </w:rPr>
              <w:t>The second approach is due to Wang, Wei, Yu, and Zhu (2017). This production-based GVC participation rate is computed as</w:t>
            </w:r>
          </w:p>
          <w:p w14:paraId="5904C593" w14:textId="2C283A40" w:rsidR="00C964BD" w:rsidRPr="00E030CD" w:rsidRDefault="00691C07" w:rsidP="00E030CD">
            <w:pPr>
              <w:pStyle w:val="Box"/>
              <w:rPr>
                <w:szCs w:val="20"/>
              </w:rPr>
            </w:pPr>
            <m:oMathPara>
              <m:oMath>
                <m:r>
                  <w:rPr>
                    <w:rFonts w:ascii="Cambria Math" w:hAnsi="Cambria Math"/>
                    <w:szCs w:val="20"/>
                  </w:rPr>
                  <m:t>GVC</m:t>
                </m:r>
                <m:sSup>
                  <m:sSupPr>
                    <m:ctrlPr>
                      <w:rPr>
                        <w:rFonts w:ascii="Cambria Math" w:hAnsi="Cambria Math"/>
                        <w:i/>
                        <w:szCs w:val="20"/>
                      </w:rPr>
                    </m:ctrlPr>
                  </m:sSupPr>
                  <m:e>
                    <m:r>
                      <w:rPr>
                        <w:rFonts w:ascii="Cambria Math" w:hAnsi="Cambria Math"/>
                        <w:szCs w:val="20"/>
                      </w:rPr>
                      <m:t>P</m:t>
                    </m:r>
                  </m:e>
                  <m:sup>
                    <m:r>
                      <m:rPr>
                        <m:sty m:val="p"/>
                      </m:rPr>
                      <w:rPr>
                        <w:rFonts w:ascii="Cambria Math" w:hAnsi="Cambria Math"/>
                        <w:szCs w:val="20"/>
                      </w:rPr>
                      <m:t>Production</m:t>
                    </m:r>
                  </m:sup>
                </m:sSup>
                <m:r>
                  <w:rPr>
                    <w:rFonts w:ascii="Cambria Math" w:hAnsi="Cambria Math"/>
                    <w:szCs w:val="20"/>
                  </w:rPr>
                  <m:t>=</m:t>
                </m:r>
                <m:f>
                  <m:fPr>
                    <m:ctrlPr>
                      <w:rPr>
                        <w:rFonts w:ascii="Cambria Math" w:hAnsi="Cambria Math"/>
                        <w:i/>
                        <w:szCs w:val="20"/>
                      </w:rPr>
                    </m:ctrlPr>
                  </m:fPr>
                  <m:num>
                    <m:r>
                      <w:rPr>
                        <w:rFonts w:ascii="Cambria Math" w:hAnsi="Cambria Math"/>
                        <w:szCs w:val="20"/>
                      </w:rPr>
                      <m:t>DAVAX2+REX+REF</m:t>
                    </m:r>
                  </m:num>
                  <m:den>
                    <m:r>
                      <w:rPr>
                        <w:rFonts w:ascii="Cambria Math" w:hAnsi="Cambria Math"/>
                        <w:szCs w:val="20"/>
                      </w:rPr>
                      <m:t>Value added</m:t>
                    </m:r>
                  </m:den>
                </m:f>
                <m:r>
                  <w:rPr>
                    <w:rFonts w:ascii="Cambria Math" w:hAnsi="Cambria Math"/>
                    <w:szCs w:val="20"/>
                  </w:rPr>
                  <m:t>.</m:t>
                </m:r>
              </m:oMath>
            </m:oMathPara>
          </w:p>
          <w:p w14:paraId="514CF92B" w14:textId="5D8112CA" w:rsidR="00A035EA" w:rsidRPr="00A035EA" w:rsidRDefault="00A035EA" w:rsidP="00601F5B">
            <w:pPr>
              <w:pStyle w:val="BoxReferences"/>
              <w:rPr>
                <w:b/>
                <w:bCs/>
              </w:rPr>
            </w:pPr>
            <w:r w:rsidRPr="00A035EA">
              <w:rPr>
                <w:b/>
                <w:bCs/>
              </w:rPr>
              <w:t>References</w:t>
            </w:r>
          </w:p>
          <w:p w14:paraId="77AD7F71" w14:textId="2197D64B" w:rsidR="00532EC5" w:rsidRPr="00601F5B" w:rsidRDefault="00532EC5" w:rsidP="00601F5B">
            <w:pPr>
              <w:pStyle w:val="BoxReferences"/>
            </w:pPr>
            <w:r w:rsidRPr="00601F5B">
              <w:t>Asian Development Ban</w:t>
            </w:r>
            <w:r w:rsidR="003C797D" w:rsidRPr="00601F5B">
              <w:t>k</w:t>
            </w:r>
            <w:r w:rsidRPr="00601F5B">
              <w:t xml:space="preserve">. 2021. </w:t>
            </w:r>
            <w:r w:rsidRPr="00601F5B">
              <w:rPr>
                <w:i/>
                <w:iCs/>
              </w:rPr>
              <w:t>Key Indicators for Asia and the Pacific 2021</w:t>
            </w:r>
            <w:r w:rsidRPr="00601F5B">
              <w:t xml:space="preserve">. Manila, Philippines: Asian Development Bank. </w:t>
            </w:r>
          </w:p>
          <w:p w14:paraId="1B48B968" w14:textId="30BE8A13" w:rsidR="00532EC5" w:rsidRPr="00601F5B" w:rsidRDefault="00532EC5" w:rsidP="00601F5B">
            <w:pPr>
              <w:pStyle w:val="BoxReferences"/>
            </w:pPr>
            <w:r w:rsidRPr="00601F5B">
              <w:t xml:space="preserve">A. </w:t>
            </w:r>
            <w:proofErr w:type="spellStart"/>
            <w:r w:rsidRPr="00601F5B">
              <w:t>Borin</w:t>
            </w:r>
            <w:proofErr w:type="spellEnd"/>
            <w:r w:rsidRPr="00601F5B">
              <w:t xml:space="preserve"> and M. Mancini. 2019. Measuring What Matters in Global Value Chains and Value-Added Trade. </w:t>
            </w:r>
            <w:r w:rsidRPr="00601F5B">
              <w:rPr>
                <w:i/>
                <w:iCs/>
              </w:rPr>
              <w:t>Policy Research Working Paper No. 8804</w:t>
            </w:r>
            <w:r w:rsidRPr="00601F5B">
              <w:t xml:space="preserve">. Washington, DC: World Bank. </w:t>
            </w:r>
          </w:p>
          <w:p w14:paraId="50467F65" w14:textId="77777777" w:rsidR="001F77F3" w:rsidRPr="00601F5B" w:rsidRDefault="001F77F3" w:rsidP="00601F5B">
            <w:pPr>
              <w:pStyle w:val="BoxReferences"/>
            </w:pPr>
            <w:r w:rsidRPr="00601F5B">
              <w:t xml:space="preserve">D. Hummels, J. Ishii, and K. M. Yi. 2001. The Nature and Growth of Vertical Specialization in World Trade. </w:t>
            </w:r>
            <w:r w:rsidRPr="00601F5B">
              <w:rPr>
                <w:i/>
                <w:iCs/>
              </w:rPr>
              <w:t>Journal of International Economics</w:t>
            </w:r>
            <w:r w:rsidRPr="00601F5B">
              <w:t>. 54. pp. 75–96.</w:t>
            </w:r>
          </w:p>
          <w:p w14:paraId="23B8608D" w14:textId="77777777" w:rsidR="00B35725" w:rsidRPr="00601F5B" w:rsidRDefault="00532EC5" w:rsidP="00601F5B">
            <w:pPr>
              <w:pStyle w:val="BoxReferences"/>
            </w:pPr>
            <w:r w:rsidRPr="00601F5B">
              <w:t xml:space="preserve">R. Koopman, Z. Wang, and S. Wei. 2014. Tracing Value-Added and Double Counting in Gross Exports. </w:t>
            </w:r>
            <w:r w:rsidRPr="00601F5B">
              <w:rPr>
                <w:i/>
                <w:iCs/>
              </w:rPr>
              <w:t>American Economic Review</w:t>
            </w:r>
            <w:r w:rsidRPr="00601F5B">
              <w:t>. 104 (2). pp. 459–494.</w:t>
            </w:r>
          </w:p>
          <w:p w14:paraId="372DD6F2" w14:textId="0D91953D" w:rsidR="005C57C6" w:rsidRPr="005C57C6" w:rsidRDefault="005C57C6" w:rsidP="00601F5B">
            <w:pPr>
              <w:pStyle w:val="BoxReferences"/>
            </w:pPr>
            <w:r w:rsidRPr="00601F5B">
              <w:t xml:space="preserve">Z. Wang, S. Wei, X. Yu, and K. Zhu. 2017. Measures of Participation in Global Value Chains and Global Business Cycles. </w:t>
            </w:r>
            <w:r w:rsidRPr="00601F5B">
              <w:rPr>
                <w:i/>
                <w:iCs/>
              </w:rPr>
              <w:t>NBER Working Paper No. 23222</w:t>
            </w:r>
            <w:r w:rsidRPr="00601F5B">
              <w:t>. Cambridge, MA: National Bureau of Economic Research.</w:t>
            </w:r>
          </w:p>
        </w:tc>
      </w:tr>
    </w:tbl>
    <w:p w14:paraId="48983B0C" w14:textId="77777777" w:rsidR="00D26A12" w:rsidRDefault="00D26A12" w:rsidP="00870F65">
      <w:pPr>
        <w:rPr>
          <w:rFonts w:eastAsia="Calibri" w:cstheme="minorHAnsi"/>
          <w:color w:val="000000" w:themeColor="text1"/>
          <w:szCs w:val="22"/>
        </w:rPr>
      </w:pPr>
    </w:p>
    <w:p w14:paraId="43EECD43" w14:textId="4F3D9BAC" w:rsidR="00E27C43" w:rsidRDefault="009B4B66" w:rsidP="00870F65">
      <w:pPr>
        <w:rPr>
          <w:rFonts w:eastAsia="Calibri" w:cstheme="minorHAnsi"/>
          <w:color w:val="000000" w:themeColor="text1"/>
          <w:szCs w:val="22"/>
        </w:rPr>
      </w:pPr>
      <w:r>
        <w:rPr>
          <w:rFonts w:eastAsia="Calibri" w:cstheme="minorHAnsi"/>
          <w:color w:val="000000" w:themeColor="text1"/>
          <w:szCs w:val="22"/>
        </w:rPr>
        <w:fldChar w:fldCharType="begin"/>
      </w:r>
      <w:r>
        <w:rPr>
          <w:rFonts w:eastAsia="Calibri" w:cstheme="minorHAnsi"/>
          <w:color w:val="000000" w:themeColor="text1"/>
          <w:szCs w:val="22"/>
        </w:rPr>
        <w:instrText xml:space="preserve"> REF _Ref77745389 </w:instrText>
      </w:r>
      <w:r>
        <w:rPr>
          <w:rFonts w:eastAsia="Calibri" w:cstheme="minorHAnsi"/>
          <w:color w:val="000000" w:themeColor="text1"/>
          <w:szCs w:val="22"/>
        </w:rPr>
        <w:fldChar w:fldCharType="separate"/>
      </w:r>
      <w:r w:rsidR="00F03ADA">
        <w:t xml:space="preserve">Figure </w:t>
      </w:r>
      <w:r w:rsidR="00F03ADA">
        <w:rPr>
          <w:noProof/>
        </w:rPr>
        <w:t>3</w:t>
      </w:r>
      <w:r w:rsidR="00F03ADA">
        <w:t>.</w:t>
      </w:r>
      <w:r w:rsidR="00F03ADA">
        <w:rPr>
          <w:noProof/>
        </w:rPr>
        <w:t>1</w:t>
      </w:r>
      <w:r>
        <w:rPr>
          <w:rFonts w:eastAsia="Calibri" w:cstheme="minorHAnsi"/>
          <w:color w:val="000000" w:themeColor="text1"/>
          <w:szCs w:val="22"/>
        </w:rPr>
        <w:fldChar w:fldCharType="end"/>
      </w:r>
      <w:r>
        <w:rPr>
          <w:rFonts w:eastAsia="Calibri" w:cstheme="minorHAnsi"/>
          <w:color w:val="000000" w:themeColor="text1"/>
          <w:szCs w:val="22"/>
        </w:rPr>
        <w:t xml:space="preserve"> presents the deco</w:t>
      </w:r>
      <w:r w:rsidRPr="00E030CD">
        <w:rPr>
          <w:rFonts w:eastAsia="Calibri" w:cstheme="minorHAnsi"/>
          <w:szCs w:val="22"/>
        </w:rPr>
        <w:t xml:space="preserve">mposition of </w:t>
      </w:r>
      <w:r w:rsidR="00D9006C" w:rsidRPr="00E030CD">
        <w:rPr>
          <w:rFonts w:eastAsia="Calibri" w:cstheme="minorHAnsi"/>
          <w:szCs w:val="22"/>
        </w:rPr>
        <w:t>Kazakhstan</w:t>
      </w:r>
      <w:r w:rsidRPr="00E030CD">
        <w:rPr>
          <w:rFonts w:eastAsia="Calibri" w:cstheme="minorHAnsi"/>
          <w:szCs w:val="22"/>
        </w:rPr>
        <w:t xml:space="preserve">’s exports into the five categories described. </w:t>
      </w:r>
      <w:r w:rsidR="000353D2" w:rsidRPr="00E030CD">
        <w:rPr>
          <w:rFonts w:eastAsia="Calibri" w:cstheme="minorHAnsi"/>
          <w:szCs w:val="22"/>
        </w:rPr>
        <w:t xml:space="preserve">DAVAX, </w:t>
      </w:r>
      <w:r w:rsidR="00954EED" w:rsidRPr="00E030CD">
        <w:rPr>
          <w:rFonts w:eastAsia="Calibri" w:cstheme="minorHAnsi"/>
          <w:szCs w:val="22"/>
        </w:rPr>
        <w:t xml:space="preserve">also called direct </w:t>
      </w:r>
      <w:r w:rsidR="000353D2" w:rsidRPr="00E030CD">
        <w:rPr>
          <w:rFonts w:eastAsia="Calibri" w:cstheme="minorHAnsi"/>
          <w:szCs w:val="22"/>
        </w:rPr>
        <w:t>trad</w:t>
      </w:r>
      <w:r w:rsidR="00954EED" w:rsidRPr="00E030CD">
        <w:rPr>
          <w:rFonts w:eastAsia="Calibri" w:cstheme="minorHAnsi"/>
          <w:szCs w:val="22"/>
        </w:rPr>
        <w:t>ing</w:t>
      </w:r>
      <w:r w:rsidR="00E030CD" w:rsidRPr="00E030CD">
        <w:rPr>
          <w:rFonts w:eastAsia="Calibri" w:cstheme="minorHAnsi"/>
          <w:szCs w:val="22"/>
        </w:rPr>
        <w:t>, takes up a little over half of total exports in any given year</w:t>
      </w:r>
      <w:r w:rsidR="000353D2" w:rsidRPr="00E030CD">
        <w:rPr>
          <w:rFonts w:eastAsia="Calibri" w:cstheme="minorHAnsi"/>
          <w:szCs w:val="22"/>
        </w:rPr>
        <w:t xml:space="preserve">. </w:t>
      </w:r>
      <w:r w:rsidR="00E030CD">
        <w:rPr>
          <w:rFonts w:eastAsia="Calibri" w:cstheme="minorHAnsi"/>
          <w:szCs w:val="22"/>
        </w:rPr>
        <w:t xml:space="preserve">This is the portion of exports whose value added originates solely </w:t>
      </w:r>
      <w:r w:rsidR="006A2A30">
        <w:rPr>
          <w:rFonts w:eastAsia="Calibri" w:cstheme="minorHAnsi"/>
          <w:szCs w:val="22"/>
        </w:rPr>
        <w:t>from</w:t>
      </w:r>
      <w:r w:rsidR="00E030CD">
        <w:rPr>
          <w:rFonts w:eastAsia="Calibri" w:cstheme="minorHAnsi"/>
          <w:szCs w:val="22"/>
        </w:rPr>
        <w:t xml:space="preserve"> Kazakhstan and is finally consumed by the direct importer without passing through any further production stages in some third country. </w:t>
      </w:r>
      <w:r w:rsidR="002170B8" w:rsidRPr="00E030CD">
        <w:rPr>
          <w:rFonts w:eastAsia="Calibri" w:cstheme="minorHAnsi"/>
          <w:szCs w:val="22"/>
        </w:rPr>
        <w:t>In 202</w:t>
      </w:r>
      <w:r w:rsidR="00E030CD" w:rsidRPr="00E030CD">
        <w:rPr>
          <w:rFonts w:eastAsia="Calibri" w:cstheme="minorHAnsi"/>
          <w:szCs w:val="22"/>
        </w:rPr>
        <w:t>2</w:t>
      </w:r>
      <w:r w:rsidR="002170B8" w:rsidRPr="00E030CD">
        <w:rPr>
          <w:rFonts w:eastAsia="Calibri" w:cstheme="minorHAnsi"/>
          <w:szCs w:val="22"/>
        </w:rPr>
        <w:t xml:space="preserve">, </w:t>
      </w:r>
      <w:r w:rsidR="006A2A30">
        <w:rPr>
          <w:rFonts w:eastAsia="Calibri" w:cstheme="minorHAnsi"/>
          <w:szCs w:val="22"/>
        </w:rPr>
        <w:t xml:space="preserve">Kazakhstan's DAVAX exports </w:t>
      </w:r>
      <w:r w:rsidR="002170B8" w:rsidRPr="00E030CD">
        <w:rPr>
          <w:rFonts w:eastAsia="Calibri" w:cstheme="minorHAnsi"/>
          <w:szCs w:val="22"/>
        </w:rPr>
        <w:t>amounted to $</w:t>
      </w:r>
      <w:r w:rsidR="00E030CD" w:rsidRPr="00E030CD">
        <w:rPr>
          <w:rFonts w:eastAsia="Calibri" w:cstheme="minorHAnsi"/>
          <w:szCs w:val="22"/>
        </w:rPr>
        <w:t>35.6</w:t>
      </w:r>
      <w:r w:rsidR="002170B8" w:rsidRPr="00E030CD">
        <w:rPr>
          <w:rFonts w:eastAsia="Calibri" w:cstheme="minorHAnsi"/>
          <w:szCs w:val="22"/>
        </w:rPr>
        <w:t xml:space="preserve"> billion against gross exports of $</w:t>
      </w:r>
      <w:r w:rsidR="00E030CD" w:rsidRPr="00E030CD">
        <w:rPr>
          <w:rFonts w:eastAsia="Calibri" w:cstheme="minorHAnsi"/>
          <w:szCs w:val="22"/>
        </w:rPr>
        <w:t>66.8</w:t>
      </w:r>
      <w:r w:rsidR="002170B8" w:rsidRPr="00E030CD">
        <w:rPr>
          <w:rFonts w:eastAsia="Calibri" w:cstheme="minorHAnsi"/>
          <w:szCs w:val="22"/>
        </w:rPr>
        <w:t xml:space="preserve"> billion. </w:t>
      </w:r>
      <w:r w:rsidR="00E030CD">
        <w:rPr>
          <w:rFonts w:eastAsia="Calibri" w:cstheme="minorHAnsi"/>
          <w:szCs w:val="22"/>
        </w:rPr>
        <w:t xml:space="preserve">This is nearly unchanged from pre-pandemic, pre-Russian invasion figures from 2019, which </w:t>
      </w:r>
      <w:r w:rsidR="006A2A30">
        <w:rPr>
          <w:rFonts w:eastAsia="Calibri" w:cstheme="minorHAnsi"/>
          <w:szCs w:val="22"/>
        </w:rPr>
        <w:t xml:space="preserve">stood at </w:t>
      </w:r>
      <w:r w:rsidR="00E030CD">
        <w:rPr>
          <w:rFonts w:eastAsia="Calibri" w:cstheme="minorHAnsi"/>
          <w:szCs w:val="22"/>
        </w:rPr>
        <w:t>$35.5 billion and $63.4 billion respectively.</w:t>
      </w:r>
    </w:p>
    <w:p w14:paraId="2C14280D" w14:textId="5EDB085E" w:rsidR="004B1C60" w:rsidRDefault="004B1C60" w:rsidP="004B1C60">
      <w:r>
        <w:t xml:space="preserve">The remaining portion of exports may then be called indirect </w:t>
      </w:r>
      <w:r w:rsidRPr="006A2A30">
        <w:t xml:space="preserve">trading. For </w:t>
      </w:r>
      <w:r w:rsidR="00D9006C" w:rsidRPr="006A2A30">
        <w:t>Kazakhstan</w:t>
      </w:r>
      <w:r w:rsidRPr="006A2A30">
        <w:t xml:space="preserve">, only the REX and FVA categories are significant. </w:t>
      </w:r>
      <w:r w:rsidR="006A2A30" w:rsidRPr="006A2A30">
        <w:t xml:space="preserve">REX exports </w:t>
      </w:r>
      <w:r w:rsidRPr="006A2A30">
        <w:t xml:space="preserve">indicate the continued flow of </w:t>
      </w:r>
      <w:r w:rsidR="006A2A30" w:rsidRPr="006A2A30">
        <w:t xml:space="preserve">Kazakh </w:t>
      </w:r>
      <w:r w:rsidRPr="006A2A30">
        <w:t>value</w:t>
      </w:r>
      <w:r w:rsidR="00990E00" w:rsidRPr="006A2A30">
        <w:t xml:space="preserve"> </w:t>
      </w:r>
      <w:r w:rsidRPr="006A2A30">
        <w:t xml:space="preserve">added down the </w:t>
      </w:r>
      <w:r w:rsidR="006A2A30" w:rsidRPr="006A2A30">
        <w:t xml:space="preserve">production </w:t>
      </w:r>
      <w:r w:rsidRPr="006A2A30">
        <w:t xml:space="preserve">chain and is thus a measure of forward integration. </w:t>
      </w:r>
      <w:r w:rsidR="006A2A30" w:rsidRPr="006A2A30">
        <w:t>FVA exports, meanwhile, i</w:t>
      </w:r>
      <w:r w:rsidRPr="006A2A30">
        <w:t xml:space="preserve">ndicate the extent of imported inputs embedded in </w:t>
      </w:r>
      <w:r w:rsidR="006A2A30" w:rsidRPr="006A2A30">
        <w:t>Kazakhstan</w:t>
      </w:r>
      <w:r w:rsidRPr="006A2A30">
        <w:t>’s exports and is thus a measure of backward integration. In 202</w:t>
      </w:r>
      <w:r w:rsidR="006A2A30" w:rsidRPr="006A2A30">
        <w:t>2</w:t>
      </w:r>
      <w:r w:rsidRPr="006A2A30">
        <w:t xml:space="preserve">, REX amounted </w:t>
      </w:r>
      <w:r w:rsidRPr="006A2A30">
        <w:lastRenderedPageBreak/>
        <w:t>to $</w:t>
      </w:r>
      <w:r w:rsidR="006A2A30" w:rsidRPr="006A2A30">
        <w:t>25.0.</w:t>
      </w:r>
      <w:r w:rsidRPr="006A2A30">
        <w:t xml:space="preserve"> billion while FVA amounted to $</w:t>
      </w:r>
      <w:r w:rsidR="006A2A30" w:rsidRPr="006A2A30">
        <w:t>6.1</w:t>
      </w:r>
      <w:r w:rsidRPr="006A2A30">
        <w:t xml:space="preserve"> billion. Total indirect trading, equal to the sum of REX, REF, FVA, and PDC, was </w:t>
      </w:r>
      <w:r w:rsidR="006A2A30" w:rsidRPr="006A2A30">
        <w:t>$31.2</w:t>
      </w:r>
      <w:r w:rsidRPr="006A2A30">
        <w:t xml:space="preserve"> billion. </w:t>
      </w:r>
    </w:p>
    <w:p w14:paraId="7D3B3C38" w14:textId="7BB7AB4A" w:rsidR="00C14B30" w:rsidRDefault="00936726" w:rsidP="00C14B30">
      <w:pPr>
        <w:pStyle w:val="Caption"/>
        <w:rPr>
          <w:rFonts w:eastAsia="Calibri" w:cstheme="minorHAnsi"/>
          <w:szCs w:val="22"/>
        </w:rPr>
      </w:pPr>
      <w:bookmarkStart w:id="29" w:name="_Ref77745389"/>
      <w:bookmarkStart w:id="30" w:name="_Toc141689885"/>
      <w:r>
        <w:rPr>
          <w:rFonts w:eastAsia="Calibri" w:cstheme="minorHAnsi"/>
          <w:noProof/>
          <w:szCs w:val="22"/>
        </w:rPr>
        <w:drawing>
          <wp:anchor distT="0" distB="0" distL="114300" distR="114300" simplePos="0" relativeHeight="251744256" behindDoc="0" locked="0" layoutInCell="1" allowOverlap="1" wp14:anchorId="0B68CDF3" wp14:editId="7AE096E6">
            <wp:simplePos x="0" y="0"/>
            <wp:positionH relativeFrom="column">
              <wp:posOffset>10160</wp:posOffset>
            </wp:positionH>
            <wp:positionV relativeFrom="paragraph">
              <wp:posOffset>402994</wp:posOffset>
            </wp:positionV>
            <wp:extent cx="5731510" cy="3580765"/>
            <wp:effectExtent l="0" t="0" r="0" b="635"/>
            <wp:wrapSquare wrapText="bothSides"/>
            <wp:docPr id="1878285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85325" name="Picture 1878285325"/>
                    <pic:cNvPicPr/>
                  </pic:nvPicPr>
                  <pic:blipFill>
                    <a:blip r:embed="rId18">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C14B30">
        <w:t xml:space="preserve">Figure </w:t>
      </w:r>
      <w:fldSimple w:instr=" STYLEREF 1 \s ">
        <w:r w:rsidR="00F03ADA">
          <w:rPr>
            <w:noProof/>
          </w:rPr>
          <w:t>3</w:t>
        </w:r>
      </w:fldSimple>
      <w:r w:rsidR="003F26C2">
        <w:t>.</w:t>
      </w:r>
      <w:fldSimple w:instr=" SEQ Figure \* ARABIC \s 1 ">
        <w:r w:rsidR="00F03ADA">
          <w:rPr>
            <w:noProof/>
          </w:rPr>
          <w:t>1</w:t>
        </w:r>
      </w:fldSimple>
      <w:bookmarkEnd w:id="29"/>
      <w:r w:rsidR="00C14B30">
        <w:t>: Decomposition of Exports</w:t>
      </w:r>
      <w:r w:rsidR="00561AA7">
        <w:t xml:space="preserve"> into Value-Added Categories</w:t>
      </w:r>
      <w:r w:rsidR="00C14B30">
        <w:t xml:space="preserve">, </w:t>
      </w:r>
      <w:r w:rsidR="00737D87">
        <w:t>Kazakhstan</w:t>
      </w:r>
      <w:r w:rsidR="000C0FA8">
        <w:t xml:space="preserve">, </w:t>
      </w:r>
      <w:r w:rsidR="00C14B30">
        <w:t>2000, 2007–202</w:t>
      </w:r>
      <w:r w:rsidR="00737D87">
        <w:t>2</w:t>
      </w:r>
      <w:bookmarkEnd w:id="30"/>
    </w:p>
    <w:p w14:paraId="43682247" w14:textId="73C1F795" w:rsidR="00A42B2E" w:rsidRDefault="00A42B2E" w:rsidP="000B2115">
      <w:pPr>
        <w:pStyle w:val="NotesAbbreviations"/>
      </w:pPr>
      <w:r>
        <w:t>GVC = global value chain</w:t>
      </w:r>
      <w:r w:rsidR="008D17E0">
        <w:t>.</w:t>
      </w:r>
    </w:p>
    <w:p w14:paraId="40BB4387" w14:textId="524A12F4" w:rsidR="00097608" w:rsidRDefault="00F6656D" w:rsidP="000B2115">
      <w:pPr>
        <w:pStyle w:val="Notes"/>
      </w:pPr>
      <w:r>
        <w:t>Note</w:t>
      </w:r>
      <w:r w:rsidR="004601D5">
        <w:t>s</w:t>
      </w:r>
      <w:r>
        <w:t xml:space="preserve">: </w:t>
      </w:r>
      <w:r w:rsidR="000B2115">
        <w:tab/>
      </w:r>
      <w:r w:rsidR="00A61171">
        <w:t>Gross exports</w:t>
      </w:r>
      <w:r w:rsidR="00990E1C">
        <w:t xml:space="preserve"> are</w:t>
      </w:r>
      <w:r w:rsidR="00A61171">
        <w:t xml:space="preserve"> decomposed using the methodology in </w:t>
      </w:r>
      <w:r w:rsidR="009920DC">
        <w:t xml:space="preserve">Asian Development Bank </w:t>
      </w:r>
      <w:r w:rsidR="00A61171">
        <w:t>(2021)</w:t>
      </w:r>
      <w:r w:rsidR="00392FBB">
        <w:t>.</w:t>
      </w:r>
      <w:r w:rsidR="00EA068F">
        <w:t xml:space="preserve"> DAVAX are directly absorbed domestic value</w:t>
      </w:r>
      <w:r w:rsidR="00F10671">
        <w:t>-</w:t>
      </w:r>
      <w:r w:rsidR="00EA068F">
        <w:t>added exports. REX are domestic value-added exports reexported by direct importer and eventually absorbed abroad. REF are domestic value</w:t>
      </w:r>
      <w:r w:rsidR="00F10671">
        <w:t>-</w:t>
      </w:r>
      <w:r w:rsidR="00EA068F">
        <w:t xml:space="preserve">added exports reexported by direct importer and eventually </w:t>
      </w:r>
      <w:r w:rsidR="00CB2DA5">
        <w:t xml:space="preserve">returned to and </w:t>
      </w:r>
      <w:r w:rsidR="00EA068F">
        <w:t>absorbed at home</w:t>
      </w:r>
      <w:r w:rsidR="00E51AD1">
        <w:t>.</w:t>
      </w:r>
      <w:r w:rsidR="002B429F">
        <w:t xml:space="preserve"> FVA are foreign value</w:t>
      </w:r>
      <w:r w:rsidR="009412ED">
        <w:t xml:space="preserve"> </w:t>
      </w:r>
      <w:r w:rsidR="002B429F">
        <w:t xml:space="preserve">added embedded in </w:t>
      </w:r>
      <w:r w:rsidR="00E923A1">
        <w:t xml:space="preserve">gross </w:t>
      </w:r>
      <w:r w:rsidR="002B429F">
        <w:t xml:space="preserve">exports. </w:t>
      </w:r>
      <w:r w:rsidR="00E923A1">
        <w:t>PDC are pure double-counting, a result of value</w:t>
      </w:r>
      <w:r w:rsidR="00067091">
        <w:t xml:space="preserve"> </w:t>
      </w:r>
      <w:r w:rsidR="00E923A1">
        <w:t xml:space="preserve">added crossing the same border more than </w:t>
      </w:r>
      <w:r w:rsidR="007B68A9">
        <w:t>once</w:t>
      </w:r>
      <w:r w:rsidR="00E923A1">
        <w:t xml:space="preserve">. </w:t>
      </w:r>
      <w:r w:rsidR="00A42B2E">
        <w:t>The box</w:t>
      </w:r>
      <w:r w:rsidR="006E36C8">
        <w:t>ed</w:t>
      </w:r>
      <w:r w:rsidR="00A42B2E">
        <w:t xml:space="preserve"> portion</w:t>
      </w:r>
      <w:r w:rsidR="006E36C8">
        <w:t>s</w:t>
      </w:r>
      <w:r w:rsidR="00A42B2E">
        <w:t xml:space="preserve"> measure global value chain</w:t>
      </w:r>
      <w:r w:rsidR="006C2C90">
        <w:t xml:space="preserve"> production</w:t>
      </w:r>
      <w:r w:rsidR="00A42B2E">
        <w:t xml:space="preserve"> according to Wang, Wei, Yu, and Zhu (2017). </w:t>
      </w:r>
    </w:p>
    <w:p w14:paraId="27C9F565" w14:textId="1689A125" w:rsidR="00E73DA6" w:rsidRDefault="00F6656D" w:rsidP="0052115A">
      <w:pPr>
        <w:pStyle w:val="NotesBottom"/>
      </w:pPr>
      <w:r>
        <w:t>Source</w:t>
      </w:r>
      <w:r w:rsidR="000B2115">
        <w:t>s</w:t>
      </w:r>
      <w:r>
        <w:t xml:space="preserve">: </w:t>
      </w:r>
      <w:r w:rsidR="000B2115">
        <w:tab/>
      </w:r>
      <w:r w:rsidR="00E13282" w:rsidRPr="00E13282">
        <w:t xml:space="preserve">Asian Development Bank. 2021. </w:t>
      </w:r>
      <w:r w:rsidR="00E13282" w:rsidRPr="00E13282">
        <w:rPr>
          <w:i/>
          <w:iCs/>
        </w:rPr>
        <w:t>Key Indicators for Asia and the Pacific 2021</w:t>
      </w:r>
      <w:r w:rsidR="00E13282" w:rsidRPr="00E13282">
        <w:t>. Manila, Philippines: Asian Development Bank</w:t>
      </w:r>
      <w:r w:rsidR="00E13282">
        <w:t xml:space="preserve">; </w:t>
      </w:r>
      <w:r w:rsidR="00626B9B" w:rsidRPr="00626B9B">
        <w:t xml:space="preserve">Z. Wang, S. Wei, X. Yu, and K. Zhu. 2017. Measures of Participation in Global Value Chains and Global Business Cycles. </w:t>
      </w:r>
      <w:r w:rsidR="00626B9B" w:rsidRPr="003808F5">
        <w:rPr>
          <w:i/>
          <w:iCs/>
        </w:rPr>
        <w:t>NBER Working Paper No. 23222</w:t>
      </w:r>
      <w:r w:rsidR="00626B9B" w:rsidRPr="00626B9B">
        <w:t>. Cambridge, MA: National Bureau of Economic Research</w:t>
      </w:r>
      <w:r w:rsidR="00626B9B">
        <w:t xml:space="preserve">; </w:t>
      </w:r>
      <w:r w:rsidR="00E13282">
        <w:t>Asian Development Bank</w:t>
      </w:r>
      <w:r w:rsidR="00F614BC">
        <w:t>.</w:t>
      </w:r>
      <w:r w:rsidR="00E13282">
        <w:t xml:space="preserve"> Multiregional Input–Output Database</w:t>
      </w:r>
      <w:r w:rsidR="00936726">
        <w:t xml:space="preserve"> (July 2023)</w:t>
      </w:r>
      <w:r w:rsidR="00E13282">
        <w:t>;</w:t>
      </w:r>
      <w:r w:rsidR="00E13282" w:rsidRPr="008F0425">
        <w:t xml:space="preserve"> </w:t>
      </w:r>
      <w:r w:rsidR="008F0425">
        <w:t>Asian Development Bank estimates.</w:t>
      </w:r>
    </w:p>
    <w:p w14:paraId="1F02A0C9" w14:textId="0FDF029E" w:rsidR="006A2A30" w:rsidRDefault="006A2A30" w:rsidP="0059666D">
      <w:r>
        <w:t xml:space="preserve">While the sum of REX, REF, FVA, and PDC—what we call indirect trade—comprise GVCs under the trade-based approach, all trade in intermediates comprise GVCs in the production-based approach (see </w:t>
      </w:r>
      <w:r>
        <w:fldChar w:fldCharType="begin"/>
      </w:r>
      <w:r>
        <w:instrText xml:space="preserve"> REF _Ref77751741 \h </w:instrText>
      </w:r>
      <w:r>
        <w:fldChar w:fldCharType="separate"/>
      </w:r>
      <w:r w:rsidR="00F03ADA" w:rsidRPr="009F0FF5">
        <w:t xml:space="preserve">Box </w:t>
      </w:r>
      <w:r w:rsidR="00F03ADA">
        <w:rPr>
          <w:noProof/>
        </w:rPr>
        <w:t>4</w:t>
      </w:r>
      <w:r>
        <w:fldChar w:fldCharType="end"/>
      </w:r>
      <w:r>
        <w:t xml:space="preserve">). This is indicated in </w:t>
      </w:r>
      <w:r>
        <w:fldChar w:fldCharType="begin"/>
      </w:r>
      <w:r>
        <w:instrText xml:space="preserve"> REF _Ref77745389 \h </w:instrText>
      </w:r>
      <w:r>
        <w:fldChar w:fldCharType="separate"/>
      </w:r>
      <w:r w:rsidR="00F03ADA">
        <w:t xml:space="preserve">Figure </w:t>
      </w:r>
      <w:r w:rsidR="00F03ADA">
        <w:rPr>
          <w:noProof/>
        </w:rPr>
        <w:t>3</w:t>
      </w:r>
      <w:r w:rsidR="00F03ADA">
        <w:t>.</w:t>
      </w:r>
      <w:r w:rsidR="00F03ADA">
        <w:rPr>
          <w:noProof/>
        </w:rPr>
        <w:t>1</w:t>
      </w:r>
      <w:r>
        <w:fldChar w:fldCharType="end"/>
      </w:r>
      <w:r>
        <w:t xml:space="preserve"> by the boxed regions, which are just indirect trade plus the portion of DAVAX that consist of intermediate exports. In this approach, almost all of Kazakhstan's exports are counted as GVCs. This is mainly because most of its exports consist of oil, which is used as an input to production. </w:t>
      </w:r>
    </w:p>
    <w:p w14:paraId="6B335C4E" w14:textId="03FAF0F1" w:rsidR="00171A7B" w:rsidRDefault="00936726" w:rsidP="009E0391">
      <w:r>
        <w:t>Kazakhstan</w:t>
      </w:r>
      <w:r w:rsidR="000F2FE3">
        <w:t xml:space="preserve">’s top trading partners </w:t>
      </w:r>
      <w:r>
        <w:t xml:space="preserve">are </w:t>
      </w:r>
      <w:r w:rsidR="009E0391">
        <w:t>its two large neighbors</w:t>
      </w:r>
      <w:r>
        <w:t xml:space="preserve"> the People's Republic of China (PRC) and the Russian Federation</w:t>
      </w:r>
      <w:r w:rsidR="00B75F07">
        <w:t xml:space="preserve">, though the 2022 Russian invasion of Ukraine appears to have </w:t>
      </w:r>
      <w:r w:rsidR="009E0391">
        <w:t>brought Kazakhstan much closer to the PRC</w:t>
      </w:r>
      <w:r w:rsidR="00B75F07">
        <w:t xml:space="preserve">. </w:t>
      </w:r>
      <w:r w:rsidR="00B75F07">
        <w:fldChar w:fldCharType="begin"/>
      </w:r>
      <w:r w:rsidR="00B75F07">
        <w:instrText xml:space="preserve"> REF _Ref77768646 \h </w:instrText>
      </w:r>
      <w:r w:rsidR="00B75F07">
        <w:fldChar w:fldCharType="separate"/>
      </w:r>
      <w:r w:rsidR="00F03ADA">
        <w:t xml:space="preserve">Figure </w:t>
      </w:r>
      <w:r w:rsidR="00F03ADA">
        <w:rPr>
          <w:noProof/>
        </w:rPr>
        <w:t>3</w:t>
      </w:r>
      <w:r w:rsidR="00F03ADA">
        <w:t>.</w:t>
      </w:r>
      <w:r w:rsidR="00F03ADA">
        <w:rPr>
          <w:noProof/>
        </w:rPr>
        <w:t>2</w:t>
      </w:r>
      <w:r w:rsidR="00B75F07">
        <w:fldChar w:fldCharType="end"/>
      </w:r>
      <w:r w:rsidR="00B75F07">
        <w:t xml:space="preserve"> shows that in 2021, 17.7% of exports went to the PRC</w:t>
      </w:r>
      <w:r w:rsidR="009E0391">
        <w:t xml:space="preserve"> while 13.0% went to the</w:t>
      </w:r>
      <w:r w:rsidR="00B75F07">
        <w:t xml:space="preserve"> Russian Federation</w:t>
      </w:r>
      <w:r w:rsidR="009E0391">
        <w:t xml:space="preserve">. </w:t>
      </w:r>
      <w:r w:rsidR="00B75F07">
        <w:t xml:space="preserve">The PRC's lead widened in 2022 as its share rose to 20.1% while the Russian Federation's share dropped to </w:t>
      </w:r>
      <w:r w:rsidR="00B75F07">
        <w:lastRenderedPageBreak/>
        <w:t xml:space="preserve">9.0%. </w:t>
      </w:r>
      <w:r w:rsidR="00171A7B">
        <w:t>Elsewhere, Italy as an export destination surged in importance in 2022, with its share leaping from 1.3% to 13.9%. It remains to be seen whether this is a one-time jump or the beginning of a more lasting relationship; government and business leaders have so far leaned on the latter (</w:t>
      </w:r>
      <w:proofErr w:type="spellStart"/>
      <w:r w:rsidR="00171A7B">
        <w:t>Sakenova</w:t>
      </w:r>
      <w:proofErr w:type="spellEnd"/>
      <w:r w:rsidR="00171A7B">
        <w:t xml:space="preserve"> 2023).</w:t>
      </w:r>
    </w:p>
    <w:p w14:paraId="7218657B" w14:textId="5C299DA0" w:rsidR="00F51ED9" w:rsidRDefault="0043037A" w:rsidP="00F51ED9">
      <w:pPr>
        <w:pStyle w:val="Caption"/>
      </w:pPr>
      <w:bookmarkStart w:id="31" w:name="_Ref77768646"/>
      <w:bookmarkStart w:id="32" w:name="_Toc141689886"/>
      <w:r>
        <w:rPr>
          <w:noProof/>
        </w:rPr>
        <w:drawing>
          <wp:anchor distT="0" distB="0" distL="114300" distR="114300" simplePos="0" relativeHeight="251764736" behindDoc="0" locked="0" layoutInCell="1" allowOverlap="1" wp14:anchorId="78C8642F" wp14:editId="654ACE34">
            <wp:simplePos x="0" y="0"/>
            <wp:positionH relativeFrom="column">
              <wp:posOffset>0</wp:posOffset>
            </wp:positionH>
            <wp:positionV relativeFrom="paragraph">
              <wp:posOffset>188414</wp:posOffset>
            </wp:positionV>
            <wp:extent cx="5731510" cy="3580765"/>
            <wp:effectExtent l="0" t="0" r="0" b="635"/>
            <wp:wrapSquare wrapText="bothSides"/>
            <wp:docPr id="1110476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76066" name="Picture 1110476066"/>
                    <pic:cNvPicPr/>
                  </pic:nvPicPr>
                  <pic:blipFill>
                    <a:blip r:embed="rId19">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F51ED9">
        <w:t xml:space="preserve">Figure </w:t>
      </w:r>
      <w:fldSimple w:instr=" STYLEREF 1 \s ">
        <w:r w:rsidR="00F03ADA">
          <w:rPr>
            <w:noProof/>
          </w:rPr>
          <w:t>3</w:t>
        </w:r>
      </w:fldSimple>
      <w:r w:rsidR="003F26C2">
        <w:t>.</w:t>
      </w:r>
      <w:fldSimple w:instr=" SEQ Figure \* ARABIC \s 1 ">
        <w:r w:rsidR="00F03ADA">
          <w:rPr>
            <w:noProof/>
          </w:rPr>
          <w:t>2</w:t>
        </w:r>
      </w:fldSimple>
      <w:bookmarkEnd w:id="31"/>
      <w:r w:rsidR="00F51ED9">
        <w:t xml:space="preserve">: Top </w:t>
      </w:r>
      <w:r w:rsidR="00E720E3">
        <w:t xml:space="preserve">Ten </w:t>
      </w:r>
      <w:r w:rsidR="00F51ED9">
        <w:t>Trading Partners by Value</w:t>
      </w:r>
      <w:r w:rsidR="000E667B">
        <w:t xml:space="preserve"> </w:t>
      </w:r>
      <w:r w:rsidR="00F51ED9">
        <w:t xml:space="preserve">Added Category, </w:t>
      </w:r>
      <w:r w:rsidR="00D9006C">
        <w:t>Kazakhstan</w:t>
      </w:r>
      <w:r w:rsidR="00F51ED9">
        <w:t>, 202</w:t>
      </w:r>
      <w:r w:rsidR="004D1875">
        <w:t>1</w:t>
      </w:r>
      <w:r w:rsidR="00C020C3">
        <w:t xml:space="preserve"> </w:t>
      </w:r>
      <w:r w:rsidR="001C41D7">
        <w:t>vs</w:t>
      </w:r>
      <w:r w:rsidR="00C020C3">
        <w:t xml:space="preserve"> 2022</w:t>
      </w:r>
      <w:bookmarkEnd w:id="32"/>
    </w:p>
    <w:p w14:paraId="2CFA1061" w14:textId="36385F87" w:rsidR="00F51ED9" w:rsidRDefault="00B55748" w:rsidP="000B2115">
      <w:pPr>
        <w:pStyle w:val="NotesAbbreviations"/>
      </w:pPr>
      <w:r>
        <w:t>AUT = Austria, FRA = France</w:t>
      </w:r>
      <w:r w:rsidR="00F51ED9">
        <w:t xml:space="preserve">, GER = Germany, </w:t>
      </w:r>
      <w:r>
        <w:t xml:space="preserve">GRC = Greece, </w:t>
      </w:r>
      <w:r w:rsidR="00F51ED9">
        <w:t xml:space="preserve">ITA = Italy, JPN = Japan, </w:t>
      </w:r>
      <w:r w:rsidR="005E7428">
        <w:t xml:space="preserve">KGZ = Kyrgyz Republic, </w:t>
      </w:r>
      <w:r>
        <w:t>KOR</w:t>
      </w:r>
      <w:r w:rsidR="005E7428">
        <w:t xml:space="preserve"> = Republic of Korea</w:t>
      </w:r>
      <w:r>
        <w:t xml:space="preserve">, </w:t>
      </w:r>
      <w:r w:rsidR="00F51ED9">
        <w:t>NET = Netherlands, PRC = People’s Republic of China, RUS = Russia</w:t>
      </w:r>
      <w:r w:rsidR="005E7428">
        <w:t>n Federation</w:t>
      </w:r>
      <w:r w:rsidR="00F51ED9">
        <w:t xml:space="preserve">, SPA = Spain, </w:t>
      </w:r>
      <w:r w:rsidR="005E7428">
        <w:t xml:space="preserve">SWI = Switzerland, THA = Thailand, TUR = Turkey, </w:t>
      </w:r>
      <w:r w:rsidR="00F51ED9">
        <w:t>UKG = United Kingdom, USA = United States</w:t>
      </w:r>
      <w:r w:rsidR="00626460">
        <w:t xml:space="preserve">. </w:t>
      </w:r>
    </w:p>
    <w:p w14:paraId="105313E9" w14:textId="35E1998D" w:rsidR="00F51ED9" w:rsidRDefault="00F51ED9" w:rsidP="000B2115">
      <w:pPr>
        <w:pStyle w:val="Notes"/>
      </w:pPr>
      <w:r>
        <w:t xml:space="preserve">Notes: </w:t>
      </w:r>
      <w:r w:rsidR="000B2115">
        <w:tab/>
      </w:r>
      <w:r w:rsidR="00B55748">
        <w:t>Top ten are based on 202</w:t>
      </w:r>
      <w:r w:rsidR="00BE7A16">
        <w:t>2</w:t>
      </w:r>
      <w:r w:rsidR="00B55748">
        <w:t xml:space="preserve"> values. </w:t>
      </w:r>
      <w:r>
        <w:t>Gross exports are decomposed using the methodology in Asian Development Bank (2021).</w:t>
      </w:r>
      <w:r w:rsidRPr="0043125D">
        <w:t xml:space="preserve"> </w:t>
      </w:r>
      <w:r>
        <w:t>DAVAX are directly absorbed domestic value</w:t>
      </w:r>
      <w:r w:rsidR="000E667B">
        <w:t xml:space="preserve"> </w:t>
      </w:r>
      <w:r>
        <w:t>added exports. REX are domestic value</w:t>
      </w:r>
      <w:r w:rsidR="000E667B">
        <w:t xml:space="preserve"> </w:t>
      </w:r>
      <w:r>
        <w:t>added exports reexported by direct importer and eventually absorbed abroad. FVA are foreign value</w:t>
      </w:r>
      <w:r w:rsidR="001C41D7">
        <w:t xml:space="preserve"> </w:t>
      </w:r>
      <w:r>
        <w:t>added embedded in gross exports.</w:t>
      </w:r>
    </w:p>
    <w:p w14:paraId="10ED12BE" w14:textId="6AC3000E" w:rsidR="00230F01" w:rsidRDefault="00230F01" w:rsidP="00230F01">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Asian Development Bank</w:t>
      </w:r>
      <w:r w:rsidR="001C10D2">
        <w:t>.</w:t>
      </w:r>
      <w:r>
        <w:t xml:space="preserve"> Multiregional Input–Output Database</w:t>
      </w:r>
      <w:r w:rsidR="00C020C3">
        <w:t xml:space="preserve"> (July 2023</w:t>
      </w:r>
      <w:r>
        <w:t>);</w:t>
      </w:r>
      <w:r w:rsidRPr="008F0425">
        <w:t xml:space="preserve"> </w:t>
      </w:r>
      <w:r>
        <w:t>Asian Development Bank estimates.</w:t>
      </w:r>
    </w:p>
    <w:p w14:paraId="68FB5404" w14:textId="762AB73F" w:rsidR="00171A7B" w:rsidRDefault="00171A7B" w:rsidP="00171A7B">
      <w:r>
        <w:t>The nature of Kazakhstan's trade differ among its top three partners. This is evident when looking at partners by value added category. Much of the rise in exports to Italy appears to have comprised of GVC exports; that is, exports that go on to be reexported. On the other hand, the PRC retains a dominant share of Kazakhstan's DAVAX exports, or exports that are finally consumed by the direct partner. In short, exports to Italy connect Kazakh value added to global production chains while exports to the PRC tend to remain within the PRC.</w:t>
      </w:r>
    </w:p>
    <w:p w14:paraId="2A0FC0A8" w14:textId="6B7EC1BD" w:rsidR="00B75F07" w:rsidRDefault="00787D25" w:rsidP="008D17E0">
      <w:r>
        <w:t xml:space="preserve">While the Russian Federation's share in total exports, DAVAX, and REX retreated in 2022, its share in Kazakhstan's foreign value added rose </w:t>
      </w:r>
      <w:r w:rsidR="00F030DD">
        <w:t xml:space="preserve">dramatically from 7.9% to 33.9%. </w:t>
      </w:r>
      <w:r w:rsidR="00476FFD">
        <w:t xml:space="preserve">In other words, of the foreign value added in Kazakhstan's exports, a third was contributed by the Russian Federation in 2022. This </w:t>
      </w:r>
      <w:r w:rsidR="005E7428">
        <w:t>is</w:t>
      </w:r>
      <w:r w:rsidR="00476FFD">
        <w:t xml:space="preserve"> a curious development given the disruptions in Russian trade linkages caused by Western sanctions. One explanation may be that as </w:t>
      </w:r>
      <w:r w:rsidR="00F030DD">
        <w:t>the Russian Federation move</w:t>
      </w:r>
      <w:r w:rsidR="00476FFD">
        <w:t>s</w:t>
      </w:r>
      <w:r w:rsidR="00F030DD">
        <w:t xml:space="preserve"> closer economically to the PRC</w:t>
      </w:r>
      <w:r w:rsidR="005E7428">
        <w:t xml:space="preserve"> (Wang 2023)</w:t>
      </w:r>
      <w:r w:rsidR="00476FFD">
        <w:t>,</w:t>
      </w:r>
      <w:r w:rsidR="00F030DD">
        <w:t xml:space="preserve"> </w:t>
      </w:r>
      <w:r w:rsidR="00476FFD">
        <w:t xml:space="preserve">Kazakhstan might be acting </w:t>
      </w:r>
      <w:r w:rsidR="00476FFD">
        <w:lastRenderedPageBreak/>
        <w:t>as a conduit through which Russian value added reaches the PRC</w:t>
      </w:r>
      <w:r w:rsidR="00F030DD">
        <w:t xml:space="preserve">. </w:t>
      </w:r>
      <w:r w:rsidR="009E0391">
        <w:t>Nevertheless, the fact that FVA from the PRC also rose dramatically (from 8.9% in 2021 to 14.1% in 2022) speaks to a tightening integration between Kazakhstan and the PRC independent of the Russian Federation.</w:t>
      </w:r>
    </w:p>
    <w:p w14:paraId="7F5A4F7C" w14:textId="307DE687" w:rsidR="00BD2830" w:rsidRDefault="005E36FC" w:rsidP="008D17E0">
      <w:pPr>
        <w:rPr>
          <w:rFonts w:eastAsia="Calibri" w:cstheme="minorHAnsi"/>
          <w:color w:val="000000" w:themeColor="text1"/>
          <w:szCs w:val="22"/>
        </w:rPr>
      </w:pPr>
      <w:r>
        <w:t xml:space="preserve">Quantifying the importance of GVCs in </w:t>
      </w:r>
      <w:r w:rsidR="00D636C1">
        <w:t>Kazakhstan's</w:t>
      </w:r>
      <w:r>
        <w:t xml:space="preserve"> economy is the GVC participation rate</w:t>
      </w:r>
      <w:r w:rsidR="00D636C1">
        <w:t>, which is just the amount of GVC trade expressed as a share of some base</w:t>
      </w:r>
      <w:r>
        <w:t xml:space="preserve">. </w:t>
      </w:r>
      <w:r w:rsidR="00D636C1">
        <w:t>As mentioned briefly above, t</w:t>
      </w:r>
      <w:r>
        <w:t>wo approaches are possible: a trade-based approach</w:t>
      </w:r>
      <w:r w:rsidR="00D636C1">
        <w:t xml:space="preserve"> and a production-based approach. The trade-based participation rate divides indirect trade </w:t>
      </w:r>
      <w:r w:rsidR="004D1875">
        <w:t xml:space="preserve">by </w:t>
      </w:r>
      <w:r w:rsidR="00D636C1">
        <w:t xml:space="preserve">gross exports, thereby measuring the </w:t>
      </w:r>
      <w:r w:rsidR="00D636C1" w:rsidRPr="004D1875">
        <w:rPr>
          <w:i/>
          <w:iCs/>
        </w:rPr>
        <w:t>intensive</w:t>
      </w:r>
      <w:r w:rsidR="00D636C1">
        <w:t xml:space="preserve"> importance of GVCs. </w:t>
      </w:r>
      <w:r w:rsidR="004D1875">
        <w:t>It may further be divided into a forward and a backward participation rate, corresponding to the forward and backward integration into GVCs discussed above</w:t>
      </w:r>
      <w:r w:rsidR="004D1875" w:rsidRPr="00124E17">
        <w:t xml:space="preserve">. </w:t>
      </w:r>
      <w:r w:rsidR="00D636C1">
        <w:t xml:space="preserve">The </w:t>
      </w:r>
      <w:r>
        <w:t xml:space="preserve">production-based approach, </w:t>
      </w:r>
      <w:r w:rsidR="00D636C1">
        <w:t xml:space="preserve">meanwhile, </w:t>
      </w:r>
      <w:r w:rsidR="004D1875">
        <w:t xml:space="preserve">divides indirect plus intermediate trade with </w:t>
      </w:r>
      <w:r>
        <w:t>domestic value</w:t>
      </w:r>
      <w:r w:rsidR="00BA7F19">
        <w:t xml:space="preserve"> </w:t>
      </w:r>
      <w:r>
        <w:t xml:space="preserve">added (i.e. </w:t>
      </w:r>
      <w:r w:rsidR="007970F4">
        <w:t>gross domestic product or GDP</w:t>
      </w:r>
      <w:r>
        <w:t>)</w:t>
      </w:r>
      <w:r w:rsidR="004D1875">
        <w:t xml:space="preserve">, thereby measuring the </w:t>
      </w:r>
      <w:r w:rsidR="004D1875" w:rsidRPr="004D1875">
        <w:rPr>
          <w:i/>
          <w:iCs/>
        </w:rPr>
        <w:t>extensive</w:t>
      </w:r>
      <w:r w:rsidR="004D1875">
        <w:t xml:space="preserve"> importance of GVCs.</w:t>
      </w:r>
      <w:r>
        <w:t xml:space="preserve"> </w:t>
      </w:r>
      <w:r w:rsidR="00BA43C9">
        <w:t>More details on computing participation rates are p</w:t>
      </w:r>
      <w:r w:rsidR="004D1875">
        <w:t>r</w:t>
      </w:r>
      <w:r w:rsidR="00BA43C9">
        <w:t xml:space="preserve">ovided in </w:t>
      </w:r>
      <w:r w:rsidRPr="00124E17">
        <w:rPr>
          <w:rFonts w:eastAsia="Calibri" w:cstheme="minorHAnsi"/>
          <w:color w:val="000000" w:themeColor="text1"/>
          <w:szCs w:val="22"/>
        </w:rPr>
        <w:fldChar w:fldCharType="begin"/>
      </w:r>
      <w:r w:rsidRPr="00124E17">
        <w:rPr>
          <w:rFonts w:eastAsia="Calibri" w:cstheme="minorHAnsi"/>
          <w:color w:val="000000" w:themeColor="text1"/>
          <w:szCs w:val="22"/>
        </w:rPr>
        <w:instrText xml:space="preserve"> REF _Ref77751741 </w:instrText>
      </w:r>
      <w:r w:rsidR="00124E17" w:rsidRPr="00124E17">
        <w:rPr>
          <w:rFonts w:eastAsia="Calibri" w:cstheme="minorHAnsi"/>
          <w:color w:val="000000" w:themeColor="text1"/>
          <w:szCs w:val="22"/>
        </w:rPr>
        <w:instrText xml:space="preserve"> \* MERGEFORMAT </w:instrText>
      </w:r>
      <w:r w:rsidRPr="00124E17">
        <w:rPr>
          <w:rFonts w:eastAsia="Calibri" w:cstheme="minorHAnsi"/>
          <w:color w:val="000000" w:themeColor="text1"/>
          <w:szCs w:val="22"/>
        </w:rPr>
        <w:fldChar w:fldCharType="separate"/>
      </w:r>
      <w:r w:rsidR="00F03ADA" w:rsidRPr="009F0FF5">
        <w:t xml:space="preserve">Box </w:t>
      </w:r>
      <w:r w:rsidR="00F03ADA">
        <w:rPr>
          <w:noProof/>
        </w:rPr>
        <w:t>4</w:t>
      </w:r>
      <w:r w:rsidRPr="00124E17">
        <w:rPr>
          <w:rFonts w:eastAsia="Calibri" w:cstheme="minorHAnsi"/>
          <w:color w:val="000000" w:themeColor="text1"/>
          <w:szCs w:val="22"/>
        </w:rPr>
        <w:fldChar w:fldCharType="end"/>
      </w:r>
      <w:r>
        <w:rPr>
          <w:rFonts w:eastAsia="Calibri" w:cstheme="minorHAnsi"/>
          <w:color w:val="000000" w:themeColor="text1"/>
          <w:szCs w:val="22"/>
        </w:rPr>
        <w:t>.</w:t>
      </w:r>
    </w:p>
    <w:p w14:paraId="6E91E122" w14:textId="62E8DC78" w:rsidR="004F2F8C" w:rsidRPr="004D1875" w:rsidRDefault="00716285" w:rsidP="00A219C0">
      <w:pPr>
        <w:rPr>
          <w:color w:val="FF0000"/>
        </w:rPr>
      </w:pPr>
      <w:r>
        <w:fldChar w:fldCharType="begin"/>
      </w:r>
      <w:r>
        <w:instrText xml:space="preserve"> REF _Ref77769841 </w:instrText>
      </w:r>
      <w:r w:rsidR="008D17E0">
        <w:instrText xml:space="preserve"> \* MERGEFORMAT </w:instrText>
      </w:r>
      <w:r>
        <w:fldChar w:fldCharType="separate"/>
      </w:r>
      <w:r w:rsidR="00F03ADA">
        <w:t xml:space="preserve">Figure </w:t>
      </w:r>
      <w:r w:rsidR="00F03ADA">
        <w:rPr>
          <w:noProof/>
        </w:rPr>
        <w:t>3.3</w:t>
      </w:r>
      <w:r>
        <w:rPr>
          <w:noProof/>
        </w:rPr>
        <w:fldChar w:fldCharType="end"/>
      </w:r>
      <w:r w:rsidR="006B783E">
        <w:t xml:space="preserve"> looks at the historical trend in </w:t>
      </w:r>
      <w:r w:rsidR="004D1875">
        <w:t>Kazakhstan'</w:t>
      </w:r>
      <w:r w:rsidR="004D1875" w:rsidRPr="00EC2411">
        <w:t>s</w:t>
      </w:r>
      <w:r w:rsidR="005644DA" w:rsidRPr="00EC2411">
        <w:t xml:space="preserve"> </w:t>
      </w:r>
      <w:r w:rsidR="006B783E" w:rsidRPr="00EC2411">
        <w:t>participation rates while</w:t>
      </w:r>
      <w:r w:rsidR="00A219C0" w:rsidRPr="00EC2411">
        <w:t xml:space="preserve"> </w:t>
      </w:r>
      <w:fldSimple w:instr=" REF _Ref83841136 ">
        <w:r w:rsidR="00F03ADA">
          <w:t xml:space="preserve">Figure </w:t>
        </w:r>
        <w:r w:rsidR="00F03ADA">
          <w:rPr>
            <w:noProof/>
          </w:rPr>
          <w:t>3</w:t>
        </w:r>
        <w:r w:rsidR="00F03ADA">
          <w:t>.</w:t>
        </w:r>
        <w:r w:rsidR="00F03ADA">
          <w:rPr>
            <w:noProof/>
          </w:rPr>
          <w:t>4</w:t>
        </w:r>
      </w:fldSimple>
      <w:r w:rsidR="00167DDE" w:rsidRPr="00EC2411">
        <w:t xml:space="preserve"> </w:t>
      </w:r>
      <w:r w:rsidR="006B783E" w:rsidRPr="00EC2411">
        <w:t xml:space="preserve">compares these rates </w:t>
      </w:r>
      <w:r w:rsidR="000F4D32" w:rsidRPr="00EC2411">
        <w:t>with those of</w:t>
      </w:r>
      <w:r w:rsidR="006B783E" w:rsidRPr="00EC2411">
        <w:t xml:space="preserve"> </w:t>
      </w:r>
      <w:r w:rsidR="00265820" w:rsidRPr="00EC2411">
        <w:t>related</w:t>
      </w:r>
      <w:r w:rsidR="006B783E" w:rsidRPr="00EC2411">
        <w:t xml:space="preserve"> economies.</w:t>
      </w:r>
      <w:r w:rsidR="008415C6" w:rsidRPr="00EC2411">
        <w:t xml:space="preserve"> </w:t>
      </w:r>
      <w:r w:rsidR="00D21135" w:rsidRPr="00EC2411">
        <w:t xml:space="preserve">The fact that forward participation is much higher than backward participation in the trade-based approach implies that </w:t>
      </w:r>
      <w:r w:rsidR="00EC2411" w:rsidRPr="00EC2411">
        <w:t>Kazakhstan</w:t>
      </w:r>
      <w:r w:rsidR="00D21135" w:rsidRPr="00EC2411">
        <w:t xml:space="preserve"> tends to </w:t>
      </w:r>
      <w:r w:rsidR="009C775D" w:rsidRPr="00EC2411">
        <w:t xml:space="preserve">be situated at the more upstream sections of GVCs. That is, </w:t>
      </w:r>
      <w:r w:rsidR="00EC2411" w:rsidRPr="00EC2411">
        <w:t>Kazakhstan's</w:t>
      </w:r>
      <w:r w:rsidR="009C775D" w:rsidRPr="00EC2411">
        <w:t xml:space="preserve"> inputs </w:t>
      </w:r>
      <w:r w:rsidR="00EC2411" w:rsidRPr="00EC2411">
        <w:t xml:space="preserve">(mainly oil) </w:t>
      </w:r>
      <w:r w:rsidR="009C775D" w:rsidRPr="00EC2411">
        <w:t>are used by other e</w:t>
      </w:r>
      <w:r w:rsidR="005D082A" w:rsidRPr="00EC2411">
        <w:t>conomies</w:t>
      </w:r>
      <w:r w:rsidR="009C775D" w:rsidRPr="00EC2411">
        <w:t xml:space="preserve"> to a greater </w:t>
      </w:r>
      <w:r w:rsidR="006F13E5" w:rsidRPr="00EC2411">
        <w:t>degree than</w:t>
      </w:r>
      <w:r w:rsidR="009C775D" w:rsidRPr="00EC2411">
        <w:t xml:space="preserve"> other economies’ inputs</w:t>
      </w:r>
      <w:r w:rsidR="005D082A" w:rsidRPr="00EC2411">
        <w:t xml:space="preserve"> are used by </w:t>
      </w:r>
      <w:r w:rsidR="00EC2411" w:rsidRPr="00EC2411">
        <w:t>Kazakhstan</w:t>
      </w:r>
      <w:r w:rsidR="009C775D" w:rsidRPr="00EC2411">
        <w:t xml:space="preserve">. </w:t>
      </w:r>
      <w:r w:rsidR="00EC2411" w:rsidRPr="00EC2411">
        <w:t xml:space="preserve">As of 2022, the forward trade-based GVC participation rate stood at 37.5% while the backward rate was 9.2%. This gives an overall trade-based GVC participation rate of 46.7%, which as seen in </w:t>
      </w:r>
      <w:r w:rsidR="00EC2411" w:rsidRPr="00EC2411">
        <w:fldChar w:fldCharType="begin"/>
      </w:r>
      <w:r w:rsidR="00EC2411" w:rsidRPr="00EC2411">
        <w:instrText xml:space="preserve"> REF _Ref83841136 \h </w:instrText>
      </w:r>
      <w:r w:rsidR="00EC2411" w:rsidRPr="00EC2411">
        <w:fldChar w:fldCharType="separate"/>
      </w:r>
      <w:r w:rsidR="00F03ADA">
        <w:t xml:space="preserve">Figure </w:t>
      </w:r>
      <w:r w:rsidR="00F03ADA">
        <w:rPr>
          <w:noProof/>
        </w:rPr>
        <w:t>3</w:t>
      </w:r>
      <w:r w:rsidR="00F03ADA">
        <w:t>.</w:t>
      </w:r>
      <w:r w:rsidR="00F03ADA">
        <w:rPr>
          <w:noProof/>
        </w:rPr>
        <w:t>4</w:t>
      </w:r>
      <w:r w:rsidR="00EC2411" w:rsidRPr="00EC2411">
        <w:fldChar w:fldCharType="end"/>
      </w:r>
      <w:r w:rsidR="00EC2411" w:rsidRPr="00EC2411">
        <w:t>, is below the world average.</w:t>
      </w:r>
    </w:p>
    <w:p w14:paraId="3E1E5CAA" w14:textId="485D242E" w:rsidR="001F7AE3" w:rsidRDefault="001C41D7" w:rsidP="001F7AE3">
      <w:pPr>
        <w:pStyle w:val="Caption"/>
      </w:pPr>
      <w:bookmarkStart w:id="33" w:name="_Ref77769841"/>
      <w:bookmarkStart w:id="34" w:name="_Toc141689887"/>
      <w:r>
        <w:rPr>
          <w:noProof/>
        </w:rPr>
        <w:drawing>
          <wp:anchor distT="0" distB="0" distL="114300" distR="114300" simplePos="0" relativeHeight="251746304" behindDoc="0" locked="0" layoutInCell="1" allowOverlap="1" wp14:anchorId="4F6DC8C7" wp14:editId="2DD104D5">
            <wp:simplePos x="0" y="0"/>
            <wp:positionH relativeFrom="column">
              <wp:posOffset>0</wp:posOffset>
            </wp:positionH>
            <wp:positionV relativeFrom="paragraph">
              <wp:posOffset>202565</wp:posOffset>
            </wp:positionV>
            <wp:extent cx="5731510" cy="3226435"/>
            <wp:effectExtent l="0" t="0" r="0" b="0"/>
            <wp:wrapSquare wrapText="bothSides"/>
            <wp:docPr id="25831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1581" name="Picture 25831581"/>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14:sizeRelH relativeFrom="page">
              <wp14:pctWidth>0</wp14:pctWidth>
            </wp14:sizeRelH>
            <wp14:sizeRelV relativeFrom="page">
              <wp14:pctHeight>0</wp14:pctHeight>
            </wp14:sizeRelV>
          </wp:anchor>
        </w:drawing>
      </w:r>
      <w:r w:rsidR="001F7AE3">
        <w:t xml:space="preserve">Figure </w:t>
      </w:r>
      <w:fldSimple w:instr=" STYLEREF 1 \s ">
        <w:r w:rsidR="00F03ADA">
          <w:rPr>
            <w:noProof/>
          </w:rPr>
          <w:t>3</w:t>
        </w:r>
      </w:fldSimple>
      <w:r w:rsidR="003F26C2">
        <w:t>.</w:t>
      </w:r>
      <w:fldSimple w:instr=" SEQ Figure \* ARABIC \s 1 ">
        <w:r w:rsidR="00F03ADA">
          <w:rPr>
            <w:noProof/>
          </w:rPr>
          <w:t>3</w:t>
        </w:r>
      </w:fldSimple>
      <w:bookmarkEnd w:id="33"/>
      <w:r w:rsidR="001F7AE3">
        <w:t xml:space="preserve">: Global Value Chain Participation Rates, </w:t>
      </w:r>
      <w:r>
        <w:t>Kazakhstan</w:t>
      </w:r>
      <w:r w:rsidR="000C0FA8">
        <w:t xml:space="preserve">, </w:t>
      </w:r>
      <w:r w:rsidR="001F7AE3">
        <w:t>2000, 2007–202</w:t>
      </w:r>
      <w:r>
        <w:t>2</w:t>
      </w:r>
      <w:bookmarkEnd w:id="34"/>
    </w:p>
    <w:p w14:paraId="0DB7B312" w14:textId="44878C4B" w:rsidR="00E961C2" w:rsidRDefault="00E961C2" w:rsidP="000B2115">
      <w:pPr>
        <w:pStyle w:val="Notes"/>
      </w:pPr>
      <w:r>
        <w:lastRenderedPageBreak/>
        <w:t xml:space="preserve">Notes: </w:t>
      </w:r>
      <w:r w:rsidR="000B2115">
        <w:tab/>
      </w:r>
      <w:r w:rsidR="001367C5">
        <w:t>Participation rates are</w:t>
      </w:r>
      <w:r>
        <w:t xml:space="preserve"> computed using the methodology in Asian Development Bank (2021).</w:t>
      </w:r>
      <w:r w:rsidR="001367C5">
        <w:t xml:space="preserve"> The forward trade-based participation rate is the share of domestic value-added exports re-exported by the direct importer in gross exports. The backward trade-based participation rate is the share of foreign value-added and pure double-counting in gross exports</w:t>
      </w:r>
      <w:r w:rsidR="0026067B">
        <w:t>. The production-based participation rate is the share of unfinished exports in gross exports.</w:t>
      </w:r>
    </w:p>
    <w:p w14:paraId="4BEBA3BE" w14:textId="3685C11B" w:rsidR="00B36AD0" w:rsidRDefault="00B36AD0" w:rsidP="00B36AD0">
      <w:pPr>
        <w:pStyle w:val="NotesBottom"/>
      </w:pPr>
      <w:bookmarkStart w:id="35" w:name="_Ref77773933"/>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xml:space="preserve">; Asian Development Bank. </w:t>
      </w:r>
      <w:r w:rsidR="001C41D7">
        <w:t>Multiregional Input–Output Database (July 2023);</w:t>
      </w:r>
      <w:r w:rsidR="001C41D7" w:rsidRPr="008F0425">
        <w:t xml:space="preserve"> </w:t>
      </w:r>
      <w:r>
        <w:t>Asian Development Bank estimates.</w:t>
      </w:r>
    </w:p>
    <w:p w14:paraId="2C8B44DC" w14:textId="33BEC9B4" w:rsidR="00EC2411" w:rsidRDefault="00EC2411" w:rsidP="00B65C89">
      <w:bookmarkStart w:id="36" w:name="_Ref80105692"/>
      <w:bookmarkEnd w:id="35"/>
      <w:r>
        <w:t xml:space="preserve">While Kazakhstan's trade-based participation rates have been relatively stable over the last decade, its production-based trade has declined markedly. The GVCs in its economy as a whole peaked at 45.7% in 2008; by 2022, it stands at just 27.3%. Given the prominence of oil in Kazakhstan's GVC sector, the volatility in its production-based participation rate is likely a result of the volatility in global oil prices. Indeed, the 2015 nadir in GVC participation (24.5%) coincides with </w:t>
      </w:r>
      <w:r w:rsidR="00CD5874">
        <w:t xml:space="preserve">the end of the oil price boom (see </w:t>
      </w:r>
      <w:r w:rsidR="00CD5874">
        <w:fldChar w:fldCharType="begin"/>
      </w:r>
      <w:r w:rsidR="00CD5874">
        <w:instrText xml:space="preserve"> REF _Ref140049265 \h </w:instrText>
      </w:r>
      <w:r w:rsidR="00CD5874">
        <w:fldChar w:fldCharType="separate"/>
      </w:r>
      <w:r w:rsidR="00F03ADA">
        <w:t xml:space="preserve">Figure </w:t>
      </w:r>
      <w:r w:rsidR="00F03ADA">
        <w:rPr>
          <w:noProof/>
        </w:rPr>
        <w:t>2</w:t>
      </w:r>
      <w:r w:rsidR="00F03ADA">
        <w:t>.</w:t>
      </w:r>
      <w:r w:rsidR="00F03ADA">
        <w:rPr>
          <w:noProof/>
        </w:rPr>
        <w:t>1</w:t>
      </w:r>
      <w:r w:rsidR="00CD5874">
        <w:fldChar w:fldCharType="end"/>
      </w:r>
      <w:r w:rsidR="00CD5874">
        <w:t>).</w:t>
      </w:r>
    </w:p>
    <w:p w14:paraId="0BCD7FE5" w14:textId="04CF4BBF" w:rsidR="00CD5874" w:rsidRDefault="00CD5874" w:rsidP="00B65C89">
      <w:r>
        <w:fldChar w:fldCharType="begin"/>
      </w:r>
      <w:r>
        <w:instrText xml:space="preserve"> REF _Ref83841136 \h </w:instrText>
      </w:r>
      <w:r>
        <w:fldChar w:fldCharType="separate"/>
      </w:r>
      <w:r w:rsidR="00F03ADA">
        <w:t xml:space="preserve">Figure </w:t>
      </w:r>
      <w:r w:rsidR="00F03ADA">
        <w:rPr>
          <w:noProof/>
        </w:rPr>
        <w:t>3</w:t>
      </w:r>
      <w:r w:rsidR="00F03ADA">
        <w:t>.</w:t>
      </w:r>
      <w:r w:rsidR="00F03ADA">
        <w:rPr>
          <w:noProof/>
        </w:rPr>
        <w:t>4</w:t>
      </w:r>
      <w:r>
        <w:fldChar w:fldCharType="end"/>
      </w:r>
      <w:r>
        <w:t xml:space="preserve"> contextualizes Kazakhstan's participation rates by comparing it with its neighbors and fellow oil exporters. Its trade-based participation rate trails that of </w:t>
      </w:r>
      <w:r w:rsidR="00FD3B8A">
        <w:t>fellow Central Asian economies</w:t>
      </w:r>
      <w:r>
        <w:t xml:space="preserve"> Kyrgyz Republic</w:t>
      </w:r>
      <w:r w:rsidR="00FD3B8A">
        <w:t xml:space="preserve">, </w:t>
      </w:r>
      <w:r>
        <w:t>Georgia</w:t>
      </w:r>
      <w:r w:rsidR="00FD3B8A">
        <w:t xml:space="preserve">, and Mongolia. Among oil exporters, it is well below the participation rate of Brunei Darussalam but remains ahead of the Russian Federation and Saudi Arabia. As for its production-based participation, despite having declined over the decades, it remains well above the world average. </w:t>
      </w:r>
    </w:p>
    <w:p w14:paraId="30ED7031" w14:textId="1EC0BA6D" w:rsidR="00167DDE" w:rsidRPr="00167DDE" w:rsidRDefault="0056399A" w:rsidP="00167DDE">
      <w:pPr>
        <w:pStyle w:val="Caption"/>
      </w:pPr>
      <w:bookmarkStart w:id="37" w:name="_Ref83841136"/>
      <w:bookmarkStart w:id="38" w:name="_Toc141689888"/>
      <w:r>
        <w:rPr>
          <w:noProof/>
        </w:rPr>
        <w:drawing>
          <wp:anchor distT="0" distB="0" distL="114300" distR="114300" simplePos="0" relativeHeight="251747328" behindDoc="0" locked="0" layoutInCell="1" allowOverlap="1" wp14:anchorId="68E14AAD" wp14:editId="1B7825ED">
            <wp:simplePos x="0" y="0"/>
            <wp:positionH relativeFrom="column">
              <wp:posOffset>0</wp:posOffset>
            </wp:positionH>
            <wp:positionV relativeFrom="paragraph">
              <wp:posOffset>192059</wp:posOffset>
            </wp:positionV>
            <wp:extent cx="5731510" cy="2327910"/>
            <wp:effectExtent l="0" t="0" r="0" b="0"/>
            <wp:wrapSquare wrapText="bothSides"/>
            <wp:docPr id="2320895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89561" name="Picture 232089561"/>
                    <pic:cNvPicPr/>
                  </pic:nvPicPr>
                  <pic:blipFill>
                    <a:blip r:embed="rId21">
                      <a:extLst>
                        <a:ext uri="{28A0092B-C50C-407E-A947-70E740481C1C}">
                          <a14:useLocalDpi xmlns:a14="http://schemas.microsoft.com/office/drawing/2010/main" val="0"/>
                        </a:ext>
                      </a:extLst>
                    </a:blip>
                    <a:stretch>
                      <a:fillRect/>
                    </a:stretch>
                  </pic:blipFill>
                  <pic:spPr>
                    <a:xfrm>
                      <a:off x="0" y="0"/>
                      <a:ext cx="5731510" cy="2327910"/>
                    </a:xfrm>
                    <a:prstGeom prst="rect">
                      <a:avLst/>
                    </a:prstGeom>
                  </pic:spPr>
                </pic:pic>
              </a:graphicData>
            </a:graphic>
            <wp14:sizeRelH relativeFrom="page">
              <wp14:pctWidth>0</wp14:pctWidth>
            </wp14:sizeRelH>
            <wp14:sizeRelV relativeFrom="page">
              <wp14:pctHeight>0</wp14:pctHeight>
            </wp14:sizeRelV>
          </wp:anchor>
        </w:drawing>
      </w:r>
      <w:r w:rsidR="00167DDE">
        <w:t xml:space="preserve">Figure </w:t>
      </w:r>
      <w:fldSimple w:instr=" STYLEREF 1 \s ">
        <w:r w:rsidR="00F03ADA">
          <w:rPr>
            <w:noProof/>
          </w:rPr>
          <w:t>3</w:t>
        </w:r>
      </w:fldSimple>
      <w:r w:rsidR="003F26C2">
        <w:t>.</w:t>
      </w:r>
      <w:fldSimple w:instr=" SEQ Figure \* ARABIC \s 1 ">
        <w:r w:rsidR="00F03ADA">
          <w:rPr>
            <w:noProof/>
          </w:rPr>
          <w:t>4</w:t>
        </w:r>
      </w:fldSimple>
      <w:bookmarkEnd w:id="36"/>
      <w:bookmarkEnd w:id="37"/>
      <w:r w:rsidR="00167DDE">
        <w:t xml:space="preserve">: Global Value Chain Participation Rates, Selected </w:t>
      </w:r>
      <w:r w:rsidR="00D514CF">
        <w:t>Countries</w:t>
      </w:r>
      <w:r w:rsidR="00167DDE">
        <w:t>, 2000, 2010, 202</w:t>
      </w:r>
      <w:r>
        <w:t>2</w:t>
      </w:r>
      <w:bookmarkEnd w:id="38"/>
    </w:p>
    <w:p w14:paraId="51AB8A8B" w14:textId="2146954A" w:rsidR="004201A5" w:rsidRDefault="004201A5" w:rsidP="000B2115">
      <w:pPr>
        <w:pStyle w:val="Notes"/>
      </w:pPr>
      <w:r>
        <w:t xml:space="preserve">Notes: </w:t>
      </w:r>
      <w:r w:rsidR="000B2115">
        <w:tab/>
      </w:r>
      <w:r>
        <w:t>Participation rates are computed using the methodology in Asian Development Bank (2021). The trade-based participation rate is the share of indirect trade in gross exports. The production-based participation rate is the share of unfinished exports in gross exports.</w:t>
      </w:r>
    </w:p>
    <w:p w14:paraId="29F59D0C" w14:textId="437645FD" w:rsidR="00B36AD0" w:rsidRDefault="00B36AD0" w:rsidP="00B36AD0">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Asian Development Bank. Multiregional Input–Output Database</w:t>
      </w:r>
      <w:r w:rsidR="00FD3B8A">
        <w:t xml:space="preserve"> (July 2023</w:t>
      </w:r>
      <w:r>
        <w:t>);</w:t>
      </w:r>
      <w:r w:rsidRPr="008F0425">
        <w:t xml:space="preserve"> </w:t>
      </w:r>
      <w:r>
        <w:t>Asian Development Bank estimates.</w:t>
      </w:r>
    </w:p>
    <w:p w14:paraId="3B71C0EA" w14:textId="53BE7B9D" w:rsidR="0064219A" w:rsidRDefault="0064219A" w:rsidP="0064219A">
      <w:bookmarkStart w:id="39" w:name="_Ref77775430"/>
      <w:r>
        <w:t xml:space="preserve">Aggregate-level rates may mask differences across sectors. With this in mind, </w:t>
      </w:r>
      <w:r w:rsidR="008130E0">
        <w:fldChar w:fldCharType="begin"/>
      </w:r>
      <w:r w:rsidR="008130E0">
        <w:instrText xml:space="preserve"> REF _Ref141649489 \h </w:instrText>
      </w:r>
      <w:r w:rsidR="008130E0">
        <w:fldChar w:fldCharType="separate"/>
      </w:r>
      <w:r w:rsidR="008130E0">
        <w:t xml:space="preserve">Figure </w:t>
      </w:r>
      <w:r w:rsidR="008130E0">
        <w:rPr>
          <w:noProof/>
        </w:rPr>
        <w:t>3</w:t>
      </w:r>
      <w:r w:rsidR="008130E0">
        <w:t>.</w:t>
      </w:r>
      <w:r w:rsidR="008130E0">
        <w:rPr>
          <w:noProof/>
        </w:rPr>
        <w:t>5</w:t>
      </w:r>
      <w:r w:rsidR="008130E0">
        <w:fldChar w:fldCharType="end"/>
      </w:r>
      <w:r w:rsidR="008130E0">
        <w:t xml:space="preserve"> </w:t>
      </w:r>
      <w:r>
        <w:t xml:space="preserve">applies the exports decomposition framework at the sector level. Sectors here are identified by the sector that actually exports, rather than the sector from which the value added originated from. Thus, mining exports, for example, may contain value added from other sectors, but the good that is actually exported is classified under the mining sector. This approach was chosen to allow for comparability with the aggregate decomposition. </w:t>
      </w:r>
    </w:p>
    <w:p w14:paraId="6C6EFF9C" w14:textId="5D017EBC" w:rsidR="00C816E3" w:rsidRDefault="00C816E3" w:rsidP="00C816E3">
      <w:pPr>
        <w:pStyle w:val="Caption"/>
      </w:pPr>
      <w:bookmarkStart w:id="40" w:name="_Ref141649489"/>
      <w:bookmarkStart w:id="41" w:name="_Toc141689889"/>
      <w:r>
        <w:lastRenderedPageBreak/>
        <w:t xml:space="preserve">Figure </w:t>
      </w:r>
      <w:fldSimple w:instr=" STYLEREF 1 \s ">
        <w:r w:rsidR="00F03ADA">
          <w:rPr>
            <w:noProof/>
          </w:rPr>
          <w:t>3</w:t>
        </w:r>
      </w:fldSimple>
      <w:r w:rsidR="003F26C2">
        <w:t>.</w:t>
      </w:r>
      <w:fldSimple w:instr=" SEQ Figure \* ARABIC \s 1 ">
        <w:r w:rsidR="00F03ADA">
          <w:rPr>
            <w:noProof/>
          </w:rPr>
          <w:t>5</w:t>
        </w:r>
      </w:fldSimple>
      <w:bookmarkEnd w:id="39"/>
      <w:bookmarkEnd w:id="40"/>
      <w:r>
        <w:t>: Decomposition of Exports into Value</w:t>
      </w:r>
      <w:r w:rsidR="00B75F07">
        <w:t xml:space="preserve"> </w:t>
      </w:r>
      <w:r>
        <w:t xml:space="preserve">Added Categories by Sector, </w:t>
      </w:r>
      <w:r w:rsidR="00B75F07">
        <w:t>Kazakhstan</w:t>
      </w:r>
      <w:r w:rsidR="00D56170">
        <w:t xml:space="preserve">, </w:t>
      </w:r>
      <w:r>
        <w:t>202</w:t>
      </w:r>
      <w:r w:rsidR="00B75F07">
        <w:t>2</w:t>
      </w:r>
      <w:r w:rsidR="00B75F07">
        <w:rPr>
          <w:noProof/>
        </w:rPr>
        <w:drawing>
          <wp:anchor distT="0" distB="0" distL="114300" distR="114300" simplePos="0" relativeHeight="251748352" behindDoc="0" locked="0" layoutInCell="1" allowOverlap="1" wp14:anchorId="68D5F069" wp14:editId="29496AAE">
            <wp:simplePos x="0" y="0"/>
            <wp:positionH relativeFrom="column">
              <wp:posOffset>0</wp:posOffset>
            </wp:positionH>
            <wp:positionV relativeFrom="paragraph">
              <wp:posOffset>424815</wp:posOffset>
            </wp:positionV>
            <wp:extent cx="5731510" cy="6085840"/>
            <wp:effectExtent l="0" t="0" r="0" b="0"/>
            <wp:wrapSquare wrapText="bothSides"/>
            <wp:docPr id="1423936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36494" name="Picture 1423936494"/>
                    <pic:cNvPicPr/>
                  </pic:nvPicPr>
                  <pic:blipFill>
                    <a:blip r:embed="rId22">
                      <a:extLst>
                        <a:ext uri="{28A0092B-C50C-407E-A947-70E740481C1C}">
                          <a14:useLocalDpi xmlns:a14="http://schemas.microsoft.com/office/drawing/2010/main" val="0"/>
                        </a:ext>
                      </a:extLst>
                    </a:blip>
                    <a:stretch>
                      <a:fillRect/>
                    </a:stretch>
                  </pic:blipFill>
                  <pic:spPr>
                    <a:xfrm>
                      <a:off x="0" y="0"/>
                      <a:ext cx="5731510" cy="6085840"/>
                    </a:xfrm>
                    <a:prstGeom prst="rect">
                      <a:avLst/>
                    </a:prstGeom>
                  </pic:spPr>
                </pic:pic>
              </a:graphicData>
            </a:graphic>
            <wp14:sizeRelH relativeFrom="page">
              <wp14:pctWidth>0</wp14:pctWidth>
            </wp14:sizeRelH>
            <wp14:sizeRelV relativeFrom="page">
              <wp14:pctHeight>0</wp14:pctHeight>
            </wp14:sizeRelV>
          </wp:anchor>
        </w:drawing>
      </w:r>
      <w:bookmarkEnd w:id="41"/>
    </w:p>
    <w:p w14:paraId="4D3B335E" w14:textId="68EF2E5F" w:rsidR="00C816E3" w:rsidRDefault="00C816E3" w:rsidP="000B2115">
      <w:pPr>
        <w:pStyle w:val="Notes"/>
      </w:pPr>
      <w:r>
        <w:t xml:space="preserve">Notes: </w:t>
      </w:r>
      <w:r w:rsidR="000B2115">
        <w:tab/>
      </w:r>
      <w:r>
        <w:t xml:space="preserve">Gross exports are decomposed using the methodology in Asian Development Bank (2021). DAVAX are directly absorbed domestic value-added exports. REX are domestic value-added exports re-exported by direct importer and eventually absorbed abroad. REF are domestic value-added exports re-exported by direct importer and eventually returned to and absorbed at home. FVA are foreign value-added embedded in gross exports. PDC are pure double-counting, a result of value-added crossing the same border more than once. </w:t>
      </w:r>
      <w:r w:rsidR="00F36D8D">
        <w:t xml:space="preserve">Sectors </w:t>
      </w:r>
      <w:r w:rsidR="00E83BEE">
        <w:t>disaggregation is</w:t>
      </w:r>
      <w:r w:rsidR="00F36D8D">
        <w:t xml:space="preserve"> by </w:t>
      </w:r>
      <w:r w:rsidR="00E83BEE">
        <w:t xml:space="preserve">export </w:t>
      </w:r>
      <w:r w:rsidR="00F36D8D">
        <w:t>sector.</w:t>
      </w:r>
    </w:p>
    <w:p w14:paraId="4E9693D9" w14:textId="77777777" w:rsidR="00B36AD0" w:rsidRDefault="00B36AD0" w:rsidP="00B36AD0">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xml:space="preserve">; Asian Development Bank. Multiregional Input–Output Database. </w:t>
      </w:r>
      <w:r w:rsidRPr="0004229A">
        <w:t>https://mrio.adbx.online</w:t>
      </w:r>
      <w:r>
        <w:t xml:space="preserve"> (accessed 1 August 2021);</w:t>
      </w:r>
      <w:r w:rsidRPr="008F0425">
        <w:t xml:space="preserve"> </w:t>
      </w:r>
      <w:r>
        <w:t>Asian Development Bank estimates.</w:t>
      </w:r>
    </w:p>
    <w:p w14:paraId="06CE95D9" w14:textId="77777777" w:rsidR="008130E0" w:rsidRDefault="008130E0" w:rsidP="008130E0">
      <w:r>
        <w:t xml:space="preserve">The sector with the highest (trade-based) rate of GVC participation was mining, with a forward rate of 43.9% and a backward rate of 9.5% in 2022. As it makes up 59.7% of gross exports ($39.9 billion), the mining sector undoubtedly leads trends in Kazakhstan's overall GVC participation. Other sectors with relatively high participation rates like water transport services and leather and wood manufacturing have miniscule exports (less than 0.1% of the </w:t>
      </w:r>
      <w:r>
        <w:lastRenderedPageBreak/>
        <w:t xml:space="preserve">total) and so are not really relevant for Kazakhstan. Its most significant GVC sector besides mining is metals manufacturing, which holds a respectable 17.9% share of total exports ($11.9 billion). Its forward and backward participation rates are </w:t>
      </w:r>
      <w:r w:rsidRPr="00A23541">
        <w:t>36.1%</w:t>
      </w:r>
      <w:r>
        <w:t xml:space="preserve"> and </w:t>
      </w:r>
      <w:r w:rsidRPr="00A23541">
        <w:t>8.8%</w:t>
      </w:r>
      <w:r>
        <w:t>, placing it relatively upstream in the production chain like mining. Given that metals manufacturing is associated with more sophisticated, higher value added production processes than mining, it is a good candidate sector for Kazakhstan to expand to in its pursuit of diversification.</w:t>
      </w:r>
    </w:p>
    <w:p w14:paraId="4A8B26E6" w14:textId="09A8BC0D" w:rsidR="000E0F2F" w:rsidRDefault="005A3C23" w:rsidP="009F0EE6">
      <w:r>
        <w:t xml:space="preserve">To formalize the idea of </w:t>
      </w:r>
      <w:proofErr w:type="spellStart"/>
      <w:r>
        <w:t>upstreamness</w:t>
      </w:r>
      <w:proofErr w:type="spellEnd"/>
      <w:r>
        <w:t xml:space="preserve"> and </w:t>
      </w:r>
      <w:proofErr w:type="spellStart"/>
      <w:r>
        <w:t>downstreamness</w:t>
      </w:r>
      <w:proofErr w:type="spellEnd"/>
      <w:r>
        <w:t xml:space="preserve"> in GVCs, it helps to have a</w:t>
      </w:r>
      <w:r w:rsidR="00635A0A">
        <w:t xml:space="preserve"> measure </w:t>
      </w:r>
      <w:r>
        <w:t xml:space="preserve">of production </w:t>
      </w:r>
      <w:r w:rsidR="00635A0A">
        <w:t>length</w:t>
      </w:r>
      <w:r w:rsidR="003E02A9">
        <w:t>s</w:t>
      </w:r>
      <w:r w:rsidR="00635A0A">
        <w:t>.</w:t>
      </w:r>
      <w:r w:rsidR="000E0F2F">
        <w:t xml:space="preserve"> Distance in production can be measured if one adopts the simplification of treating value chains like actual “chains”</w:t>
      </w:r>
      <w:r w:rsidR="00956CB2">
        <w:t>—</w:t>
      </w:r>
      <w:r w:rsidR="000E0F2F">
        <w:t xml:space="preserve">that is, </w:t>
      </w:r>
      <w:r w:rsidR="00731ACE">
        <w:t xml:space="preserve">as a </w:t>
      </w:r>
      <w:r w:rsidR="00DD3442">
        <w:t>sequence</w:t>
      </w:r>
      <w:r w:rsidR="00731ACE">
        <w:t xml:space="preserve"> of</w:t>
      </w:r>
      <w:r w:rsidR="000E0F2F">
        <w:t xml:space="preserve"> stages </w:t>
      </w:r>
      <w:r w:rsidR="00731ACE">
        <w:t>that progress</w:t>
      </w:r>
      <w:r w:rsidR="00DD3442">
        <w:t>es</w:t>
      </w:r>
      <w:r w:rsidR="00731ACE">
        <w:t xml:space="preserve"> in one direction </w:t>
      </w:r>
      <w:r w:rsidR="000E0F2F">
        <w:t xml:space="preserve">from beginning to end. </w:t>
      </w:r>
      <w:r w:rsidR="00792D2F">
        <w:t xml:space="preserve">Any given firm, therefore, may be positioned in its value chain by measuring, on the one hand, the number of stages separating its output from final consumers, and on the other, the number of stages separating its output from primary inputs. </w:t>
      </w:r>
      <w:r w:rsidR="00731ACE">
        <w:t>These are forward and backward</w:t>
      </w:r>
      <w:r w:rsidR="00132C9D">
        <w:t xml:space="preserve"> production</w:t>
      </w:r>
      <w:r w:rsidR="00731ACE">
        <w:t xml:space="preserve"> lengths, respectively. Averaging these lengths for all the firms in a sector or economy gives average production lengths</w:t>
      </w:r>
      <w:r w:rsidR="003308FF">
        <w:t xml:space="preserve">. Furthermore, isolating the GVC component of a firm’s production results in GVC production lengths. </w:t>
      </w:r>
      <w:fldSimple w:instr=" REF _Ref77778934 ">
        <w:r w:rsidR="00F03ADA" w:rsidRPr="004656A0">
          <w:t xml:space="preserve">Box </w:t>
        </w:r>
        <w:r w:rsidR="00F03ADA">
          <w:rPr>
            <w:noProof/>
          </w:rPr>
          <w:t>5</w:t>
        </w:r>
      </w:fldSimple>
      <w:r w:rsidR="00CF4198">
        <w:t xml:space="preserve"> p</w:t>
      </w:r>
      <w:r w:rsidR="003308FF">
        <w:t>rovides more details.</w:t>
      </w:r>
    </w:p>
    <w:tbl>
      <w:tblPr>
        <w:tblStyle w:val="TableGrid"/>
        <w:tblW w:w="0" w:type="auto"/>
        <w:tblLook w:val="04A0" w:firstRow="1" w:lastRow="0" w:firstColumn="1" w:lastColumn="0" w:noHBand="0" w:noVBand="1"/>
      </w:tblPr>
      <w:tblGrid>
        <w:gridCol w:w="9016"/>
      </w:tblGrid>
      <w:tr w:rsidR="003308FF" w14:paraId="2A2BE8B9" w14:textId="77777777" w:rsidTr="00CF4198">
        <w:tc>
          <w:tcPr>
            <w:tcW w:w="9016" w:type="dxa"/>
          </w:tcPr>
          <w:p w14:paraId="7988CED6" w14:textId="43C1FDAF" w:rsidR="003308FF" w:rsidRPr="004656A0" w:rsidRDefault="003308FF" w:rsidP="004656A0">
            <w:pPr>
              <w:pStyle w:val="Caption"/>
            </w:pPr>
            <w:bookmarkStart w:id="42" w:name="_Ref77778934"/>
            <w:bookmarkStart w:id="43" w:name="_Toc141647975"/>
            <w:r w:rsidRPr="004656A0">
              <w:t xml:space="preserve">Box </w:t>
            </w:r>
            <w:fldSimple w:instr=" SEQ Box \* ARABIC ">
              <w:r w:rsidR="00F03ADA">
                <w:rPr>
                  <w:noProof/>
                </w:rPr>
                <w:t>5</w:t>
              </w:r>
            </w:fldSimple>
            <w:bookmarkEnd w:id="42"/>
            <w:r w:rsidRPr="004656A0">
              <w:t xml:space="preserve">: </w:t>
            </w:r>
            <w:r w:rsidR="00B51CF4" w:rsidRPr="004656A0">
              <w:t>Measuring</w:t>
            </w:r>
            <w:r w:rsidR="00CF4198" w:rsidRPr="004656A0">
              <w:t xml:space="preserve"> Average Production Lengths</w:t>
            </w:r>
            <w:bookmarkEnd w:id="43"/>
          </w:p>
          <w:p w14:paraId="7C3F819E" w14:textId="63D52143" w:rsidR="003308FF" w:rsidRDefault="00CF4198" w:rsidP="00254055">
            <w:pPr>
              <w:pStyle w:val="Box"/>
            </w:pPr>
            <w:r>
              <w:t xml:space="preserve">While production can take many forms, it is useful to conceive of it as a series of sequential stages </w:t>
            </w:r>
            <w:r w:rsidR="00187454">
              <w:t>where</w:t>
            </w:r>
            <w:r>
              <w:t xml:space="preserve"> each stage </w:t>
            </w:r>
            <w:r w:rsidR="00187454">
              <w:t xml:space="preserve">adds </w:t>
            </w:r>
            <w:r>
              <w:t xml:space="preserve">value until a finished product </w:t>
            </w:r>
            <w:r w:rsidR="00187454">
              <w:t>results</w:t>
            </w:r>
            <w:r>
              <w:t xml:space="preserve"> </w:t>
            </w:r>
            <w:r w:rsidR="00626460">
              <w:t>at</w:t>
            </w:r>
            <w:r w:rsidR="00187454">
              <w:t xml:space="preserve"> </w:t>
            </w:r>
            <w:r>
              <w:t xml:space="preserve">the very end. </w:t>
            </w:r>
            <w:r w:rsidR="00187454">
              <w:t>This simplification allows for the calculation of a firm’s production length, computed from two perspectives. The forward length counts the number of stages separating the firm’s output from the final consumer. The backward length counts the number of stages separating its output from primary inputs. Averaging these lengths for all the firms in a sector or economy gives average production lengths.</w:t>
            </w:r>
          </w:p>
          <w:p w14:paraId="17FC9977" w14:textId="38D77D87" w:rsidR="00187454" w:rsidRDefault="00187454" w:rsidP="00254055">
            <w:pPr>
              <w:pStyle w:val="Box"/>
            </w:pPr>
            <w:proofErr w:type="spellStart"/>
            <w:r>
              <w:t>Antràs</w:t>
            </w:r>
            <w:proofErr w:type="spellEnd"/>
            <w:r>
              <w:t xml:space="preserve"> and </w:t>
            </w:r>
            <w:proofErr w:type="spellStart"/>
            <w:r>
              <w:t>Chor</w:t>
            </w:r>
            <w:proofErr w:type="spellEnd"/>
            <w:r>
              <w:t xml:space="preserve"> (</w:t>
            </w:r>
            <w:r w:rsidR="00856389">
              <w:t>2013</w:t>
            </w:r>
            <w:r>
              <w:t xml:space="preserve">) propose a methodology for computing average production lengths using information in an input–output table. They first identify the share of an entity’s output produced after every possible number of stages. They then use these to take a weighted average of the integers 1, 2, 3, 4, and so on. </w:t>
            </w:r>
            <w:r w:rsidR="005535AB">
              <w:t xml:space="preserve">The result provides the number of stages the </w:t>
            </w:r>
            <w:r w:rsidR="00626460">
              <w:t xml:space="preserve">bulk of the </w:t>
            </w:r>
            <w:r w:rsidR="005535AB">
              <w:t>entity’s production concentrates on.</w:t>
            </w:r>
          </w:p>
          <w:p w14:paraId="09A403A1" w14:textId="0B0B90BE" w:rsidR="00114171" w:rsidRDefault="005535AB" w:rsidP="00254055">
            <w:pPr>
              <w:pStyle w:val="Box"/>
            </w:pPr>
            <w:r>
              <w:t>Wang, Wei, Yu, and Zhu (2017b) refine this by defining average lengths for both forward and backward perspectives. Not only can adding them give the total length of a particular value chain, taking their ratio also gives the relative position of the entity in that chain, whether it is relatively more upstream (longer forward length compared with backward length) or more downstream.</w:t>
            </w:r>
            <w:r w:rsidR="00BA4F1F">
              <w:t xml:space="preserve"> Moreover, they apply the decomposition of production in Wang, Wei, Yu, and Zhu (2017a) to isolate the global value chain (GVC) activity of the entity, </w:t>
            </w:r>
            <w:r w:rsidR="00114171">
              <w:t>defined according to the production-based approach (</w:t>
            </w:r>
            <w:r w:rsidR="00114171" w:rsidRPr="00813F27">
              <w:t xml:space="preserve">see </w:t>
            </w:r>
            <w:fldSimple w:instr=" REF _Ref77751741  \* MERGEFORMAT ">
              <w:r w:rsidR="00F03ADA" w:rsidRPr="009F0FF5">
                <w:t xml:space="preserve">Box </w:t>
              </w:r>
              <w:r w:rsidR="00F03ADA">
                <w:rPr>
                  <w:noProof/>
                </w:rPr>
                <w:t>4</w:t>
              </w:r>
            </w:fldSimple>
            <w:r w:rsidR="00114171" w:rsidRPr="00813F27">
              <w:t>).</w:t>
            </w:r>
            <w:r w:rsidR="00114171">
              <w:t xml:space="preserve"> </w:t>
            </w:r>
          </w:p>
          <w:p w14:paraId="6B753A09" w14:textId="77777777" w:rsidR="00B42758" w:rsidRDefault="00114171" w:rsidP="00254055">
            <w:pPr>
              <w:pStyle w:val="Box"/>
            </w:pPr>
            <w:r>
              <w:t xml:space="preserve">The resulting </w:t>
            </w:r>
            <w:r w:rsidR="00BA4F1F">
              <w:t xml:space="preserve">GVC </w:t>
            </w:r>
            <w:r>
              <w:t xml:space="preserve">production </w:t>
            </w:r>
            <w:r w:rsidR="00BA4F1F">
              <w:t xml:space="preserve">lengths may be divided into </w:t>
            </w:r>
            <w:r w:rsidR="0002189C">
              <w:t>two</w:t>
            </w:r>
            <w:r w:rsidR="00BA4F1F">
              <w:t xml:space="preserve"> segments: </w:t>
            </w:r>
            <w:r w:rsidR="001618EB">
              <w:t>t</w:t>
            </w:r>
            <w:r w:rsidR="00BA4F1F">
              <w:t>he number of stages that occur within the domestic economy of the exporter</w:t>
            </w:r>
            <w:r w:rsidR="001618EB">
              <w:t xml:space="preserve"> and t</w:t>
            </w:r>
            <w:r w:rsidR="00BA4F1F">
              <w:t xml:space="preserve">he number of stages that occur </w:t>
            </w:r>
            <w:r w:rsidR="004930A9">
              <w:t>abroad</w:t>
            </w:r>
            <w:r w:rsidR="00BA4F1F">
              <w:t>.</w:t>
            </w:r>
            <w:r w:rsidR="00C4515B">
              <w:t xml:space="preserve"> </w:t>
            </w:r>
          </w:p>
          <w:p w14:paraId="54185422" w14:textId="7D8768DE" w:rsidR="00FF6558" w:rsidRDefault="00FF6558" w:rsidP="00254055">
            <w:pPr>
              <w:pStyle w:val="Box"/>
            </w:pPr>
            <w:r>
              <w:t>When computing lengths at the sector level, Wang, et al.’s (2017b) methodology identify sectors by the origin of value</w:t>
            </w:r>
            <w:r w:rsidR="00546E6A">
              <w:t xml:space="preserve"> </w:t>
            </w:r>
            <w:r>
              <w:t>added.</w:t>
            </w:r>
          </w:p>
          <w:p w14:paraId="13930D1D" w14:textId="04EF5EB1" w:rsidR="00E83850" w:rsidRPr="00653CBF" w:rsidRDefault="00653CBF" w:rsidP="00254055">
            <w:pPr>
              <w:pStyle w:val="Box"/>
              <w:rPr>
                <w:b/>
                <w:bCs/>
              </w:rPr>
            </w:pPr>
            <w:r w:rsidRPr="00653CBF">
              <w:rPr>
                <w:b/>
                <w:bCs/>
              </w:rPr>
              <w:t>References</w:t>
            </w:r>
          </w:p>
          <w:p w14:paraId="30FF34E7" w14:textId="27E0A928" w:rsidR="00856389" w:rsidRPr="00254055" w:rsidRDefault="00856389" w:rsidP="00254055">
            <w:pPr>
              <w:pStyle w:val="BoxReferences"/>
            </w:pPr>
            <w:r w:rsidRPr="00254055">
              <w:t xml:space="preserve">P. </w:t>
            </w:r>
            <w:proofErr w:type="spellStart"/>
            <w:r w:rsidRPr="00254055">
              <w:t>Antràs</w:t>
            </w:r>
            <w:proofErr w:type="spellEnd"/>
            <w:r w:rsidRPr="00254055">
              <w:t xml:space="preserve"> and D. </w:t>
            </w:r>
            <w:proofErr w:type="spellStart"/>
            <w:r w:rsidRPr="00254055">
              <w:t>Chor</w:t>
            </w:r>
            <w:proofErr w:type="spellEnd"/>
            <w:r w:rsidRPr="00254055">
              <w:t xml:space="preserve">. 2013. Organizing the Global Value Chain. </w:t>
            </w:r>
            <w:proofErr w:type="spellStart"/>
            <w:r w:rsidRPr="00945B19">
              <w:rPr>
                <w:i/>
                <w:iCs/>
              </w:rPr>
              <w:t>Econometrica</w:t>
            </w:r>
            <w:proofErr w:type="spellEnd"/>
            <w:r w:rsidR="000C383A">
              <w:t>.</w:t>
            </w:r>
            <w:r w:rsidRPr="00254055">
              <w:t xml:space="preserve"> 81(6)</w:t>
            </w:r>
            <w:r w:rsidR="002F4F56">
              <w:t xml:space="preserve">. </w:t>
            </w:r>
            <w:r w:rsidRPr="00254055">
              <w:t xml:space="preserve">pp. 2127–2204. </w:t>
            </w:r>
          </w:p>
          <w:p w14:paraId="0D02F6D6" w14:textId="7FBC0466" w:rsidR="00856389" w:rsidRPr="00254055" w:rsidRDefault="00856389" w:rsidP="00254055">
            <w:pPr>
              <w:pStyle w:val="BoxReferences"/>
            </w:pPr>
            <w:r w:rsidRPr="00254055">
              <w:lastRenderedPageBreak/>
              <w:t xml:space="preserve">Z. Wang, S. Wei, X. Yu, and K. Zhu. 2017a. </w:t>
            </w:r>
            <w:r w:rsidR="004B041B" w:rsidRPr="00254055">
              <w:t>Measures of Participation in</w:t>
            </w:r>
            <w:r w:rsidRPr="00254055">
              <w:t xml:space="preserve"> Global Value Chain</w:t>
            </w:r>
            <w:r w:rsidR="004B041B" w:rsidRPr="00254055">
              <w:t>s and Global Business Cycles</w:t>
            </w:r>
            <w:r w:rsidRPr="00254055">
              <w:t xml:space="preserve">. </w:t>
            </w:r>
            <w:r w:rsidRPr="008361EF">
              <w:rPr>
                <w:i/>
                <w:iCs/>
              </w:rPr>
              <w:t>NBER Working Paper</w:t>
            </w:r>
            <w:r w:rsidR="008F3F7C" w:rsidRPr="008F3F7C">
              <w:t>.</w:t>
            </w:r>
            <w:r w:rsidRPr="008F3F7C">
              <w:t xml:space="preserve"> No. </w:t>
            </w:r>
            <w:r w:rsidR="004B041B" w:rsidRPr="008F3F7C">
              <w:t>23222</w:t>
            </w:r>
            <w:r w:rsidRPr="00254055">
              <w:t>. Cambridge, MA: National Bureau of Economic Research.</w:t>
            </w:r>
          </w:p>
          <w:p w14:paraId="54BE78C4" w14:textId="6B01C665" w:rsidR="00E83850" w:rsidRDefault="004B041B" w:rsidP="00254055">
            <w:pPr>
              <w:pStyle w:val="BoxReferences"/>
            </w:pPr>
            <w:r w:rsidRPr="00254055">
              <w:t xml:space="preserve">Z. Wang, S. Wei, X. Yu, and K. Zhu. 2017b. Characterizing Global Value Chains: Production Length and </w:t>
            </w:r>
            <w:proofErr w:type="spellStart"/>
            <w:r w:rsidRPr="00254055">
              <w:t>Upstreamness</w:t>
            </w:r>
            <w:proofErr w:type="spellEnd"/>
            <w:r w:rsidRPr="00254055">
              <w:t xml:space="preserve">. </w:t>
            </w:r>
            <w:r w:rsidRPr="008361EF">
              <w:rPr>
                <w:i/>
                <w:iCs/>
              </w:rPr>
              <w:t>NBER Working Paper</w:t>
            </w:r>
            <w:r w:rsidR="008F3F7C" w:rsidRPr="008F3F7C">
              <w:t>.</w:t>
            </w:r>
            <w:r w:rsidRPr="008F3F7C">
              <w:t xml:space="preserve"> No. 23261</w:t>
            </w:r>
            <w:r w:rsidRPr="00254055">
              <w:t>. Cambridge, MA: National Bureau of Economic Research.</w:t>
            </w:r>
          </w:p>
        </w:tc>
      </w:tr>
    </w:tbl>
    <w:p w14:paraId="111BCD22" w14:textId="77777777" w:rsidR="001756AC" w:rsidRDefault="001756AC" w:rsidP="009F0EE6"/>
    <w:p w14:paraId="4C945CC2" w14:textId="7E99843D" w:rsidR="00A6479D" w:rsidRPr="00F41E2B" w:rsidRDefault="00F41E2B" w:rsidP="00A6479D">
      <w:r>
        <w:t>Longer production lengths, by involving more rounds of value added contribution, are associated with more complex value chains (</w:t>
      </w:r>
      <w:proofErr w:type="spellStart"/>
      <w:r>
        <w:t>Escaith</w:t>
      </w:r>
      <w:proofErr w:type="spellEnd"/>
      <w:r>
        <w:t xml:space="preserve"> and Inomata 2013). Thus, it complements the essentially binary approach of the GVC participation rate, which classifies each dollar of exports as either belonging to GVCs or not. In </w:t>
      </w:r>
      <w:r>
        <w:fldChar w:fldCharType="begin"/>
      </w:r>
      <w:r>
        <w:instrText xml:space="preserve"> REF _Ref77780487 \h </w:instrText>
      </w:r>
      <w:r>
        <w:fldChar w:fldCharType="separate"/>
      </w:r>
      <w:r>
        <w:t xml:space="preserve">Figure </w:t>
      </w:r>
      <w:r>
        <w:rPr>
          <w:noProof/>
        </w:rPr>
        <w:t>3</w:t>
      </w:r>
      <w:r>
        <w:t>.</w:t>
      </w:r>
      <w:r>
        <w:rPr>
          <w:noProof/>
        </w:rPr>
        <w:t>6</w:t>
      </w:r>
      <w:r>
        <w:fldChar w:fldCharType="end"/>
      </w:r>
      <w:r>
        <w:t>, GVC lengths in Kazakhstan at both the aggregate and the sector level for the years 2000, 2010, and 2022 are plotted, specifically highlighting changes between 2000 and 2010 and between 2010 and 2022.</w:t>
      </w:r>
      <w:r w:rsidRPr="00F41E2B">
        <w:t xml:space="preserve"> </w:t>
      </w:r>
      <w:r>
        <w:t xml:space="preserve">Note that in contrast to </w:t>
      </w:r>
      <w:r>
        <w:fldChar w:fldCharType="begin"/>
      </w:r>
      <w:r>
        <w:instrText xml:space="preserve"> REF _Ref77780487 \h </w:instrText>
      </w:r>
      <w:r>
        <w:fldChar w:fldCharType="separate"/>
      </w:r>
      <w:r>
        <w:t xml:space="preserve">Figure </w:t>
      </w:r>
      <w:r>
        <w:rPr>
          <w:noProof/>
        </w:rPr>
        <w:t>3</w:t>
      </w:r>
      <w:r>
        <w:t>.</w:t>
      </w:r>
      <w:r>
        <w:rPr>
          <w:noProof/>
        </w:rPr>
        <w:t>6</w:t>
      </w:r>
      <w:r>
        <w:fldChar w:fldCharType="end"/>
      </w:r>
      <w:r w:rsidR="00FF6558">
        <w:t xml:space="preserve">, sectors are identified by the </w:t>
      </w:r>
      <w:r w:rsidR="000E1B14">
        <w:t>sector from which the value</w:t>
      </w:r>
      <w:r w:rsidR="006626D1">
        <w:t xml:space="preserve"> </w:t>
      </w:r>
      <w:r w:rsidR="000E1B14">
        <w:t>added originated from</w:t>
      </w:r>
      <w:r w:rsidR="00FA1AFF">
        <w:t xml:space="preserve"> following the Wang, et al. (2017b) methodology</w:t>
      </w:r>
      <w:r w:rsidR="000E1B14">
        <w:t xml:space="preserve">. </w:t>
      </w:r>
      <w:r w:rsidR="00A6479D">
        <w:t xml:space="preserve">At the aggregate, total GVC length </w:t>
      </w:r>
      <w:r w:rsidR="00800F2C">
        <w:t>was at</w:t>
      </w:r>
      <w:r w:rsidR="00A6479D" w:rsidRPr="00010D4C">
        <w:rPr>
          <w:color w:val="000000" w:themeColor="text1"/>
        </w:rPr>
        <w:t xml:space="preserve"> </w:t>
      </w:r>
      <w:r w:rsidR="00010D4C" w:rsidRPr="00010D4C">
        <w:rPr>
          <w:color w:val="000000" w:themeColor="text1"/>
        </w:rPr>
        <w:t xml:space="preserve">8.32 </w:t>
      </w:r>
      <w:r w:rsidR="00A6479D" w:rsidRPr="00010D4C">
        <w:rPr>
          <w:color w:val="000000" w:themeColor="text1"/>
        </w:rPr>
        <w:t>stages in 2000,</w:t>
      </w:r>
      <w:r w:rsidR="00800F2C">
        <w:rPr>
          <w:color w:val="000000" w:themeColor="text1"/>
        </w:rPr>
        <w:t xml:space="preserve"> shortened slightly to</w:t>
      </w:r>
      <w:r w:rsidR="00A6479D" w:rsidRPr="00010D4C">
        <w:rPr>
          <w:color w:val="000000" w:themeColor="text1"/>
        </w:rPr>
        <w:t xml:space="preserve"> 8.</w:t>
      </w:r>
      <w:r w:rsidR="00010D4C" w:rsidRPr="00010D4C">
        <w:rPr>
          <w:color w:val="000000" w:themeColor="text1"/>
        </w:rPr>
        <w:t>24</w:t>
      </w:r>
      <w:r w:rsidR="00A6479D" w:rsidRPr="00010D4C">
        <w:rPr>
          <w:color w:val="000000" w:themeColor="text1"/>
        </w:rPr>
        <w:t xml:space="preserve"> in 2010, </w:t>
      </w:r>
      <w:r w:rsidR="00800F2C">
        <w:rPr>
          <w:color w:val="000000" w:themeColor="text1"/>
        </w:rPr>
        <w:t>then lengthened to</w:t>
      </w:r>
      <w:r w:rsidR="00010D4C" w:rsidRPr="00010D4C">
        <w:rPr>
          <w:color w:val="000000" w:themeColor="text1"/>
        </w:rPr>
        <w:t xml:space="preserve"> </w:t>
      </w:r>
      <w:r w:rsidR="00A6479D" w:rsidRPr="00010D4C">
        <w:rPr>
          <w:color w:val="000000" w:themeColor="text1"/>
        </w:rPr>
        <w:t>8.</w:t>
      </w:r>
      <w:r w:rsidR="00010D4C" w:rsidRPr="00010D4C">
        <w:rPr>
          <w:color w:val="000000" w:themeColor="text1"/>
        </w:rPr>
        <w:t>46</w:t>
      </w:r>
      <w:r w:rsidR="00A6479D" w:rsidRPr="00010D4C">
        <w:rPr>
          <w:color w:val="000000" w:themeColor="text1"/>
        </w:rPr>
        <w:t xml:space="preserve"> </w:t>
      </w:r>
      <w:r w:rsidR="00010D4C" w:rsidRPr="00010D4C">
        <w:rPr>
          <w:color w:val="000000" w:themeColor="text1"/>
        </w:rPr>
        <w:t>in</w:t>
      </w:r>
      <w:r w:rsidR="00A6479D" w:rsidRPr="00010D4C">
        <w:rPr>
          <w:color w:val="000000" w:themeColor="text1"/>
        </w:rPr>
        <w:t xml:space="preserve"> 202</w:t>
      </w:r>
      <w:r w:rsidR="00010D4C" w:rsidRPr="00010D4C">
        <w:rPr>
          <w:color w:val="000000" w:themeColor="text1"/>
        </w:rPr>
        <w:t>2</w:t>
      </w:r>
      <w:r w:rsidR="00A6479D" w:rsidRPr="00010D4C">
        <w:rPr>
          <w:color w:val="000000" w:themeColor="text1"/>
        </w:rPr>
        <w:t xml:space="preserve">. Across sectors, the general conclusion is that lengths </w:t>
      </w:r>
      <w:r w:rsidR="00010D4C" w:rsidRPr="00010D4C">
        <w:rPr>
          <w:color w:val="000000" w:themeColor="text1"/>
        </w:rPr>
        <w:t>decreased</w:t>
      </w:r>
      <w:r w:rsidR="00A6479D" w:rsidRPr="00010D4C">
        <w:rPr>
          <w:color w:val="000000" w:themeColor="text1"/>
        </w:rPr>
        <w:t xml:space="preserve"> between 2000 and 2010 </w:t>
      </w:r>
      <w:r w:rsidR="00010D4C" w:rsidRPr="00010D4C">
        <w:rPr>
          <w:color w:val="000000" w:themeColor="text1"/>
        </w:rPr>
        <w:t>then increased</w:t>
      </w:r>
      <w:r w:rsidR="00A6479D" w:rsidRPr="00010D4C">
        <w:rPr>
          <w:color w:val="000000" w:themeColor="text1"/>
        </w:rPr>
        <w:t xml:space="preserve"> between 2010 and 202</w:t>
      </w:r>
      <w:r w:rsidR="00010D4C" w:rsidRPr="00010D4C">
        <w:rPr>
          <w:color w:val="000000" w:themeColor="text1"/>
        </w:rPr>
        <w:t>2</w:t>
      </w:r>
      <w:r w:rsidR="00A6479D" w:rsidRPr="00010D4C">
        <w:rPr>
          <w:color w:val="000000" w:themeColor="text1"/>
        </w:rPr>
        <w:t xml:space="preserve">. </w:t>
      </w:r>
      <w:r w:rsidR="00010D4C" w:rsidRPr="00010D4C">
        <w:rPr>
          <w:color w:val="000000" w:themeColor="text1"/>
        </w:rPr>
        <w:t>The mining sector</w:t>
      </w:r>
      <w:r w:rsidR="00010D4C">
        <w:rPr>
          <w:color w:val="000000" w:themeColor="text1"/>
        </w:rPr>
        <w:t xml:space="preserve"> has </w:t>
      </w:r>
      <w:r w:rsidR="00800F2C">
        <w:rPr>
          <w:color w:val="000000" w:themeColor="text1"/>
        </w:rPr>
        <w:t xml:space="preserve">been </w:t>
      </w:r>
      <w:r w:rsidR="00010D4C">
        <w:rPr>
          <w:color w:val="000000" w:themeColor="text1"/>
        </w:rPr>
        <w:t>lengthen</w:t>
      </w:r>
      <w:r w:rsidR="00800F2C">
        <w:rPr>
          <w:color w:val="000000" w:themeColor="text1"/>
        </w:rPr>
        <w:t>ing</w:t>
      </w:r>
      <w:r w:rsidR="00010D4C">
        <w:rPr>
          <w:color w:val="000000" w:themeColor="text1"/>
        </w:rPr>
        <w:t xml:space="preserve"> consistently throughout the decades, from 7.83 stages in 2000, to 8.06 in 2010, to 8.36 in 2022.</w:t>
      </w:r>
      <w:r w:rsidR="00800F2C">
        <w:rPr>
          <w:color w:val="000000" w:themeColor="text1"/>
        </w:rPr>
        <w:t xml:space="preserve"> The same is not true for metals, which was 8.27 stages long in 2000 but only 8.19 stages long in 2022. Insofar as more production stages imply greater complexity, this suggests that Kazakhstan's metals sector has remained at the same level of sophistication for over two decades.</w:t>
      </w:r>
    </w:p>
    <w:p w14:paraId="46E6136F" w14:textId="3C6CBFEF" w:rsidR="0053063A" w:rsidRDefault="00B75F07" w:rsidP="0053063A">
      <w:pPr>
        <w:pStyle w:val="Caption"/>
      </w:pPr>
      <w:bookmarkStart w:id="44" w:name="_Ref77780487"/>
      <w:bookmarkStart w:id="45" w:name="_Toc141689890"/>
      <w:r>
        <w:rPr>
          <w:noProof/>
        </w:rPr>
        <w:lastRenderedPageBreak/>
        <w:drawing>
          <wp:anchor distT="0" distB="0" distL="114300" distR="114300" simplePos="0" relativeHeight="251749376" behindDoc="0" locked="0" layoutInCell="1" allowOverlap="1" wp14:anchorId="32FEF824" wp14:editId="7D90A58C">
            <wp:simplePos x="0" y="0"/>
            <wp:positionH relativeFrom="column">
              <wp:posOffset>0</wp:posOffset>
            </wp:positionH>
            <wp:positionV relativeFrom="paragraph">
              <wp:posOffset>192059</wp:posOffset>
            </wp:positionV>
            <wp:extent cx="5731510" cy="3580765"/>
            <wp:effectExtent l="0" t="0" r="0" b="0"/>
            <wp:wrapSquare wrapText="bothSides"/>
            <wp:docPr id="8570425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42508" name="Picture 857042508"/>
                    <pic:cNvPicPr/>
                  </pic:nvPicPr>
                  <pic:blipFill>
                    <a:blip r:embed="rId23">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53063A">
        <w:t xml:space="preserve">Figure </w:t>
      </w:r>
      <w:fldSimple w:instr=" STYLEREF 1 \s ">
        <w:r w:rsidR="00F03ADA">
          <w:rPr>
            <w:noProof/>
          </w:rPr>
          <w:t>3</w:t>
        </w:r>
      </w:fldSimple>
      <w:r w:rsidR="003F26C2">
        <w:t>.</w:t>
      </w:r>
      <w:fldSimple w:instr=" SEQ Figure \* ARABIC \s 1 ">
        <w:r w:rsidR="00F03ADA">
          <w:rPr>
            <w:noProof/>
          </w:rPr>
          <w:t>6</w:t>
        </w:r>
      </w:fldSimple>
      <w:bookmarkEnd w:id="44"/>
      <w:r w:rsidR="0053063A">
        <w:t xml:space="preserve">: </w:t>
      </w:r>
      <w:r w:rsidR="007B0184">
        <w:t>GVC</w:t>
      </w:r>
      <w:r w:rsidR="0053063A">
        <w:t xml:space="preserve"> Production Lengths</w:t>
      </w:r>
      <w:r w:rsidR="00937F6D">
        <w:t xml:space="preserve"> </w:t>
      </w:r>
      <w:r w:rsidR="0053063A">
        <w:t xml:space="preserve">by Sector, </w:t>
      </w:r>
      <w:r w:rsidR="009C41B8">
        <w:t>Kazakhstan</w:t>
      </w:r>
      <w:r w:rsidR="008027F2">
        <w:t xml:space="preserve">, </w:t>
      </w:r>
      <w:r w:rsidR="00937F6D">
        <w:t>2000, 2010, 202</w:t>
      </w:r>
      <w:r>
        <w:t>2</w:t>
      </w:r>
      <w:bookmarkEnd w:id="45"/>
    </w:p>
    <w:p w14:paraId="09670DBA" w14:textId="09E6CFE9" w:rsidR="0053063A" w:rsidRDefault="00783CD8" w:rsidP="00653CBF">
      <w:pPr>
        <w:pStyle w:val="NotesAbbreviations"/>
      </w:pPr>
      <w:r>
        <w:t xml:space="preserve">AHF = </w:t>
      </w:r>
      <w:r w:rsidR="007D481E">
        <w:t>a</w:t>
      </w:r>
      <w:r w:rsidR="003D30AB" w:rsidRPr="003D30AB">
        <w:t>griculture, hunting, forestry and fishing</w:t>
      </w:r>
      <w:r w:rsidR="009E6D7A">
        <w:t>;</w:t>
      </w:r>
      <w:r>
        <w:t xml:space="preserve"> </w:t>
      </w:r>
      <w:r w:rsidR="00BF119F">
        <w:t>GVC = global value chain</w:t>
      </w:r>
      <w:r w:rsidR="009E6D7A">
        <w:t>;</w:t>
      </w:r>
      <w:r w:rsidR="00BF119F">
        <w:t xml:space="preserve"> </w:t>
      </w:r>
      <w:r w:rsidR="00010D4C">
        <w:t>MFM</w:t>
      </w:r>
      <w:r w:rsidR="00503A75">
        <w:t xml:space="preserve"> = </w:t>
      </w:r>
      <w:r w:rsidR="00010D4C">
        <w:t>basic metals and fabricated metal</w:t>
      </w:r>
      <w:r w:rsidR="009E6D7A">
        <w:t>;</w:t>
      </w:r>
      <w:r w:rsidR="00503A75">
        <w:t xml:space="preserve"> </w:t>
      </w:r>
      <w:r w:rsidR="00010D4C">
        <w:t>MIN = m</w:t>
      </w:r>
      <w:r w:rsidR="00010D4C" w:rsidRPr="003D30AB">
        <w:t>ining and quarrying</w:t>
      </w:r>
      <w:r w:rsidR="00010D4C">
        <w:t>; WST = w</w:t>
      </w:r>
      <w:r w:rsidR="00010D4C" w:rsidRPr="00010D4C">
        <w:t>holesale trade, except of motor vehicles and motorcycles</w:t>
      </w:r>
      <w:r w:rsidR="00B44A90">
        <w:t xml:space="preserve">. </w:t>
      </w:r>
    </w:p>
    <w:p w14:paraId="2046DBDC" w14:textId="42D990E7" w:rsidR="00A6213C" w:rsidRDefault="00A6213C" w:rsidP="00653CBF">
      <w:pPr>
        <w:pStyle w:val="Notes"/>
      </w:pPr>
      <w:r>
        <w:t>Notes:</w:t>
      </w:r>
      <w:r w:rsidR="00224DEC" w:rsidRPr="00224DEC">
        <w:t xml:space="preserve"> </w:t>
      </w:r>
      <w:r w:rsidR="00653CBF">
        <w:tab/>
      </w:r>
      <w:r w:rsidR="00224DEC">
        <w:t xml:space="preserve">Average </w:t>
      </w:r>
      <w:r w:rsidR="00874AE4">
        <w:t xml:space="preserve">global value chain </w:t>
      </w:r>
      <w:r w:rsidR="00224DEC">
        <w:t>production lengths are computed using the methodology of Wang, Wei, Yu, and Zhu (2017).</w:t>
      </w:r>
      <w:r w:rsidR="00F70F71">
        <w:t xml:space="preserve"> Values are the sum of forward and backward lengths. </w:t>
      </w:r>
      <w:r w:rsidR="00C42AE6">
        <w:t>Sectors with no global value chain production have no lengths and are not included in the chart.</w:t>
      </w:r>
      <w:r w:rsidR="00A25D4E">
        <w:t xml:space="preserve"> Sectors </w:t>
      </w:r>
      <w:r w:rsidR="00E90EB0">
        <w:t>are disaggregated by value-added origins</w:t>
      </w:r>
      <w:r w:rsidR="00A25D4E">
        <w:t xml:space="preserve">. </w:t>
      </w:r>
    </w:p>
    <w:p w14:paraId="2EF2FA7B" w14:textId="271CD0A2" w:rsidR="000D4991" w:rsidRDefault="00860741" w:rsidP="00EC75A5">
      <w:pPr>
        <w:pStyle w:val="NotesBottom"/>
      </w:pPr>
      <w:r>
        <w:t xml:space="preserve">Sources: </w:t>
      </w:r>
      <w:r>
        <w:tab/>
      </w:r>
      <w:r w:rsidRPr="00860741">
        <w:t xml:space="preserve">Z. Wang, S. Wei, X. Yu, and K. Zhu. 2017. Characterizing Global Value Chains: Production Length and </w:t>
      </w:r>
      <w:proofErr w:type="spellStart"/>
      <w:r w:rsidRPr="00860741">
        <w:t>Upstreamness</w:t>
      </w:r>
      <w:proofErr w:type="spellEnd"/>
      <w:r w:rsidRPr="00860741">
        <w:t xml:space="preserve">. </w:t>
      </w:r>
      <w:r w:rsidRPr="00860741">
        <w:rPr>
          <w:i/>
          <w:iCs/>
        </w:rPr>
        <w:t>NBER Working Paper No. 23261</w:t>
      </w:r>
      <w:r w:rsidRPr="00860741">
        <w:t>. Cambridge, MA: National Bureau of Economic Research</w:t>
      </w:r>
      <w:r>
        <w:t xml:space="preserve">; Asian Development Bank. Multiregional Input–Output Database </w:t>
      </w:r>
      <w:r w:rsidR="00010D4C">
        <w:t>(July 2023</w:t>
      </w:r>
      <w:r>
        <w:t>);</w:t>
      </w:r>
      <w:r w:rsidRPr="008F0425">
        <w:t xml:space="preserve"> </w:t>
      </w:r>
      <w:r>
        <w:t>Asian Development Bank estimates.</w:t>
      </w:r>
    </w:p>
    <w:p w14:paraId="20E19AD2" w14:textId="1CD70322" w:rsidR="00BA0ED4" w:rsidRDefault="00000000" w:rsidP="00DE6145">
      <w:fldSimple w:instr=" REF _Ref77797948 ">
        <w:r w:rsidR="00F03ADA">
          <w:t xml:space="preserve">Figure </w:t>
        </w:r>
        <w:r w:rsidR="00F03ADA">
          <w:rPr>
            <w:noProof/>
          </w:rPr>
          <w:t>3</w:t>
        </w:r>
        <w:r w:rsidR="00F03ADA">
          <w:t>.</w:t>
        </w:r>
        <w:r w:rsidR="00F03ADA">
          <w:rPr>
            <w:noProof/>
          </w:rPr>
          <w:t>7</w:t>
        </w:r>
      </w:fldSimple>
      <w:r w:rsidR="00DA000F">
        <w:t xml:space="preserve"> takes a closer look at </w:t>
      </w:r>
      <w:r w:rsidR="00A25D4E">
        <w:t xml:space="preserve">the forward </w:t>
      </w:r>
      <w:r w:rsidR="00DA000F">
        <w:t xml:space="preserve">GVC length by </w:t>
      </w:r>
      <w:r w:rsidR="00FF6558">
        <w:t xml:space="preserve">breaking it down into </w:t>
      </w:r>
      <w:r w:rsidR="00205A78">
        <w:t>two</w:t>
      </w:r>
      <w:r w:rsidR="00FF6558">
        <w:t xml:space="preserve"> segments: stages that occur within the domestic economy</w:t>
      </w:r>
      <w:r w:rsidR="00205A78">
        <w:t xml:space="preserve"> and</w:t>
      </w:r>
      <w:r w:rsidR="00FF6558">
        <w:t xml:space="preserve"> stages that occur abroad. </w:t>
      </w:r>
      <w:r w:rsidR="00DE6145">
        <w:t xml:space="preserve">Note that this only looks at the forward GVC length, meaning production stages are counted from when value added is created in Kazakhstan; the stages that foreign value added underwent are not counted. In the aggregate, 1.64 stages of the GVC sector occur domestically while 2.84 stages occur abroad, for a total GVC production length of 4.48. Mining has a shorter GVC production length at 4.20 stages. Moreover, much of it occurs abroad: 2.95 stages versus the 1.25 stages that occur domestically. This suggests that Kazakhstan exports largely raw mining products, leaving it to foreign firms to process the materials further. The same is the case for the metals sector, where 1.39 stages occur domestically and 2.70 stages occur abroad. </w:t>
      </w:r>
    </w:p>
    <w:p w14:paraId="72B6099F" w14:textId="699507CD" w:rsidR="00E9016F" w:rsidRDefault="00E9016F" w:rsidP="00E9016F">
      <w:pPr>
        <w:pStyle w:val="Caption"/>
      </w:pPr>
      <w:bookmarkStart w:id="46" w:name="_Ref77797948"/>
      <w:bookmarkStart w:id="47" w:name="_Toc141689891"/>
      <w:r>
        <w:lastRenderedPageBreak/>
        <w:t xml:space="preserve">Figure </w:t>
      </w:r>
      <w:fldSimple w:instr=" STYLEREF 1 \s ">
        <w:r w:rsidR="00F03ADA">
          <w:rPr>
            <w:noProof/>
          </w:rPr>
          <w:t>3</w:t>
        </w:r>
      </w:fldSimple>
      <w:r w:rsidR="003F26C2">
        <w:t>.</w:t>
      </w:r>
      <w:fldSimple w:instr=" SEQ Figure \* ARABIC \s 1 ">
        <w:r w:rsidR="00F03ADA">
          <w:rPr>
            <w:noProof/>
          </w:rPr>
          <w:t>7</w:t>
        </w:r>
      </w:fldSimple>
      <w:bookmarkEnd w:id="46"/>
      <w:r>
        <w:t xml:space="preserve">: </w:t>
      </w:r>
      <w:r w:rsidR="00A25D4E">
        <w:t xml:space="preserve">Forward </w:t>
      </w:r>
      <w:r>
        <w:t xml:space="preserve">GVCs Lengths for Selected Sectors, </w:t>
      </w:r>
      <w:r w:rsidR="008E1274">
        <w:t>Kazakhstan</w:t>
      </w:r>
      <w:r w:rsidR="008027F2">
        <w:t xml:space="preserve">, </w:t>
      </w:r>
      <w:r w:rsidR="005846E9">
        <w:t>2000, 2010, 20</w:t>
      </w:r>
      <w:r w:rsidR="00B75F07">
        <w:t>20</w:t>
      </w:r>
      <w:r w:rsidR="005846E9">
        <w:t xml:space="preserve">, </w:t>
      </w:r>
      <w:r>
        <w:t>202</w:t>
      </w:r>
      <w:r w:rsidR="00B75F07">
        <w:rPr>
          <w:noProof/>
        </w:rPr>
        <w:drawing>
          <wp:anchor distT="0" distB="0" distL="114300" distR="114300" simplePos="0" relativeHeight="251750400" behindDoc="0" locked="0" layoutInCell="1" allowOverlap="1" wp14:anchorId="5F5EBDEF" wp14:editId="745675B8">
            <wp:simplePos x="0" y="0"/>
            <wp:positionH relativeFrom="column">
              <wp:posOffset>0</wp:posOffset>
            </wp:positionH>
            <wp:positionV relativeFrom="paragraph">
              <wp:posOffset>212090</wp:posOffset>
            </wp:positionV>
            <wp:extent cx="5731510" cy="3580765"/>
            <wp:effectExtent l="0" t="0" r="0" b="0"/>
            <wp:wrapSquare wrapText="bothSides"/>
            <wp:docPr id="16554938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93879" name="Picture 1655493879"/>
                    <pic:cNvPicPr/>
                  </pic:nvPicPr>
                  <pic:blipFill>
                    <a:blip r:embed="rId24">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B75F07">
        <w:t>2</w:t>
      </w:r>
      <w:bookmarkEnd w:id="47"/>
    </w:p>
    <w:p w14:paraId="3B9D4739" w14:textId="6C68BDA0" w:rsidR="00F20E0B" w:rsidRDefault="00F20E0B" w:rsidP="009C2A5D">
      <w:pPr>
        <w:pStyle w:val="NotesAbbreviations"/>
      </w:pPr>
      <w:r>
        <w:t>GVC = global value chain</w:t>
      </w:r>
      <w:r w:rsidR="00B24E27">
        <w:t>.</w:t>
      </w:r>
    </w:p>
    <w:p w14:paraId="1BC2250F" w14:textId="5E324AF4" w:rsidR="00F20E0B" w:rsidRDefault="00F20E0B" w:rsidP="009C2A5D">
      <w:pPr>
        <w:pStyle w:val="Notes"/>
      </w:pPr>
      <w:r>
        <w:t>Notes:</w:t>
      </w:r>
      <w:r w:rsidRPr="00224DEC">
        <w:t xml:space="preserve"> </w:t>
      </w:r>
      <w:r w:rsidR="009C2A5D">
        <w:tab/>
      </w:r>
      <w:r>
        <w:t xml:space="preserve">Average </w:t>
      </w:r>
      <w:r w:rsidR="00874AE4">
        <w:t xml:space="preserve">global value chain </w:t>
      </w:r>
      <w:r>
        <w:t xml:space="preserve">production lengths are computed using the methodology of Wang, Wei, Yu, and Zhu (2017). </w:t>
      </w:r>
      <w:r w:rsidR="00DD654A">
        <w:t>Sectors are disaggregated by value</w:t>
      </w:r>
      <w:r w:rsidR="00FB4372">
        <w:t xml:space="preserve"> </w:t>
      </w:r>
      <w:r w:rsidR="00DD654A">
        <w:t>added origins</w:t>
      </w:r>
      <w:r w:rsidR="00A25D4E">
        <w:t>.</w:t>
      </w:r>
    </w:p>
    <w:p w14:paraId="79511713" w14:textId="30696EAF" w:rsidR="00EC75A5" w:rsidRDefault="00EC75A5" w:rsidP="00EC75A5">
      <w:pPr>
        <w:pStyle w:val="NotesBottom"/>
      </w:pPr>
      <w:r>
        <w:t xml:space="preserve">Sources: </w:t>
      </w:r>
      <w:r>
        <w:tab/>
      </w:r>
      <w:r w:rsidRPr="00860741">
        <w:t xml:space="preserve">Z. Wang, S. Wei, X. Yu, and K. Zhu. 2017. Characterizing Global Value Chains: Production Length and </w:t>
      </w:r>
      <w:proofErr w:type="spellStart"/>
      <w:r w:rsidRPr="00860741">
        <w:t>Upstreamness</w:t>
      </w:r>
      <w:proofErr w:type="spellEnd"/>
      <w:r w:rsidRPr="00860741">
        <w:t xml:space="preserve">. </w:t>
      </w:r>
      <w:r w:rsidRPr="00860741">
        <w:rPr>
          <w:i/>
          <w:iCs/>
        </w:rPr>
        <w:t>NBER Working Paper No. 23261</w:t>
      </w:r>
      <w:r w:rsidRPr="00860741">
        <w:t>. Cambridge, MA: National Bureau of Economic Research</w:t>
      </w:r>
      <w:r>
        <w:t>; Asian Development Bank. Multiregional Input–Output Database</w:t>
      </w:r>
      <w:r w:rsidR="00E7116C">
        <w:t xml:space="preserve"> (July 2023</w:t>
      </w:r>
      <w:r>
        <w:t>);</w:t>
      </w:r>
      <w:r w:rsidRPr="008F0425">
        <w:t xml:space="preserve"> </w:t>
      </w:r>
      <w:r>
        <w:t>Asian Development Bank estimates.</w:t>
      </w:r>
    </w:p>
    <w:p w14:paraId="2C71B428" w14:textId="725BAC4E" w:rsidR="00C55D8C" w:rsidRDefault="00DE6145" w:rsidP="00C55D8C">
      <w:r>
        <w:t xml:space="preserve">The only major sector for which </w:t>
      </w:r>
      <w:r w:rsidR="005109C2">
        <w:t xml:space="preserve">both </w:t>
      </w:r>
      <w:r>
        <w:t xml:space="preserve">domestic </w:t>
      </w:r>
      <w:r w:rsidR="005109C2">
        <w:t xml:space="preserve">and foreign </w:t>
      </w:r>
      <w:r>
        <w:t>stages are increasingly significantly is wholesale trade. Forward GVC length here was 4.26 stages in 2000, of which 1.79 occu</w:t>
      </w:r>
      <w:r w:rsidR="005109C2">
        <w:t>rred domestically and 2.47 occurred abroad. By 2022, forward length was at 4.93 stages, of which 2.16 was domestic and 2.78 was foreign. The lengthening of wholesale trade suggests that exports here have been growing in complexity, with its value added undergoing more and more production stages both domestically and abroad.</w:t>
      </w:r>
    </w:p>
    <w:p w14:paraId="547DC355" w14:textId="3D652EB7" w:rsidR="00F83973" w:rsidRPr="00D11556" w:rsidRDefault="00A40B81" w:rsidP="00F03940">
      <w:r>
        <w:t>In conclusion, this</w:t>
      </w:r>
      <w:r w:rsidR="000779E8">
        <w:t xml:space="preserve"> survey into </w:t>
      </w:r>
      <w:r w:rsidR="005953B2">
        <w:t>Kazakhstan's</w:t>
      </w:r>
      <w:r w:rsidR="000779E8">
        <w:t xml:space="preserve"> GVC activities </w:t>
      </w:r>
      <w:r w:rsidR="004238CE">
        <w:t xml:space="preserve">points to an economy </w:t>
      </w:r>
      <w:r w:rsidR="005953B2">
        <w:t xml:space="preserve">whose GVC participation revolves mainly around the export of oil, a major input to production used the world over. Unfortunately, Kazakhstan appears to have remained in the relatively simple </w:t>
      </w:r>
      <w:r w:rsidR="00F03940">
        <w:t>segment</w:t>
      </w:r>
      <w:r w:rsidR="005953B2">
        <w:t xml:space="preserve"> of </w:t>
      </w:r>
      <w:r w:rsidR="00F03940">
        <w:t>this</w:t>
      </w:r>
      <w:r w:rsidR="005953B2">
        <w:t xml:space="preserve"> value chain, exporting raw materials that </w:t>
      </w:r>
      <w:r w:rsidR="00F03940">
        <w:t xml:space="preserve">other countries process. The only other significant GVC sector is metals manufacturing, which is the second-largest source of exports. However, it likewise remains on the simple end of the value chain. In terms of trading partners, Kazakhstan appears to be moving closer to the PRC at the expense of the Russian Federation. </w:t>
      </w:r>
      <w:r w:rsidR="00F83973">
        <w:rPr>
          <w:rFonts w:ascii="Calibri" w:eastAsia="Calibri" w:hAnsi="Calibri" w:cs="Calibri"/>
        </w:rPr>
        <w:br w:type="page"/>
      </w:r>
    </w:p>
    <w:p w14:paraId="117FB6F2" w14:textId="211C36F4" w:rsidR="00F83973" w:rsidRDefault="004329D6" w:rsidP="004329D6">
      <w:pPr>
        <w:pStyle w:val="Heading1"/>
      </w:pPr>
      <w:bookmarkStart w:id="48" w:name="_Toc141647942"/>
      <w:r>
        <w:lastRenderedPageBreak/>
        <w:t>Specialization and Competitiveness</w:t>
      </w:r>
      <w:bookmarkEnd w:id="48"/>
    </w:p>
    <w:p w14:paraId="00A260D7" w14:textId="3BB2BA83" w:rsidR="004329D6" w:rsidRDefault="00F077AD" w:rsidP="00603400">
      <w:r>
        <w:t xml:space="preserve">This chapter uses GVC-adjusted versions of two classic trade indicators to explore </w:t>
      </w:r>
      <w:r w:rsidR="001C1FE5">
        <w:t>Kazakhstan's</w:t>
      </w:r>
      <w:r>
        <w:t xml:space="preserve"> specialization and competitiveness. </w:t>
      </w:r>
      <w:r w:rsidR="00712730">
        <w:t>First, t</w:t>
      </w:r>
      <w:r w:rsidR="00C26C76">
        <w:t>he revealed comparative advantage index</w:t>
      </w:r>
      <w:r w:rsidR="007A0F4C">
        <w:t xml:space="preserve">, proposed by Balassa (1965), </w:t>
      </w:r>
      <w:r w:rsidR="000539C6">
        <w:t>describes patterns of specialization</w:t>
      </w:r>
      <w:r w:rsidR="0088260F">
        <w:t xml:space="preserve"> given </w:t>
      </w:r>
      <w:r w:rsidR="00B027B0">
        <w:t>a country</w:t>
      </w:r>
      <w:r w:rsidR="0088260F">
        <w:t>’s trade flows</w:t>
      </w:r>
      <w:r w:rsidR="00626460">
        <w:t>.</w:t>
      </w:r>
      <w:r w:rsidR="004F7748">
        <w:t xml:space="preserve"> </w:t>
      </w:r>
      <w:r w:rsidR="00CB158B">
        <w:t>Second, the real effective exchange rate</w:t>
      </w:r>
      <w:r w:rsidR="00FF0C14">
        <w:t>, developed by the International Monetary Fund (</w:t>
      </w:r>
      <w:proofErr w:type="spellStart"/>
      <w:r w:rsidR="00E22972">
        <w:t>Bayoumi</w:t>
      </w:r>
      <w:proofErr w:type="spellEnd"/>
      <w:r w:rsidR="00FF0C14">
        <w:t xml:space="preserve"> </w:t>
      </w:r>
      <w:r w:rsidR="00E22972">
        <w:t>2005</w:t>
      </w:r>
      <w:r w:rsidR="00FF0C14">
        <w:t>),</w:t>
      </w:r>
      <w:r w:rsidR="00CB158B">
        <w:t xml:space="preserve"> </w:t>
      </w:r>
      <w:r w:rsidR="00FF0C14">
        <w:t xml:space="preserve">summarizes </w:t>
      </w:r>
      <w:r w:rsidR="00EA35DE">
        <w:t xml:space="preserve">changes in </w:t>
      </w:r>
      <w:r w:rsidR="00FF0C14">
        <w:t>the price levels of a</w:t>
      </w:r>
      <w:r w:rsidR="00B027B0">
        <w:t xml:space="preserve"> country</w:t>
      </w:r>
      <w:r w:rsidR="00FF0C14">
        <w:t>’s exports relative to its competitors</w:t>
      </w:r>
      <w:r w:rsidR="004F0B97">
        <w:t xml:space="preserve">, thereby </w:t>
      </w:r>
      <w:r w:rsidR="00EF64B9">
        <w:t>measur</w:t>
      </w:r>
      <w:r w:rsidR="004F0B97">
        <w:t>ing</w:t>
      </w:r>
      <w:r w:rsidR="00EF64B9">
        <w:t xml:space="preserve"> price competitiveness.</w:t>
      </w:r>
      <w:r w:rsidR="00942B2C">
        <w:t xml:space="preserve"> Using the frameworks discussed in the previous chapter, both these indicators may be adjusted to reflect value</w:t>
      </w:r>
      <w:r w:rsidR="001B590A">
        <w:t xml:space="preserve"> </w:t>
      </w:r>
      <w:r w:rsidR="00942B2C">
        <w:t xml:space="preserve">added rather than gross flows, </w:t>
      </w:r>
      <w:r w:rsidR="00561919">
        <w:t xml:space="preserve">lending them new relevance in the GVC era. </w:t>
      </w:r>
    </w:p>
    <w:p w14:paraId="2C3C123D" w14:textId="19FA0A6D" w:rsidR="00A16A0A" w:rsidRDefault="004713AC" w:rsidP="00824EF4">
      <w:r>
        <w:t xml:space="preserve">The </w:t>
      </w:r>
      <w:r w:rsidR="00A35D41">
        <w:t>concept</w:t>
      </w:r>
      <w:r>
        <w:t xml:space="preserve"> of comparative advantage originated </w:t>
      </w:r>
      <w:r w:rsidR="00A35D41">
        <w:t>with</w:t>
      </w:r>
      <w:r>
        <w:t xml:space="preserve"> the English economist David Ricardo in the 19</w:t>
      </w:r>
      <w:r w:rsidRPr="004713AC">
        <w:rPr>
          <w:vertAlign w:val="superscript"/>
        </w:rPr>
        <w:t>th</w:t>
      </w:r>
      <w:r>
        <w:t xml:space="preserve"> century. </w:t>
      </w:r>
      <w:r w:rsidR="00737199">
        <w:t>Balassa operationali</w:t>
      </w:r>
      <w:r w:rsidR="00F15FC7">
        <w:t>zed</w:t>
      </w:r>
      <w:r w:rsidR="00737199">
        <w:t xml:space="preserve"> </w:t>
      </w:r>
      <w:r w:rsidR="00F15FC7">
        <w:t>it</w:t>
      </w:r>
      <w:r w:rsidR="00737199">
        <w:t xml:space="preserve"> </w:t>
      </w:r>
      <w:r w:rsidR="00F15FC7">
        <w:t xml:space="preserve">with his </w:t>
      </w:r>
      <w:r w:rsidR="00447E68">
        <w:t xml:space="preserve">revealed comparative advantage (RCA) </w:t>
      </w:r>
      <w:r w:rsidR="00A16A0A">
        <w:t>index</w:t>
      </w:r>
      <w:r w:rsidR="00F15FC7">
        <w:t>,</w:t>
      </w:r>
      <w:r w:rsidR="00A16A0A">
        <w:t xml:space="preserve"> a ratio </w:t>
      </w:r>
      <w:r w:rsidR="00F15FC7">
        <w:t xml:space="preserve">that compares the share of a sector in a given </w:t>
      </w:r>
      <w:r w:rsidR="003B17BE">
        <w:t>country</w:t>
      </w:r>
      <w:r w:rsidR="00F15FC7">
        <w:t xml:space="preserve">’s exports to the </w:t>
      </w:r>
      <w:r w:rsidR="003B17BE">
        <w:t xml:space="preserve">average </w:t>
      </w:r>
      <w:r w:rsidR="00F15FC7">
        <w:t xml:space="preserve">share of that sector </w:t>
      </w:r>
      <w:r w:rsidR="003B17BE">
        <w:t>across all</w:t>
      </w:r>
      <w:r w:rsidR="00F15FC7">
        <w:t xml:space="preserve"> </w:t>
      </w:r>
      <w:r w:rsidR="003B17BE">
        <w:t>countries</w:t>
      </w:r>
      <w:r w:rsidR="00F15FC7">
        <w:t xml:space="preserve">. </w:t>
      </w:r>
      <w:r w:rsidR="00C62E31">
        <w:t>By convention, an RCA index of greater than 1 indicates a comparative advantage in that sector.</w:t>
      </w:r>
      <w:r w:rsidR="003729AD">
        <w:t xml:space="preserve"> This chapter uses two versions of the RCA index to examine </w:t>
      </w:r>
      <w:r w:rsidR="003B60FF">
        <w:t>Kazakhstan's</w:t>
      </w:r>
      <w:r w:rsidR="003729AD">
        <w:t xml:space="preserve"> </w:t>
      </w:r>
      <w:r w:rsidR="00002ADC">
        <w:t xml:space="preserve">sectoral </w:t>
      </w:r>
      <w:r w:rsidR="003729AD">
        <w:t xml:space="preserve">specialization: the standard RCA that uses gross exports and a GVC-adjusted RCA that uses value-added exports. Details of this methodology are in </w:t>
      </w:r>
      <w:fldSimple w:instr=" REF _Ref79068191  \* MERGEFORMAT ">
        <w:r w:rsidR="00F03ADA" w:rsidRPr="004656A0">
          <w:t xml:space="preserve">Box </w:t>
        </w:r>
        <w:r w:rsidR="00F03ADA">
          <w:rPr>
            <w:noProof/>
          </w:rPr>
          <w:t>6</w:t>
        </w:r>
      </w:fldSimple>
      <w:r w:rsidR="003729AD">
        <w:t>.</w:t>
      </w:r>
      <w:r w:rsidR="00C62E31">
        <w:t xml:space="preserve"> </w:t>
      </w:r>
    </w:p>
    <w:tbl>
      <w:tblPr>
        <w:tblStyle w:val="TableGrid"/>
        <w:tblW w:w="0" w:type="auto"/>
        <w:tblLook w:val="04A0" w:firstRow="1" w:lastRow="0" w:firstColumn="1" w:lastColumn="0" w:noHBand="0" w:noVBand="1"/>
      </w:tblPr>
      <w:tblGrid>
        <w:gridCol w:w="9016"/>
      </w:tblGrid>
      <w:tr w:rsidR="004E6784" w14:paraId="4D864A6F" w14:textId="77777777" w:rsidTr="00F15FC7">
        <w:tc>
          <w:tcPr>
            <w:tcW w:w="9016" w:type="dxa"/>
          </w:tcPr>
          <w:p w14:paraId="27AB8C90" w14:textId="20A7689A" w:rsidR="004E6784" w:rsidRPr="004656A0" w:rsidRDefault="004E6784" w:rsidP="004656A0">
            <w:pPr>
              <w:pStyle w:val="Caption"/>
            </w:pPr>
            <w:bookmarkStart w:id="49" w:name="_Ref79068191"/>
            <w:bookmarkStart w:id="50" w:name="_Toc141647976"/>
            <w:r w:rsidRPr="004656A0">
              <w:t xml:space="preserve">Box </w:t>
            </w:r>
            <w:fldSimple w:instr=" SEQ Box \* ARABIC ">
              <w:r w:rsidR="00F03ADA">
                <w:rPr>
                  <w:noProof/>
                </w:rPr>
                <w:t>6</w:t>
              </w:r>
            </w:fldSimple>
            <w:bookmarkEnd w:id="49"/>
            <w:r w:rsidRPr="004656A0">
              <w:t>: Calculating the Revealed Comparative Advantage Index</w:t>
            </w:r>
            <w:bookmarkEnd w:id="50"/>
          </w:p>
          <w:p w14:paraId="37EBAD22" w14:textId="30A3645F" w:rsidR="003C7A1F" w:rsidRDefault="00E177DF" w:rsidP="003E6808">
            <w:pPr>
              <w:pStyle w:val="Box"/>
            </w:pPr>
            <w:r>
              <w:t>C</w:t>
            </w:r>
            <w:r w:rsidR="00737199">
              <w:t xml:space="preserve">omparative advantage is used to explain prevailing patterns of trade, the theory being that </w:t>
            </w:r>
            <w:r w:rsidR="003B17BE">
              <w:t>countries</w:t>
            </w:r>
            <w:r w:rsidR="00737199">
              <w:t xml:space="preserve"> export goods and services they have a comparative advantage in and import the rest. </w:t>
            </w:r>
            <w:r w:rsidR="003C7A1F">
              <w:t xml:space="preserve">If there are two goods, cars and shirts, and two </w:t>
            </w:r>
            <w:r w:rsidR="003B17BE">
              <w:t>countries</w:t>
            </w:r>
            <w:r w:rsidR="003C7A1F">
              <w:t>, A and B, and if A’s proficiency in making cars relative to shirts is better than B’s proficiency in making cars relative to shirts, then A will be exporting cars to B</w:t>
            </w:r>
            <w:r w:rsidR="00D945A2">
              <w:t xml:space="preserve"> and B will be exporting shirts to A</w:t>
            </w:r>
            <w:r w:rsidR="003C7A1F">
              <w:t xml:space="preserve">. </w:t>
            </w:r>
            <w:r w:rsidR="00870B3E">
              <w:t xml:space="preserve">Note that B might be absolutely better than A at making </w:t>
            </w:r>
            <w:r w:rsidR="003D1A85">
              <w:t xml:space="preserve">both </w:t>
            </w:r>
            <w:r w:rsidR="00870B3E">
              <w:t>cars</w:t>
            </w:r>
            <w:r w:rsidR="003D1A85">
              <w:t xml:space="preserve"> and shirts</w:t>
            </w:r>
            <w:r w:rsidR="00870B3E">
              <w:t xml:space="preserve">: what is crucial </w:t>
            </w:r>
            <w:r w:rsidR="00EB4862">
              <w:t>is</w:t>
            </w:r>
            <w:r w:rsidR="00870B3E">
              <w:t xml:space="preserve"> </w:t>
            </w:r>
            <w:r w:rsidR="00870B3E" w:rsidRPr="00870B3E">
              <w:rPr>
                <w:i/>
                <w:iCs/>
              </w:rPr>
              <w:t>comparative</w:t>
            </w:r>
            <w:r w:rsidR="00870B3E">
              <w:t xml:space="preserve"> proficiency.</w:t>
            </w:r>
          </w:p>
          <w:p w14:paraId="02F42FD1" w14:textId="7EE9CFBA" w:rsidR="00E177DF" w:rsidRDefault="00870B3E" w:rsidP="003E6808">
            <w:pPr>
              <w:pStyle w:val="Box"/>
            </w:pPr>
            <w:r>
              <w:t xml:space="preserve">Balassa </w:t>
            </w:r>
            <w:r w:rsidR="00C668C2">
              <w:t xml:space="preserve">(1965) </w:t>
            </w:r>
            <w:r>
              <w:t xml:space="preserve">operationalized this concept </w:t>
            </w:r>
            <w:r w:rsidR="004276E9">
              <w:t xml:space="preserve">with </w:t>
            </w:r>
            <w:r>
              <w:t>a ratio</w:t>
            </w:r>
            <w:r w:rsidR="00781409">
              <w:t xml:space="preserve"> called the revealed comparative advantage (RCA) index</w:t>
            </w:r>
            <w:r>
              <w:t xml:space="preserve">. </w:t>
            </w:r>
            <w:r w:rsidR="004276E9">
              <w:t xml:space="preserve">Take the share of sector </w:t>
            </w:r>
            <m:oMath>
              <m:r>
                <w:rPr>
                  <w:rFonts w:ascii="Cambria Math" w:hAnsi="Cambria Math"/>
                </w:rPr>
                <m:t>i</m:t>
              </m:r>
            </m:oMath>
            <w:r w:rsidR="004276E9">
              <w:t xml:space="preserve"> in a given </w:t>
            </w:r>
            <w:r w:rsidR="00DD037D">
              <w:t>country</w:t>
            </w:r>
            <w:r w:rsidR="004276E9">
              <w:t xml:space="preserve">’s exports and compare it with the average share of sector </w:t>
            </w:r>
            <m:oMath>
              <m:r>
                <w:rPr>
                  <w:rFonts w:ascii="Cambria Math" w:hAnsi="Cambria Math"/>
                </w:rPr>
                <m:t>i</m:t>
              </m:r>
            </m:oMath>
            <w:r w:rsidR="004276E9">
              <w:t xml:space="preserve"> </w:t>
            </w:r>
            <w:r w:rsidR="00626460">
              <w:t>across</w:t>
            </w:r>
            <w:r w:rsidR="004276E9">
              <w:t xml:space="preserve"> all </w:t>
            </w:r>
            <w:r w:rsidR="00177A7D">
              <w:t>countries</w:t>
            </w:r>
            <w:r w:rsidR="004276E9">
              <w:t xml:space="preserve">’ exports. </w:t>
            </w:r>
            <w:r w:rsidR="004D5DE3">
              <w:t xml:space="preserve">If it is higher, then the </w:t>
            </w:r>
            <w:r w:rsidR="00DA3CD4">
              <w:t>country</w:t>
            </w:r>
            <w:r w:rsidR="004D5DE3">
              <w:t xml:space="preserve">’s export make-up “reveals” it to have a comparative advantage in sector </w:t>
            </w:r>
            <m:oMath>
              <m:r>
                <w:rPr>
                  <w:rFonts w:ascii="Cambria Math" w:hAnsi="Cambria Math"/>
                </w:rPr>
                <m:t>i</m:t>
              </m:r>
            </m:oMath>
            <w:r w:rsidR="004D5DE3">
              <w:t xml:space="preserve">. If it is lower, then it reveals </w:t>
            </w:r>
            <w:r w:rsidR="006223A2">
              <w:t>the absence of</w:t>
            </w:r>
            <w:r w:rsidR="004D5DE3">
              <w:t xml:space="preserve"> a comparative advantage in that sector. </w:t>
            </w:r>
            <w:r w:rsidR="00115676">
              <w:t>Formally,</w:t>
            </w:r>
            <w:r w:rsidR="006C3F55">
              <w:t xml:space="preserve"> </w:t>
            </w:r>
            <w:r w:rsidR="00DA3CD4">
              <w:t>country</w:t>
            </w:r>
            <w:r w:rsidR="006C3F55">
              <w:t xml:space="preserve"> </w:t>
            </w:r>
            <m:oMath>
              <m:r>
                <w:rPr>
                  <w:rFonts w:ascii="Cambria Math" w:hAnsi="Cambria Math"/>
                </w:rPr>
                <m:t>s</m:t>
              </m:r>
            </m:oMath>
            <w:r w:rsidR="006C3F55">
              <w:t xml:space="preserve">’s RCA index for </w:t>
            </w:r>
            <w:r w:rsidR="002B04D1">
              <w:t xml:space="preserve">sector </w:t>
            </w:r>
            <m:oMath>
              <m:r>
                <w:rPr>
                  <w:rFonts w:ascii="Cambria Math" w:hAnsi="Cambria Math"/>
                </w:rPr>
                <m:t>i</m:t>
              </m:r>
            </m:oMath>
            <w:r w:rsidR="002B04D1">
              <w:rPr>
                <w:iCs/>
              </w:rPr>
              <w:t xml:space="preserve"> is given by</w:t>
            </w:r>
          </w:p>
          <w:p w14:paraId="446A15E6" w14:textId="1A21F017" w:rsidR="00115676" w:rsidRDefault="00115676" w:rsidP="003E6808">
            <w:pPr>
              <w:pStyle w:val="Box"/>
            </w:pPr>
            <m:oMathPara>
              <m:oMath>
                <m:r>
                  <w:rPr>
                    <w:rFonts w:ascii="Cambria Math" w:hAnsi="Cambria Math"/>
                  </w:rPr>
                  <m:t>RC</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s,i</m:t>
                        </m:r>
                      </m:e>
                    </m:d>
                  </m:sub>
                </m:sSub>
                <m:r>
                  <w:rPr>
                    <w:rFonts w:ascii="Cambria Math" w:hAnsi="Cambria Math"/>
                  </w:rPr>
                  <m:t>=</m:t>
                </m:r>
                <m:f>
                  <m:fPr>
                    <m:ctrlPr>
                      <w:rPr>
                        <w:rFonts w:ascii="Cambria Math" w:hAnsi="Cambria Math"/>
                        <w:i/>
                      </w:rPr>
                    </m:ctrlPr>
                  </m:fPr>
                  <m:num>
                    <m:r>
                      <w:rPr>
                        <w:rFonts w:ascii="Cambria Math" w:hAnsi="Cambria Math"/>
                      </w:rPr>
                      <m:t>Export</m:t>
                    </m:r>
                    <m:sSub>
                      <m:sSubPr>
                        <m:ctrlPr>
                          <w:rPr>
                            <w:rFonts w:ascii="Cambria Math" w:hAnsi="Cambria Math"/>
                            <w:i/>
                          </w:rPr>
                        </m:ctrlPr>
                      </m:sSubPr>
                      <m:e>
                        <m:r>
                          <w:rPr>
                            <w:rFonts w:ascii="Cambria Math" w:hAnsi="Cambria Math"/>
                          </w:rPr>
                          <m:t>s</m:t>
                        </m:r>
                      </m:e>
                      <m:sub>
                        <m:d>
                          <m:dPr>
                            <m:ctrlPr>
                              <w:rPr>
                                <w:rFonts w:ascii="Cambria Math" w:hAnsi="Cambria Math"/>
                                <w:i/>
                              </w:rPr>
                            </m:ctrlPr>
                          </m:dPr>
                          <m:e>
                            <m:r>
                              <w:rPr>
                                <w:rFonts w:ascii="Cambria Math" w:hAnsi="Cambria Math"/>
                              </w:rPr>
                              <m:t>s,i</m:t>
                            </m:r>
                          </m:e>
                        </m:d>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s</m:t>
                        </m:r>
                      </m:sub>
                    </m:sSub>
                  </m:num>
                  <m:den>
                    <m:nary>
                      <m:naryPr>
                        <m:chr m:val="∑"/>
                        <m:limLoc m:val="subSup"/>
                        <m:supHide m:val="1"/>
                        <m:ctrlPr>
                          <w:rPr>
                            <w:rFonts w:ascii="Cambria Math" w:hAnsi="Cambria Math"/>
                            <w:i/>
                          </w:rPr>
                        </m:ctrlPr>
                      </m:naryPr>
                      <m:sub>
                        <m:r>
                          <w:rPr>
                            <w:rFonts w:ascii="Cambria Math" w:hAnsi="Cambria Math"/>
                          </w:rPr>
                          <m:t>r</m:t>
                        </m:r>
                      </m:sub>
                      <m:sup/>
                      <m:e>
                        <m:r>
                          <w:rPr>
                            <w:rFonts w:ascii="Cambria Math" w:hAnsi="Cambria Math"/>
                          </w:rPr>
                          <m:t>Export</m:t>
                        </m:r>
                        <m:sSub>
                          <m:sSubPr>
                            <m:ctrlPr>
                              <w:rPr>
                                <w:rFonts w:ascii="Cambria Math" w:hAnsi="Cambria Math"/>
                                <w:i/>
                              </w:rPr>
                            </m:ctrlPr>
                          </m:sSubPr>
                          <m:e>
                            <m:r>
                              <w:rPr>
                                <w:rFonts w:ascii="Cambria Math" w:hAnsi="Cambria Math"/>
                              </w:rPr>
                              <m:t>s</m:t>
                            </m:r>
                          </m:e>
                          <m:sub>
                            <m:d>
                              <m:dPr>
                                <m:ctrlPr>
                                  <w:rPr>
                                    <w:rFonts w:ascii="Cambria Math" w:hAnsi="Cambria Math"/>
                                    <w:i/>
                                  </w:rPr>
                                </m:ctrlPr>
                              </m:dPr>
                              <m:e>
                                <m:r>
                                  <w:rPr>
                                    <w:rFonts w:ascii="Cambria Math" w:hAnsi="Cambria Math"/>
                                  </w:rPr>
                                  <m:t>r,i</m:t>
                                </m:r>
                              </m:e>
                            </m:d>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r</m:t>
                            </m:r>
                          </m:sub>
                        </m:sSub>
                      </m:e>
                    </m:nary>
                  </m:den>
                </m:f>
              </m:oMath>
            </m:oMathPara>
          </w:p>
          <w:p w14:paraId="1CD552B2" w14:textId="041ACE7A" w:rsidR="004E6784" w:rsidRDefault="00611EF4" w:rsidP="003E6808">
            <w:pPr>
              <w:pStyle w:val="Box"/>
            </w:pPr>
            <w:r>
              <w:t xml:space="preserve">where the denominator sums across all economies </w:t>
            </w:r>
            <m:oMath>
              <m:r>
                <w:rPr>
                  <w:rFonts w:ascii="Cambria Math" w:hAnsi="Cambria Math"/>
                </w:rPr>
                <m:t>r</m:t>
              </m:r>
            </m:oMath>
            <w:r>
              <w:t xml:space="preserve"> in the world.</w:t>
            </w:r>
            <w:r w:rsidR="00602E45">
              <w:t xml:space="preserve"> An RCA </w:t>
            </w:r>
            <w:r w:rsidR="007F7FB3">
              <w:t xml:space="preserve">index </w:t>
            </w:r>
            <w:r w:rsidR="00602E45">
              <w:t xml:space="preserve">of higher than 1 indicates a comparative advantage in that sector while </w:t>
            </w:r>
            <w:r w:rsidR="007F7FB3">
              <w:t xml:space="preserve">an index </w:t>
            </w:r>
            <w:r w:rsidR="00602E45">
              <w:t xml:space="preserve">lower than 1 indicates </w:t>
            </w:r>
            <w:r w:rsidR="006E5896">
              <w:t xml:space="preserve">the </w:t>
            </w:r>
            <w:r w:rsidR="00602E45">
              <w:t xml:space="preserve">lack of a comparative advantage. </w:t>
            </w:r>
          </w:p>
          <w:p w14:paraId="3299B5A1" w14:textId="52C6888A" w:rsidR="00AF1FF2" w:rsidRDefault="00AF1FF2" w:rsidP="003E6808">
            <w:pPr>
              <w:pStyle w:val="Box"/>
            </w:pPr>
            <w:r>
              <w:t>As discussed in Asian Development Bank (2021)</w:t>
            </w:r>
            <w:r w:rsidR="00BB13E2">
              <w:t xml:space="preserve">, </w:t>
            </w:r>
            <w:r w:rsidR="00801B48">
              <w:t xml:space="preserve">the RCA index may be </w:t>
            </w:r>
            <w:r w:rsidR="00904081">
              <w:t xml:space="preserve">adjusted to account for global value chains by </w:t>
            </w:r>
            <w:r w:rsidR="00E81BC6">
              <w:t xml:space="preserve">using </w:t>
            </w:r>
            <w:r w:rsidR="00904081">
              <w:t>value-added exports. This removes foreign value</w:t>
            </w:r>
            <w:r w:rsidR="005B74EC">
              <w:t xml:space="preserve"> </w:t>
            </w:r>
            <w:r w:rsidR="00904081">
              <w:t xml:space="preserve">added and pure double-counting from the </w:t>
            </w:r>
            <w:r w:rsidR="00A05D6B">
              <w:t>country</w:t>
            </w:r>
            <w:r w:rsidR="00904081">
              <w:t>’s exports</w:t>
            </w:r>
            <w:r w:rsidR="00F72E4C">
              <w:t xml:space="preserve">, resulting in an RCA index that is based on </w:t>
            </w:r>
            <w:r w:rsidR="008A78D7">
              <w:t xml:space="preserve">domestic </w:t>
            </w:r>
            <w:r w:rsidR="00F72E4C">
              <w:t>value</w:t>
            </w:r>
            <w:r w:rsidR="001B590A">
              <w:t xml:space="preserve"> </w:t>
            </w:r>
            <w:r w:rsidR="00F72E4C">
              <w:t>added flows</w:t>
            </w:r>
            <w:r w:rsidR="003628F0">
              <w:t xml:space="preserve"> that are absorbed abroad</w:t>
            </w:r>
            <w:r w:rsidR="00F72E4C">
              <w:t xml:space="preserve"> (see </w:t>
            </w:r>
            <w:fldSimple w:instr=" REF _Ref77751741  \* MERGEFORMAT ">
              <w:r w:rsidR="00F03ADA" w:rsidRPr="009F0FF5">
                <w:t xml:space="preserve">Box </w:t>
              </w:r>
              <w:r w:rsidR="00F03ADA">
                <w:rPr>
                  <w:noProof/>
                </w:rPr>
                <w:t>4</w:t>
              </w:r>
            </w:fldSimple>
            <w:r w:rsidR="00F72E4C">
              <w:t>)</w:t>
            </w:r>
            <w:r w:rsidR="00904081">
              <w:t>.</w:t>
            </w:r>
            <w:r w:rsidR="009D5E99">
              <w:t xml:space="preserve"> In this chapter, sector </w:t>
            </w:r>
            <w:proofErr w:type="spellStart"/>
            <w:r w:rsidR="009D5E99">
              <w:t>disaggregations</w:t>
            </w:r>
            <w:proofErr w:type="spellEnd"/>
            <w:r w:rsidR="009D5E99">
              <w:t xml:space="preserve"> are by value</w:t>
            </w:r>
            <w:r w:rsidR="001B590A">
              <w:t xml:space="preserve"> </w:t>
            </w:r>
            <w:r w:rsidR="009D5E99">
              <w:t>added origins.</w:t>
            </w:r>
          </w:p>
          <w:p w14:paraId="0082E665" w14:textId="5FDEE69A" w:rsidR="000A153F" w:rsidRPr="00BF09C9" w:rsidRDefault="000A153F" w:rsidP="003E6808">
            <w:pPr>
              <w:pStyle w:val="Box"/>
              <w:rPr>
                <w:b/>
                <w:bCs/>
              </w:rPr>
            </w:pPr>
            <w:r w:rsidRPr="00BF09C9">
              <w:rPr>
                <w:b/>
                <w:bCs/>
              </w:rPr>
              <w:lastRenderedPageBreak/>
              <w:t>References</w:t>
            </w:r>
          </w:p>
          <w:p w14:paraId="3FC30DD4" w14:textId="77777777" w:rsidR="00BF09C9" w:rsidRDefault="00BF09C9" w:rsidP="00BF09C9">
            <w:pPr>
              <w:pStyle w:val="BoxReferences"/>
            </w:pPr>
            <w:r>
              <w:t xml:space="preserve">Asian Development Bank. 2021. </w:t>
            </w:r>
            <w:r w:rsidRPr="007F7DC5">
              <w:rPr>
                <w:i/>
                <w:iCs/>
              </w:rPr>
              <w:t>Key Indica</w:t>
            </w:r>
            <w:r>
              <w:rPr>
                <w:i/>
                <w:iCs/>
              </w:rPr>
              <w:t>t</w:t>
            </w:r>
            <w:r w:rsidRPr="007F7DC5">
              <w:rPr>
                <w:i/>
                <w:iCs/>
              </w:rPr>
              <w:t>ors for Asia and the Pacific</w:t>
            </w:r>
            <w:r>
              <w:rPr>
                <w:i/>
                <w:iCs/>
              </w:rPr>
              <w:t xml:space="preserve"> 2021</w:t>
            </w:r>
            <w:r>
              <w:t xml:space="preserve">. Manila, Philippines: Asian Development Bank. </w:t>
            </w:r>
          </w:p>
          <w:p w14:paraId="7B3C25E2" w14:textId="49CFA0CE" w:rsidR="000A153F" w:rsidRDefault="000A153F" w:rsidP="00BF09C9">
            <w:pPr>
              <w:pStyle w:val="BoxReferences"/>
            </w:pPr>
            <w:r>
              <w:t xml:space="preserve">B. Balassa. 1965. Trade </w:t>
            </w:r>
            <w:proofErr w:type="spellStart"/>
            <w:r>
              <w:t>Liberalisation</w:t>
            </w:r>
            <w:proofErr w:type="spellEnd"/>
            <w:r>
              <w:t xml:space="preserve"> and “Revealed” Comparative Advantage. </w:t>
            </w:r>
            <w:r w:rsidRPr="001B7C60">
              <w:rPr>
                <w:i/>
                <w:iCs/>
              </w:rPr>
              <w:t>The Manchester School</w:t>
            </w:r>
            <w:r>
              <w:t xml:space="preserve">. </w:t>
            </w:r>
            <w:r w:rsidRPr="00840CD0">
              <w:t>33</w:t>
            </w:r>
            <w:r>
              <w:t>(2). pp. 99–123.</w:t>
            </w:r>
          </w:p>
        </w:tc>
      </w:tr>
    </w:tbl>
    <w:p w14:paraId="33E25D91" w14:textId="77777777" w:rsidR="004E6784" w:rsidRDefault="004E6784" w:rsidP="004E6784"/>
    <w:p w14:paraId="5183B95E" w14:textId="3D0127D6" w:rsidR="001D4AC1" w:rsidRDefault="00D83F48" w:rsidP="004656A0">
      <w:r>
        <w:fldChar w:fldCharType="begin"/>
      </w:r>
      <w:r>
        <w:instrText xml:space="preserve"> REF _Ref79068223 \h </w:instrText>
      </w:r>
      <w:r>
        <w:fldChar w:fldCharType="separate"/>
      </w:r>
      <w:r w:rsidR="00F03ADA">
        <w:t xml:space="preserve">Figure </w:t>
      </w:r>
      <w:r w:rsidR="00F03ADA">
        <w:rPr>
          <w:noProof/>
        </w:rPr>
        <w:t>4</w:t>
      </w:r>
      <w:r w:rsidR="00F03ADA">
        <w:t>.</w:t>
      </w:r>
      <w:r w:rsidR="00F03ADA">
        <w:rPr>
          <w:noProof/>
        </w:rPr>
        <w:t>1</w:t>
      </w:r>
      <w:r>
        <w:fldChar w:fldCharType="end"/>
      </w:r>
      <w:r>
        <w:t xml:space="preserve"> </w:t>
      </w:r>
      <w:r w:rsidR="00BA031B">
        <w:t xml:space="preserve">charts both RCA indices for </w:t>
      </w:r>
      <w:r w:rsidR="001C1FE5">
        <w:t>Kazakhstan</w:t>
      </w:r>
      <w:r w:rsidR="00BA031B">
        <w:t xml:space="preserve"> across sectors</w:t>
      </w:r>
      <w:r w:rsidR="00B42971">
        <w:t xml:space="preserve">, ranking them from highest to lowest and tracing how these rankings </w:t>
      </w:r>
      <w:r w:rsidR="000F7377">
        <w:t xml:space="preserve">change as the </w:t>
      </w:r>
      <w:r w:rsidR="00B42971">
        <w:t xml:space="preserve">standard </w:t>
      </w:r>
      <w:r w:rsidR="000F7377">
        <w:t>index is adjusted for GVCs</w:t>
      </w:r>
      <w:r w:rsidR="00B42971">
        <w:t xml:space="preserve">. </w:t>
      </w:r>
      <w:r w:rsidR="00412D1B">
        <w:t xml:space="preserve">Given the extraordinary circumstances of the last few years, the underlying data were averaged over 2017–2022 to make observed patterns more reliable. </w:t>
      </w:r>
      <w:r w:rsidR="00744A23">
        <w:t xml:space="preserve">Consistent with previous chapters, </w:t>
      </w:r>
      <w:r w:rsidR="001C1FE5">
        <w:t>mining</w:t>
      </w:r>
      <w:r w:rsidR="00744A23">
        <w:t xml:space="preserve"> ha</w:t>
      </w:r>
      <w:r w:rsidR="006545FB">
        <w:t>d</w:t>
      </w:r>
      <w:r w:rsidR="00744A23">
        <w:t xml:space="preserve"> by far the highest RCA index in </w:t>
      </w:r>
      <w:r w:rsidR="0062570F">
        <w:t>both gross and value added terms</w:t>
      </w:r>
      <w:r w:rsidR="00744A23">
        <w:t xml:space="preserve">. </w:t>
      </w:r>
      <w:r w:rsidR="006272AA">
        <w:t xml:space="preserve">Using gross exports, </w:t>
      </w:r>
      <w:r w:rsidR="001D4AC1">
        <w:t>mining</w:t>
      </w:r>
      <w:r w:rsidR="006272AA">
        <w:t xml:space="preserve"> ha</w:t>
      </w:r>
      <w:r w:rsidR="00F825BF">
        <w:t>d</w:t>
      </w:r>
      <w:r w:rsidR="006272AA">
        <w:t xml:space="preserve"> an index of </w:t>
      </w:r>
      <w:r w:rsidR="001B3D0D">
        <w:t>7.7</w:t>
      </w:r>
      <w:r w:rsidR="006272AA">
        <w:t xml:space="preserve">, meaning its share in </w:t>
      </w:r>
      <w:r w:rsidR="001D4AC1">
        <w:t>Kazakhstan</w:t>
      </w:r>
      <w:r w:rsidR="006272AA">
        <w:t xml:space="preserve">’s exports </w:t>
      </w:r>
      <w:r w:rsidR="002A0070">
        <w:t>was</w:t>
      </w:r>
      <w:r w:rsidR="006272AA">
        <w:t xml:space="preserve"> </w:t>
      </w:r>
      <w:r w:rsidR="001B3D0D">
        <w:t>7.7</w:t>
      </w:r>
      <w:r w:rsidR="006272AA">
        <w:t xml:space="preserve"> times larger than its average share across the world</w:t>
      </w:r>
      <w:r w:rsidR="00925BD6">
        <w:t xml:space="preserve"> in 202</w:t>
      </w:r>
      <w:r w:rsidR="001D4AC1">
        <w:t>2</w:t>
      </w:r>
      <w:r w:rsidR="006272AA">
        <w:t>. Removing foreign value</w:t>
      </w:r>
      <w:r w:rsidR="00CE1029">
        <w:t xml:space="preserve"> </w:t>
      </w:r>
      <w:r w:rsidR="006272AA">
        <w:t xml:space="preserve">added and pure double-counting reduces this to a still-high </w:t>
      </w:r>
      <w:r w:rsidR="001D4AC1">
        <w:t>4.</w:t>
      </w:r>
      <w:r w:rsidR="001B3D0D">
        <w:t>7</w:t>
      </w:r>
      <w:r w:rsidR="006272AA">
        <w:t>.</w:t>
      </w:r>
      <w:r w:rsidR="0072166C">
        <w:t xml:space="preserve"> </w:t>
      </w:r>
      <w:r w:rsidR="001D4AC1">
        <w:t>The related sector of inland transport services also notches high RCA indices—</w:t>
      </w:r>
      <w:r w:rsidR="001B3D0D">
        <w:t>3.1</w:t>
      </w:r>
      <w:r w:rsidR="001D4AC1">
        <w:t xml:space="preserve"> in gross terms and 2.</w:t>
      </w:r>
      <w:r w:rsidR="001B3D0D">
        <w:t>9</w:t>
      </w:r>
      <w:r w:rsidR="001D4AC1">
        <w:t xml:space="preserve"> in value added terms. This likely stems from pipeline</w:t>
      </w:r>
      <w:r w:rsidR="001B3D0D">
        <w:t xml:space="preserve"> services</w:t>
      </w:r>
      <w:r w:rsidR="001D4AC1">
        <w:t xml:space="preserve"> used to transport oil and gas.</w:t>
      </w:r>
    </w:p>
    <w:p w14:paraId="0E2C43F8" w14:textId="405629C0" w:rsidR="004E6784" w:rsidRDefault="001D4AC1" w:rsidP="004656A0">
      <w:r>
        <w:t>The only other sector</w:t>
      </w:r>
      <w:r w:rsidR="006F2640">
        <w:t>s</w:t>
      </w:r>
      <w:r>
        <w:t xml:space="preserve"> for which Kazakhstan has a high RCA index is metals manufacturing, with indices of 2.</w:t>
      </w:r>
      <w:r w:rsidR="00886DE1">
        <w:t>2</w:t>
      </w:r>
      <w:r>
        <w:t xml:space="preserve"> in </w:t>
      </w:r>
      <w:r w:rsidR="00886DE1">
        <w:t xml:space="preserve">both </w:t>
      </w:r>
      <w:r>
        <w:t xml:space="preserve">gross </w:t>
      </w:r>
      <w:r w:rsidR="00886DE1">
        <w:t xml:space="preserve">and value added </w:t>
      </w:r>
      <w:r>
        <w:t>terms</w:t>
      </w:r>
      <w:r w:rsidR="006F2640">
        <w:t>, and wholesale trade services, with indices of 1.3 (gross) and 1.7 (value added)</w:t>
      </w:r>
      <w:r>
        <w:t>. While Kazakhstan does exhibit</w:t>
      </w:r>
      <w:r w:rsidR="006F2640">
        <w:t xml:space="preserve"> an </w:t>
      </w:r>
      <w:r>
        <w:t>RCA ind</w:t>
      </w:r>
      <w:r w:rsidR="006F2640">
        <w:t>ex</w:t>
      </w:r>
      <w:r>
        <w:t xml:space="preserve"> of greater than 1 for </w:t>
      </w:r>
      <w:r w:rsidR="006F2640">
        <w:t>refined fuels in value added terms, it is just barely. This highlights its relatively upstream, low-value added participation in the extractive energy supply chain. Furthermore, emphasizing Kazakhstan's concentration in natural resources are its very low RCA indices for all other manufacturing sectors. Electricals, a staple of fast-growing GVC-oriented economies like Viet Nam, registered gross and value added indices of 1/29 and 1/28. The same pattern is seen for other sophisticated manufacturing sectors like chemicals and transport equipment.</w:t>
      </w:r>
    </w:p>
    <w:p w14:paraId="78B5C5A5" w14:textId="665D8817" w:rsidR="006F2640" w:rsidRDefault="006F2640" w:rsidP="004656A0">
      <w:r>
        <w:t>Another piece of evidence pointing to Kazakhstan's relatively low GVC participation is the fact that the top sectors it is specializing in</w:t>
      </w:r>
      <w:r w:rsidR="005C20AD">
        <w:t xml:space="preserve"> under the gross RCA index are the same under the value added RCA index. In short, trading patterns for the country's largest export sectors are unchanged when foreign value added and pure double-counting are accounted for, suggesting that these are negligible to begin with. Interestingly however, the only major sector for which the two RCA indices differ is agriculture, whose index drops from 1.1 to 0.6. That is, the supposed comparative advantage of Kazakhstan in agriculture is an illusion </w:t>
      </w:r>
      <w:r w:rsidR="00264686">
        <w:t>resulting from exports that are</w:t>
      </w:r>
      <w:r w:rsidR="005C20AD">
        <w:t xml:space="preserve"> inflated by foreign value added. The country, in fact, is less of an agricultural exporter than traditional trade statistics suggest.</w:t>
      </w:r>
    </w:p>
    <w:p w14:paraId="53382EB9" w14:textId="680ACD0B" w:rsidR="004E6784" w:rsidRDefault="003542F5" w:rsidP="004E6784">
      <w:pPr>
        <w:pStyle w:val="Caption"/>
        <w:rPr>
          <w:rFonts w:eastAsia="Calibri" w:cstheme="minorHAnsi"/>
          <w:szCs w:val="22"/>
        </w:rPr>
      </w:pPr>
      <w:bookmarkStart w:id="51" w:name="_Ref79068223"/>
      <w:bookmarkStart w:id="52" w:name="_Toc141689892"/>
      <w:r>
        <w:rPr>
          <w:rFonts w:eastAsia="Calibri" w:cstheme="minorHAnsi"/>
          <w:noProof/>
          <w:szCs w:val="22"/>
        </w:rPr>
        <w:lastRenderedPageBreak/>
        <w:drawing>
          <wp:anchor distT="0" distB="0" distL="114300" distR="114300" simplePos="0" relativeHeight="251756544" behindDoc="0" locked="0" layoutInCell="1" allowOverlap="1" wp14:anchorId="167276BC" wp14:editId="36EB0155">
            <wp:simplePos x="0" y="0"/>
            <wp:positionH relativeFrom="column">
              <wp:posOffset>0</wp:posOffset>
            </wp:positionH>
            <wp:positionV relativeFrom="paragraph">
              <wp:posOffset>187797</wp:posOffset>
            </wp:positionV>
            <wp:extent cx="5731510" cy="4655820"/>
            <wp:effectExtent l="0" t="0" r="0" b="5080"/>
            <wp:wrapSquare wrapText="bothSides"/>
            <wp:docPr id="15265635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63565" name="Picture 1526563565"/>
                    <pic:cNvPicPr/>
                  </pic:nvPicPr>
                  <pic:blipFill>
                    <a:blip r:embed="rId25">
                      <a:extLst>
                        <a:ext uri="{28A0092B-C50C-407E-A947-70E740481C1C}">
                          <a14:useLocalDpi xmlns:a14="http://schemas.microsoft.com/office/drawing/2010/main" val="0"/>
                        </a:ext>
                      </a:extLst>
                    </a:blip>
                    <a:stretch>
                      <a:fillRect/>
                    </a:stretch>
                  </pic:blipFill>
                  <pic:spPr>
                    <a:xfrm>
                      <a:off x="0" y="0"/>
                      <a:ext cx="5731510" cy="4655820"/>
                    </a:xfrm>
                    <a:prstGeom prst="rect">
                      <a:avLst/>
                    </a:prstGeom>
                  </pic:spPr>
                </pic:pic>
              </a:graphicData>
            </a:graphic>
            <wp14:sizeRelH relativeFrom="page">
              <wp14:pctWidth>0</wp14:pctWidth>
            </wp14:sizeRelH>
            <wp14:sizeRelV relativeFrom="page">
              <wp14:pctHeight>0</wp14:pctHeight>
            </wp14:sizeRelV>
          </wp:anchor>
        </w:drawing>
      </w:r>
      <w:r w:rsidR="004E6784">
        <w:t xml:space="preserve">Figure </w:t>
      </w:r>
      <w:fldSimple w:instr=" STYLEREF 1 \s ">
        <w:r w:rsidR="00F03ADA">
          <w:rPr>
            <w:noProof/>
          </w:rPr>
          <w:t>4</w:t>
        </w:r>
      </w:fldSimple>
      <w:r w:rsidR="003F26C2">
        <w:t>.</w:t>
      </w:r>
      <w:fldSimple w:instr=" SEQ Figure \* ARABIC \s 1 ">
        <w:r w:rsidR="00F03ADA">
          <w:rPr>
            <w:noProof/>
          </w:rPr>
          <w:t>1</w:t>
        </w:r>
      </w:fldSimple>
      <w:bookmarkEnd w:id="51"/>
      <w:r w:rsidR="004E6784">
        <w:t xml:space="preserve">: Revealed Comparative Advantage Indices, </w:t>
      </w:r>
      <w:r w:rsidR="001A70B4">
        <w:t>Kazakhstan</w:t>
      </w:r>
      <w:r w:rsidR="004E6784">
        <w:t xml:space="preserve">, </w:t>
      </w:r>
      <w:r>
        <w:t>2017–</w:t>
      </w:r>
      <w:r w:rsidR="004E6784">
        <w:t>202</w:t>
      </w:r>
      <w:r w:rsidR="001A70B4">
        <w:t>2</w:t>
      </w:r>
      <w:bookmarkEnd w:id="52"/>
    </w:p>
    <w:p w14:paraId="2D6560CD" w14:textId="19279FF8" w:rsidR="004E6784" w:rsidRDefault="004E6784" w:rsidP="004E6784">
      <w:pPr>
        <w:pStyle w:val="Notes"/>
      </w:pPr>
      <w:r>
        <w:t>RCA = revealed comparative advantage</w:t>
      </w:r>
      <w:r w:rsidR="00B24E27">
        <w:t xml:space="preserve">. </w:t>
      </w:r>
    </w:p>
    <w:p w14:paraId="253F5A09" w14:textId="302BB1BB" w:rsidR="004E6784" w:rsidRDefault="004E6784" w:rsidP="004E6784">
      <w:pPr>
        <w:pStyle w:val="Notes"/>
      </w:pPr>
      <w:r>
        <w:t xml:space="preserve">Notes: </w:t>
      </w:r>
      <w:r w:rsidR="00151576">
        <w:tab/>
      </w:r>
      <w:r>
        <w:t>Revealed comparative advantage (RCA) index computed according to Balassa (1965) and ADB (2021)</w:t>
      </w:r>
      <w:r w:rsidR="003542F5">
        <w:t>, using averaged data from 2017–2022</w:t>
      </w:r>
      <w:r>
        <w:t xml:space="preserve">. Sectors with revealed comparative advantage indices of greater than 1 are sectors </w:t>
      </w:r>
      <w:r w:rsidR="00E7116C">
        <w:t>Kazakhstan</w:t>
      </w:r>
      <w:r>
        <w:t xml:space="preserve"> is said to have a revealed comparative advantage in. Value-added exports are exports of domestic value</w:t>
      </w:r>
      <w:r w:rsidR="00085886">
        <w:t xml:space="preserve"> </w:t>
      </w:r>
      <w:r>
        <w:t>added that are absorbed abroad disaggregated by origin sectors, computed following ADB (2021). Sectors with no value-added exports are omitted.</w:t>
      </w:r>
    </w:p>
    <w:p w14:paraId="086BA929" w14:textId="35DB4C61" w:rsidR="00CB5314" w:rsidRDefault="00CB5314" w:rsidP="00CB5314">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xml:space="preserve">; </w:t>
      </w:r>
      <w:r w:rsidR="00FC3C48">
        <w:t xml:space="preserve">B. Balassa. 1965. Trade </w:t>
      </w:r>
      <w:proofErr w:type="spellStart"/>
      <w:r w:rsidR="00FC3C48">
        <w:t>Liberalisation</w:t>
      </w:r>
      <w:proofErr w:type="spellEnd"/>
      <w:r w:rsidR="00FC3C48">
        <w:t xml:space="preserve"> and “Revealed” Comparative Advantage. </w:t>
      </w:r>
      <w:r w:rsidR="00FC3C48" w:rsidRPr="001B7C60">
        <w:rPr>
          <w:i/>
          <w:iCs/>
        </w:rPr>
        <w:t>The Manchester School</w:t>
      </w:r>
      <w:r w:rsidR="00FC3C48">
        <w:t xml:space="preserve">. </w:t>
      </w:r>
      <w:r w:rsidR="00FC3C48" w:rsidRPr="00F4192A">
        <w:rPr>
          <w:i/>
          <w:iCs/>
        </w:rPr>
        <w:t>33</w:t>
      </w:r>
      <w:r w:rsidR="00FC3C48">
        <w:t xml:space="preserve">(2). pp. 99–123; </w:t>
      </w:r>
      <w:r>
        <w:t>Asian Development Bank. Multiregional Input–Output Database</w:t>
      </w:r>
      <w:r w:rsidR="00E7116C">
        <w:t xml:space="preserve"> (July 2023</w:t>
      </w:r>
      <w:r>
        <w:t>);</w:t>
      </w:r>
      <w:r w:rsidRPr="008F0425">
        <w:t xml:space="preserve"> </w:t>
      </w:r>
      <w:r>
        <w:t>Asian Development Bank estimates.</w:t>
      </w:r>
    </w:p>
    <w:p w14:paraId="6D137577" w14:textId="5482F2E5" w:rsidR="004E6784" w:rsidRDefault="0021042D" w:rsidP="004E6784">
      <w:r>
        <w:rPr>
          <w:lang w:eastAsia="ja-JP"/>
        </w:rPr>
        <w:t>Specialization based on export patterns say nothing about where along the chain a country is specializing in. Is it in the more upstream segments, closer to primary producers? Or is it in the more downstream segments, closer to final consumers?</w:t>
      </w:r>
      <w:r w:rsidR="00D83F48">
        <w:t xml:space="preserve"> </w:t>
      </w:r>
      <w:r w:rsidR="002E101C">
        <w:t xml:space="preserve">Production length indicators can provide a quantitative </w:t>
      </w:r>
      <w:r>
        <w:t>measure</w:t>
      </w:r>
      <w:r w:rsidR="00AD12D8">
        <w:t xml:space="preserve">. </w:t>
      </w:r>
      <w:r w:rsidR="001B590A">
        <w:t xml:space="preserve">As described in </w:t>
      </w:r>
      <w:r w:rsidR="001B590A">
        <w:fldChar w:fldCharType="begin"/>
      </w:r>
      <w:r w:rsidR="001B590A">
        <w:instrText xml:space="preserve"> REF _Ref77778934 \h </w:instrText>
      </w:r>
      <w:r w:rsidR="001B590A">
        <w:fldChar w:fldCharType="separate"/>
      </w:r>
      <w:r w:rsidR="00F03ADA" w:rsidRPr="004656A0">
        <w:t xml:space="preserve">Box </w:t>
      </w:r>
      <w:r w:rsidR="00F03ADA">
        <w:rPr>
          <w:noProof/>
        </w:rPr>
        <w:t>5</w:t>
      </w:r>
      <w:r w:rsidR="001B590A">
        <w:fldChar w:fldCharType="end"/>
      </w:r>
      <w:r w:rsidR="001B590A">
        <w:t>, the methodology of Wang, Wei, Yu, and Zhu (2017b) computes the number of</w:t>
      </w:r>
      <w:r w:rsidR="00AD12D8">
        <w:t xml:space="preserve"> forward and backward GVC production </w:t>
      </w:r>
      <w:r w:rsidR="001B590A">
        <w:t>stages for any given sector or country. Comparing the two gives a sense of where the sector or country lies in the production chain: i</w:t>
      </w:r>
      <w:r w:rsidR="0031296C">
        <w:t xml:space="preserve">f the forward length is longer, then </w:t>
      </w:r>
      <w:r w:rsidR="001B590A">
        <w:t xml:space="preserve">it </w:t>
      </w:r>
      <w:r w:rsidR="0031296C">
        <w:t xml:space="preserve">is said to be more upstream, while if the backward length is longer, </w:t>
      </w:r>
      <w:r w:rsidR="001B590A">
        <w:t>it</w:t>
      </w:r>
      <w:r w:rsidR="0031296C">
        <w:t xml:space="preserve"> is mo</w:t>
      </w:r>
      <w:r w:rsidR="0067124E">
        <w:t>r</w:t>
      </w:r>
      <w:r w:rsidR="0031296C">
        <w:t xml:space="preserve">e downstream. </w:t>
      </w:r>
    </w:p>
    <w:p w14:paraId="3D216981" w14:textId="19329971" w:rsidR="00F25EAD" w:rsidRDefault="0067124E" w:rsidP="004E6784">
      <w:pPr>
        <w:rPr>
          <w:lang w:eastAsia="ja-JP"/>
        </w:rPr>
      </w:pPr>
      <w:r>
        <w:t xml:space="preserve">Using this </w:t>
      </w:r>
      <w:r w:rsidR="001B590A">
        <w:t>approach</w:t>
      </w:r>
      <w:r>
        <w:t xml:space="preserve">, </w:t>
      </w:r>
      <w:r w:rsidR="00F25EAD">
        <w:fldChar w:fldCharType="begin"/>
      </w:r>
      <w:r w:rsidR="00F25EAD">
        <w:rPr>
          <w:lang w:eastAsia="ja-JP"/>
        </w:rPr>
        <w:instrText xml:space="preserve"> REF _Ref79072763 </w:instrText>
      </w:r>
      <w:r w:rsidR="00F25EAD">
        <w:fldChar w:fldCharType="separate"/>
      </w:r>
      <w:r w:rsidR="00F03ADA" w:rsidRPr="00440B00">
        <w:t xml:space="preserve">Figure </w:t>
      </w:r>
      <w:r w:rsidR="00F03ADA">
        <w:rPr>
          <w:noProof/>
        </w:rPr>
        <w:t>4</w:t>
      </w:r>
      <w:r w:rsidR="00F03ADA">
        <w:t>.</w:t>
      </w:r>
      <w:r w:rsidR="00F03ADA">
        <w:rPr>
          <w:noProof/>
        </w:rPr>
        <w:t>2</w:t>
      </w:r>
      <w:r w:rsidR="00F25EAD">
        <w:fldChar w:fldCharType="end"/>
      </w:r>
      <w:r w:rsidR="00566CBD">
        <w:t xml:space="preserve"> </w:t>
      </w:r>
      <w:r w:rsidR="00533A24">
        <w:t>traces</w:t>
      </w:r>
      <w:r w:rsidR="00566CBD">
        <w:t xml:space="preserve"> </w:t>
      </w:r>
      <w:r w:rsidR="001B590A">
        <w:t>Kazakhstan</w:t>
      </w:r>
      <w:r w:rsidR="00566CBD">
        <w:t xml:space="preserve">’s position in the </w:t>
      </w:r>
      <w:r w:rsidR="001B590A">
        <w:t>mining</w:t>
      </w:r>
      <w:r w:rsidR="00566CBD">
        <w:t xml:space="preserve"> and </w:t>
      </w:r>
      <w:r w:rsidR="001B590A">
        <w:t xml:space="preserve">metals </w:t>
      </w:r>
      <w:r w:rsidR="00566CBD">
        <w:t xml:space="preserve">value chains </w:t>
      </w:r>
      <w:r w:rsidR="00FD129C">
        <w:t>from</w:t>
      </w:r>
      <w:r w:rsidR="00566CBD">
        <w:t xml:space="preserve"> 2010 </w:t>
      </w:r>
      <w:r w:rsidR="00FD129C">
        <w:t xml:space="preserve">to </w:t>
      </w:r>
      <w:r w:rsidR="00566CBD">
        <w:t>202</w:t>
      </w:r>
      <w:r w:rsidR="001B590A">
        <w:t>2</w:t>
      </w:r>
      <w:r w:rsidR="00566CBD">
        <w:t xml:space="preserve">. </w:t>
      </w:r>
      <w:r w:rsidR="006A04D9">
        <w:t xml:space="preserve">For reference, the figure also includes other </w:t>
      </w:r>
      <w:r w:rsidR="00CD4C00">
        <w:t>countries</w:t>
      </w:r>
      <w:r w:rsidR="006A04D9">
        <w:t xml:space="preserve"> that were found to be specializing in these sectors: </w:t>
      </w:r>
      <w:r w:rsidR="001B590A">
        <w:t xml:space="preserve">Brunei Darussalam, Norway, the Russian </w:t>
      </w:r>
      <w:r w:rsidR="001B590A">
        <w:lastRenderedPageBreak/>
        <w:t>Federation, and the United States</w:t>
      </w:r>
      <w:r w:rsidR="006A04D9">
        <w:t xml:space="preserve"> </w:t>
      </w:r>
      <w:r w:rsidR="001B590A">
        <w:t xml:space="preserve">for mining </w:t>
      </w:r>
      <w:r w:rsidR="006A04D9">
        <w:t xml:space="preserve">and </w:t>
      </w:r>
      <w:r w:rsidR="001B590A">
        <w:t>Germany, Japan, the People's Republic of China, and the United States</w:t>
      </w:r>
      <w:r w:rsidR="006A04D9">
        <w:t xml:space="preserve"> for agriculture. </w:t>
      </w:r>
      <w:r w:rsidR="00B03C5C">
        <w:t>Dots above the 45-degree line are</w:t>
      </w:r>
      <w:r w:rsidR="009F690E">
        <w:t xml:space="preserve"> upstream </w:t>
      </w:r>
      <w:r w:rsidR="007A22E8">
        <w:t xml:space="preserve">countries </w:t>
      </w:r>
      <w:r w:rsidR="009F690E">
        <w:t xml:space="preserve">while dots below the 45-degree line are downstream </w:t>
      </w:r>
      <w:r w:rsidR="007A22E8">
        <w:t>countries</w:t>
      </w:r>
      <w:r w:rsidR="009F690E">
        <w:t>.</w:t>
      </w:r>
    </w:p>
    <w:p w14:paraId="23DAB314" w14:textId="12DB1E94" w:rsidR="004E6784" w:rsidRPr="00440B00" w:rsidRDefault="004E5E5B" w:rsidP="00440B00">
      <w:pPr>
        <w:pStyle w:val="Caption"/>
      </w:pPr>
      <w:bookmarkStart w:id="53" w:name="_Ref79072763"/>
      <w:bookmarkStart w:id="54" w:name="_Toc141689893"/>
      <w:r>
        <w:rPr>
          <w:noProof/>
        </w:rPr>
        <w:drawing>
          <wp:anchor distT="0" distB="0" distL="114300" distR="114300" simplePos="0" relativeHeight="251752448" behindDoc="0" locked="0" layoutInCell="1" allowOverlap="1" wp14:anchorId="510DB915" wp14:editId="012D5451">
            <wp:simplePos x="0" y="0"/>
            <wp:positionH relativeFrom="column">
              <wp:posOffset>0</wp:posOffset>
            </wp:positionH>
            <wp:positionV relativeFrom="paragraph">
              <wp:posOffset>190972</wp:posOffset>
            </wp:positionV>
            <wp:extent cx="5731510" cy="3226435"/>
            <wp:effectExtent l="0" t="0" r="0" b="0"/>
            <wp:wrapSquare wrapText="bothSides"/>
            <wp:docPr id="17015920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92008" name="Picture 1701592008"/>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14:sizeRelH relativeFrom="page">
              <wp14:pctWidth>0</wp14:pctWidth>
            </wp14:sizeRelH>
            <wp14:sizeRelV relativeFrom="page">
              <wp14:pctHeight>0</wp14:pctHeight>
            </wp14:sizeRelV>
          </wp:anchor>
        </w:drawing>
      </w:r>
      <w:r w:rsidR="004E6784" w:rsidRPr="00440B00">
        <w:t xml:space="preserve">Figure </w:t>
      </w:r>
      <w:fldSimple w:instr=" STYLEREF 1 \s ">
        <w:r w:rsidR="00F03ADA">
          <w:rPr>
            <w:noProof/>
          </w:rPr>
          <w:t>4</w:t>
        </w:r>
      </w:fldSimple>
      <w:r w:rsidR="003F26C2">
        <w:t>.</w:t>
      </w:r>
      <w:fldSimple w:instr=" SEQ Figure \* ARABIC \s 1 ">
        <w:r w:rsidR="00F03ADA">
          <w:rPr>
            <w:noProof/>
          </w:rPr>
          <w:t>2</w:t>
        </w:r>
      </w:fldSimple>
      <w:bookmarkEnd w:id="53"/>
      <w:r w:rsidR="004E6784" w:rsidRPr="00440B00">
        <w:t xml:space="preserve">: Positioning in </w:t>
      </w:r>
      <w:r w:rsidR="001B590A">
        <w:t>Mining</w:t>
      </w:r>
      <w:r w:rsidR="004E6784" w:rsidRPr="00440B00">
        <w:t xml:space="preserve"> and </w:t>
      </w:r>
      <w:r w:rsidR="001B590A">
        <w:t xml:space="preserve">Metals </w:t>
      </w:r>
      <w:r w:rsidR="004E6784" w:rsidRPr="00440B00">
        <w:t xml:space="preserve">GVCs, Selected </w:t>
      </w:r>
      <w:r w:rsidR="00AB25FE">
        <w:t>Countries</w:t>
      </w:r>
      <w:r w:rsidR="004E6784" w:rsidRPr="00440B00">
        <w:t>, 2010 and 202</w:t>
      </w:r>
      <w:r>
        <w:t>2</w:t>
      </w:r>
      <w:bookmarkEnd w:id="54"/>
    </w:p>
    <w:p w14:paraId="1814BAA5" w14:textId="6C8E9D86" w:rsidR="004E6784" w:rsidRDefault="004E6784" w:rsidP="004E6784">
      <w:pPr>
        <w:pStyle w:val="Notes"/>
      </w:pPr>
      <w:r>
        <w:t>GVC = global value chain</w:t>
      </w:r>
    </w:p>
    <w:p w14:paraId="6E48FE24" w14:textId="5345E18C" w:rsidR="004E6784" w:rsidRDefault="004E6784" w:rsidP="004E6784">
      <w:pPr>
        <w:pStyle w:val="Notes"/>
      </w:pPr>
      <w:r>
        <w:t xml:space="preserve">Notes: </w:t>
      </w:r>
      <w:r w:rsidR="00151576">
        <w:tab/>
      </w:r>
      <w:r>
        <w:t xml:space="preserve">Global value chain production lengths are computed according to Wang, Wei, Yu, and Zhu (2017). </w:t>
      </w:r>
      <w:r w:rsidR="004E5E5B">
        <w:t>Sector breakdown is by value added origins.</w:t>
      </w:r>
    </w:p>
    <w:p w14:paraId="6DAF5F35" w14:textId="47E1B313" w:rsidR="00CA701D" w:rsidRDefault="00FC3C48" w:rsidP="007028DD">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xml:space="preserve">; </w:t>
      </w:r>
      <w:r w:rsidRPr="00860741">
        <w:t xml:space="preserve">Z. Wang, S. Wei, X. Yu, and K. Zhu. 2017. Characterizing Global Value Chains: Production Length and </w:t>
      </w:r>
      <w:proofErr w:type="spellStart"/>
      <w:r w:rsidRPr="00860741">
        <w:t>Upstreamness</w:t>
      </w:r>
      <w:proofErr w:type="spellEnd"/>
      <w:r w:rsidRPr="00860741">
        <w:t xml:space="preserve">. </w:t>
      </w:r>
      <w:r w:rsidRPr="00860741">
        <w:rPr>
          <w:i/>
          <w:iCs/>
        </w:rPr>
        <w:t>NBER Working Paper No. 23261</w:t>
      </w:r>
      <w:r w:rsidRPr="00860741">
        <w:t>. Cambridge, MA: National Bureau of Economic Research</w:t>
      </w:r>
      <w:r>
        <w:t>; Asian Development Bank. Multiregional Input–Output Database</w:t>
      </w:r>
      <w:r w:rsidR="00903315">
        <w:t xml:space="preserve"> (July 2023</w:t>
      </w:r>
      <w:r>
        <w:t>);</w:t>
      </w:r>
      <w:r w:rsidRPr="008F0425">
        <w:t xml:space="preserve"> </w:t>
      </w:r>
      <w:r>
        <w:t>Asian Development Bank estimates.</w:t>
      </w:r>
    </w:p>
    <w:p w14:paraId="26DF0ED2" w14:textId="1F1A9454" w:rsidR="004E6784" w:rsidRDefault="001B590A" w:rsidP="004E6784">
      <w:r>
        <w:t xml:space="preserve">For mining, Kazakhstan joins Brunei Darussalam and the United States in the upstream region of the value chain. </w:t>
      </w:r>
      <w:r w:rsidR="002C1CC4">
        <w:t xml:space="preserve">However, all three have moved more downstream in the last decade, with their backward stages increasing and (to a lesser degree) their forward stages decreasing. For Kazakhstan, the backward stages of its mining sector rose from 3.8 stages in 2010 to 4.2 in 2022 while its forward stages stayed at roughly 4.2 stages. This means it has </w:t>
      </w:r>
      <w:r w:rsidR="0021042D">
        <w:t xml:space="preserve">embedded itself deeper </w:t>
      </w:r>
      <w:r w:rsidR="00024E4D">
        <w:t>with</w:t>
      </w:r>
      <w:r w:rsidR="0021042D">
        <w:t xml:space="preserve">in mining GVCs. </w:t>
      </w:r>
      <w:r w:rsidR="00024E4D">
        <w:t xml:space="preserve">In contrast, the Russian Federation appears to lie even deeper, with backward stages at </w:t>
      </w:r>
      <w:r w:rsidR="00AC5ED8">
        <w:t>4.6</w:t>
      </w:r>
      <w:r w:rsidR="00024E4D">
        <w:t xml:space="preserve"> and forward stages at </w:t>
      </w:r>
      <w:r w:rsidR="00AC5ED8">
        <w:t>4.3</w:t>
      </w:r>
      <w:r w:rsidR="00024E4D">
        <w:t xml:space="preserve"> in 2022. This may be puzzling given the extensive sanctions placed on it following its invasion of Ukraine, but note that the chart specifically looks only at the GVC component of trade. </w:t>
      </w:r>
      <w:r w:rsidR="006D30AB">
        <w:t>This may have isolated the trade that is most robust from sanctions</w:t>
      </w:r>
      <w:r w:rsidR="00954582">
        <w:t xml:space="preserve">, explaining why it remains deeply embedded. </w:t>
      </w:r>
    </w:p>
    <w:p w14:paraId="26DA069F" w14:textId="05A19AF9" w:rsidR="006D30AB" w:rsidRDefault="00024E4D" w:rsidP="00EB5EA7">
      <w:r>
        <w:t>There is less movement across the last decade in the GVC production lengths of metals manufacturing. The five countries included in the chart all lie close to the 45-degree line, indicating neutral positions along the value chain</w:t>
      </w:r>
      <w:r w:rsidR="00954582">
        <w:t>—neither upstream nor downstream</w:t>
      </w:r>
      <w:r>
        <w:t>. The PRC exhibits the highest number</w:t>
      </w:r>
      <w:r w:rsidR="00AC5ED8">
        <w:t>s</w:t>
      </w:r>
      <w:r>
        <w:t xml:space="preserve"> of backward </w:t>
      </w:r>
      <w:r w:rsidR="00AC5ED8">
        <w:t xml:space="preserve">and forward </w:t>
      </w:r>
      <w:r>
        <w:t xml:space="preserve">stages while Germany exhibits </w:t>
      </w:r>
      <w:r>
        <w:lastRenderedPageBreak/>
        <w:t xml:space="preserve">the lowest. </w:t>
      </w:r>
      <w:r w:rsidR="00AC5ED8">
        <w:t xml:space="preserve">Kazakhstan's stages are similar to the United States at 4.2 </w:t>
      </w:r>
      <w:r w:rsidR="00954582">
        <w:t xml:space="preserve">backward </w:t>
      </w:r>
      <w:r w:rsidR="00AC5ED8">
        <w:t xml:space="preserve">stages and 4.1 </w:t>
      </w:r>
      <w:r w:rsidR="00954582">
        <w:t xml:space="preserve">forward </w:t>
      </w:r>
      <w:r w:rsidR="00AC5ED8">
        <w:t xml:space="preserve">stages. </w:t>
      </w:r>
    </w:p>
    <w:p w14:paraId="715C2A41" w14:textId="0EC2E441" w:rsidR="00AA04EC" w:rsidRDefault="000013EA" w:rsidP="00EB5EA7">
      <w:r>
        <w:t xml:space="preserve">Having established the position of </w:t>
      </w:r>
      <w:r w:rsidR="00AC5ED8">
        <w:t>Kazakhstan</w:t>
      </w:r>
      <w:r>
        <w:t xml:space="preserve"> in the value chains of these two sectors, this chapter turns next to how its price competitiveness has changed over the</w:t>
      </w:r>
      <w:r w:rsidR="00954582">
        <w:t xml:space="preserve"> decades</w:t>
      </w:r>
      <w:r>
        <w:t xml:space="preserve">. </w:t>
      </w:r>
      <w:r w:rsidR="0055221E">
        <w:t xml:space="preserve">This </w:t>
      </w:r>
      <w:r w:rsidR="00447E68">
        <w:t>is measured by the real effective exchange rate</w:t>
      </w:r>
      <w:r w:rsidR="00EE247B">
        <w:t xml:space="preserve"> (REER)</w:t>
      </w:r>
      <w:r w:rsidR="00447E68">
        <w:t xml:space="preserve"> index</w:t>
      </w:r>
      <w:r w:rsidR="004D5443">
        <w:t xml:space="preserve">. </w:t>
      </w:r>
      <w:r w:rsidR="00E70B54">
        <w:t xml:space="preserve">The REER is a price index in the spirit of the </w:t>
      </w:r>
      <w:r w:rsidR="00131DFD">
        <w:t>GDP</w:t>
      </w:r>
      <w:r w:rsidR="00E70B54">
        <w:t xml:space="preserve"> deflator </w:t>
      </w:r>
      <w:r w:rsidR="008A64C9">
        <w:t>and</w:t>
      </w:r>
      <w:r w:rsidR="00E70B54">
        <w:t xml:space="preserve"> the consumer price index, though it accounts not just for a</w:t>
      </w:r>
      <w:r w:rsidR="00255677">
        <w:t xml:space="preserve"> country</w:t>
      </w:r>
      <w:r w:rsidR="00E70B54">
        <w:t>’s domestic prices but also the prices of its international competitors, weighted by the degree to which it competes</w:t>
      </w:r>
      <w:r w:rsidR="003F2892">
        <w:t xml:space="preserve"> with them</w:t>
      </w:r>
      <w:r w:rsidR="00E70B54">
        <w:t xml:space="preserve">. </w:t>
      </w:r>
      <w:r w:rsidR="006E0217">
        <w:t xml:space="preserve">If the REER goes up, then the </w:t>
      </w:r>
      <w:r w:rsidR="00255677">
        <w:t xml:space="preserve">country’s </w:t>
      </w:r>
      <w:r w:rsidR="006E0217">
        <w:t xml:space="preserve">prices have gone up relative to its competitors; thus, it is said to have lost in competitiveness. Likewise, if the REER goes down, then it has gained in competitiveness. </w:t>
      </w:r>
      <w:r w:rsidR="00C947E7">
        <w:t>Moreover, like the RCA index, this chapter implements a refinement of the REER that considers value</w:t>
      </w:r>
      <w:r w:rsidR="00954582">
        <w:t xml:space="preserve"> </w:t>
      </w:r>
      <w:r w:rsidR="00C947E7">
        <w:t xml:space="preserve">added rather than gross flows. </w:t>
      </w:r>
      <w:r w:rsidR="00784820">
        <w:t xml:space="preserve">See </w:t>
      </w:r>
      <w:fldSimple w:instr=" REF _Ref79074851 ">
        <w:r w:rsidR="00F03ADA" w:rsidRPr="004656A0">
          <w:t xml:space="preserve">Box </w:t>
        </w:r>
        <w:r w:rsidR="00F03ADA">
          <w:rPr>
            <w:noProof/>
          </w:rPr>
          <w:t>7</w:t>
        </w:r>
      </w:fldSimple>
      <w:r w:rsidR="00D46DE8">
        <w:t xml:space="preserve"> </w:t>
      </w:r>
      <w:r w:rsidR="00784820">
        <w:t xml:space="preserve">for more details. </w:t>
      </w:r>
    </w:p>
    <w:tbl>
      <w:tblPr>
        <w:tblStyle w:val="TableGrid"/>
        <w:tblW w:w="0" w:type="auto"/>
        <w:tblLook w:val="04A0" w:firstRow="1" w:lastRow="0" w:firstColumn="1" w:lastColumn="0" w:noHBand="0" w:noVBand="1"/>
      </w:tblPr>
      <w:tblGrid>
        <w:gridCol w:w="9016"/>
      </w:tblGrid>
      <w:tr w:rsidR="00AA04EC" w14:paraId="5AF87062" w14:textId="77777777" w:rsidTr="00971BEE">
        <w:tc>
          <w:tcPr>
            <w:tcW w:w="9016" w:type="dxa"/>
          </w:tcPr>
          <w:p w14:paraId="30A11FB8" w14:textId="3BA93258" w:rsidR="00AA04EC" w:rsidRPr="004656A0" w:rsidRDefault="00AA04EC" w:rsidP="004656A0">
            <w:pPr>
              <w:pStyle w:val="Caption"/>
            </w:pPr>
            <w:bookmarkStart w:id="55" w:name="_Ref79074851"/>
            <w:bookmarkStart w:id="56" w:name="_Toc141647977"/>
            <w:r w:rsidRPr="004656A0">
              <w:t xml:space="preserve">Box </w:t>
            </w:r>
            <w:fldSimple w:instr=" SEQ Box \* ARABIC ">
              <w:r w:rsidR="00F03ADA">
                <w:rPr>
                  <w:noProof/>
                </w:rPr>
                <w:t>7</w:t>
              </w:r>
            </w:fldSimple>
            <w:bookmarkEnd w:id="55"/>
            <w:r w:rsidRPr="004656A0">
              <w:t>: Calculating the Real Effective Exchange Rate</w:t>
            </w:r>
            <w:r w:rsidR="001F479C" w:rsidRPr="004656A0">
              <w:t xml:space="preserve"> Index</w:t>
            </w:r>
            <w:bookmarkEnd w:id="56"/>
          </w:p>
          <w:p w14:paraId="225B9168" w14:textId="7939F48C" w:rsidR="007839EA" w:rsidRDefault="007839EA" w:rsidP="001B36CC">
            <w:pPr>
              <w:pStyle w:val="Box"/>
            </w:pPr>
            <w:r>
              <w:t xml:space="preserve">The real effective exchange rate (REER) is a price index that summarizes a </w:t>
            </w:r>
            <w:r w:rsidR="004544BB">
              <w:t xml:space="preserve">country’s </w:t>
            </w:r>
            <w:r>
              <w:t>prices relative to its trade competitors. Changes in the REER can be thought of as the residual price change after inflation rates and nominal exchange rate movements have been taken into account. Changes in the REER would always be zero under purchasing power parity (PPP), but it generally is not due to factors like home bias, market frictions, and policy (</w:t>
            </w:r>
            <w:proofErr w:type="spellStart"/>
            <w:r>
              <w:t>Itskhoki</w:t>
            </w:r>
            <w:proofErr w:type="spellEnd"/>
            <w:r>
              <w:t xml:space="preserve"> 2020). Because of this, the REER acts like an inverse competitiveness index. Depreciation, which by convention means a fall in the REER, implies that the home </w:t>
            </w:r>
            <w:r w:rsidR="00A41BCB">
              <w:t xml:space="preserve">country’s </w:t>
            </w:r>
            <w:r>
              <w:t xml:space="preserve">goods have become relatively cheaper in the markets it competes in and can therefore expect higher demand; appreciation, conversely, is associated with lower demand. </w:t>
            </w:r>
          </w:p>
          <w:p w14:paraId="1A7D1D6C" w14:textId="02812E43" w:rsidR="00CF4216" w:rsidRDefault="007839EA" w:rsidP="001B36CC">
            <w:pPr>
              <w:pStyle w:val="Box"/>
            </w:pPr>
            <w:r>
              <w:t xml:space="preserve">The REER index is a weighted average of bilateral real exchange rates (Chinn 2006). Price levels in </w:t>
            </w:r>
            <w:r w:rsidR="00F3572E">
              <w:t>countries</w:t>
            </w:r>
            <w:r>
              <w:t xml:space="preserve"> with whom the home </w:t>
            </w:r>
            <w:r w:rsidR="00F3572E">
              <w:t>country</w:t>
            </w:r>
            <w:r>
              <w:t xml:space="preserve"> has more trade have a larger influence in its REER. </w:t>
            </w:r>
            <w:r w:rsidR="00F327E9">
              <w:t xml:space="preserve">Formally, the weight </w:t>
            </w:r>
            <w:r w:rsidR="00F3572E">
              <w:t xml:space="preserve">country </w:t>
            </w:r>
            <m:oMath>
              <m:r>
                <w:rPr>
                  <w:rFonts w:ascii="Cambria Math" w:hAnsi="Cambria Math"/>
                </w:rPr>
                <m:t>s</m:t>
              </m:r>
            </m:oMath>
            <w:r w:rsidR="00F327E9">
              <w:t xml:space="preserve"> assigns to the prices of </w:t>
            </w:r>
            <w:r w:rsidR="00F3572E">
              <w:t xml:space="preserve">country </w:t>
            </w:r>
            <m:oMath>
              <m:r>
                <w:rPr>
                  <w:rFonts w:ascii="Cambria Math" w:hAnsi="Cambria Math"/>
                </w:rPr>
                <m:t>r</m:t>
              </m:r>
            </m:oMath>
            <w:r w:rsidR="00F327E9">
              <w:t xml:space="preserve"> is</w:t>
            </w:r>
          </w:p>
          <w:p w14:paraId="3D9DF66F" w14:textId="0DD35BAE" w:rsidR="00F327E9" w:rsidRDefault="00000000" w:rsidP="001B36CC">
            <w:pPr>
              <w:pStyle w:val="Box"/>
            </w:pPr>
            <m:oMathPara>
              <m:oMath>
                <m:sSub>
                  <m:sSubPr>
                    <m:ctrlPr>
                      <w:rPr>
                        <w:rFonts w:ascii="Cambria Math" w:hAnsi="Cambria Math"/>
                        <w:i/>
                      </w:rPr>
                    </m:ctrlPr>
                  </m:sSubPr>
                  <m:e>
                    <m:r>
                      <w:rPr>
                        <w:rFonts w:ascii="Cambria Math" w:hAnsi="Cambria Math"/>
                      </w:rPr>
                      <m:t>W</m:t>
                    </m:r>
                  </m:e>
                  <m:sub>
                    <m:r>
                      <w:rPr>
                        <w:rFonts w:ascii="Cambria Math" w:hAnsi="Cambria Math"/>
                      </w:rPr>
                      <m:t>sr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u</m:t>
                    </m:r>
                  </m:sub>
                  <m:sup/>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su</m:t>
                                </m:r>
                              </m:sub>
                            </m:sSub>
                          </m:num>
                          <m:den>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s</m:t>
                                </m:r>
                              </m:sub>
                            </m:sSub>
                          </m:den>
                        </m:f>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ru</m:t>
                                </m:r>
                              </m:sub>
                            </m:sSub>
                          </m:num>
                          <m:den>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Deman</m:t>
                            </m:r>
                            <m:sSub>
                              <m:sSubPr>
                                <m:ctrlPr>
                                  <w:rPr>
                                    <w:rFonts w:ascii="Cambria Math" w:hAnsi="Cambria Math"/>
                                    <w:i/>
                                  </w:rPr>
                                </m:ctrlPr>
                              </m:sSubPr>
                              <m:e>
                                <m:r>
                                  <w:rPr>
                                    <w:rFonts w:ascii="Cambria Math" w:hAnsi="Cambria Math"/>
                                  </w:rPr>
                                  <m:t>d</m:t>
                                </m:r>
                              </m:e>
                              <m:sub>
                                <m:r>
                                  <w:rPr>
                                    <w:rFonts w:ascii="Cambria Math" w:hAnsi="Cambria Math"/>
                                  </w:rPr>
                                  <m:t>u</m:t>
                                </m:r>
                              </m:sub>
                            </m:sSub>
                          </m:den>
                        </m:f>
                      </m:e>
                    </m:d>
                  </m:e>
                </m:nary>
              </m:oMath>
            </m:oMathPara>
          </w:p>
          <w:p w14:paraId="0EE4D39E" w14:textId="6F1FABF0" w:rsidR="00CF4216" w:rsidRDefault="00F327E9" w:rsidP="001B36CC">
            <w:pPr>
              <w:pStyle w:val="Box"/>
            </w:pPr>
            <w:r>
              <w:t xml:space="preserve">That is, </w:t>
            </w:r>
            <w:r w:rsidR="00811EE6">
              <w:t xml:space="preserve">it is proportional to two fractions summed across all markets </w:t>
            </w:r>
            <m:oMath>
              <m:r>
                <w:rPr>
                  <w:rFonts w:ascii="Cambria Math" w:hAnsi="Cambria Math"/>
                </w:rPr>
                <m:t>u</m:t>
              </m:r>
            </m:oMath>
            <w:r w:rsidR="00811EE6">
              <w:t xml:space="preserve">. The first is the importance of market </w:t>
            </w:r>
            <m:oMath>
              <m:r>
                <w:rPr>
                  <w:rFonts w:ascii="Cambria Math" w:hAnsi="Cambria Math"/>
                </w:rPr>
                <m:t>u</m:t>
              </m:r>
            </m:oMath>
            <w:r w:rsidR="00811EE6">
              <w:t xml:space="preserve"> in </w:t>
            </w:r>
            <m:oMath>
              <m:r>
                <w:rPr>
                  <w:rFonts w:ascii="Cambria Math" w:hAnsi="Cambria Math"/>
                </w:rPr>
                <m:t>s</m:t>
              </m:r>
            </m:oMath>
            <w:r w:rsidR="00811EE6">
              <w:t xml:space="preserve">’s exports and the second is the market share of </w:t>
            </w:r>
            <m:oMath>
              <m:r>
                <w:rPr>
                  <w:rFonts w:ascii="Cambria Math" w:hAnsi="Cambria Math"/>
                </w:rPr>
                <m:t>r</m:t>
              </m:r>
            </m:oMath>
            <w:r w:rsidR="00811EE6">
              <w:t xml:space="preserve"> in market </w:t>
            </w:r>
            <m:oMath>
              <m:r>
                <w:rPr>
                  <w:rFonts w:ascii="Cambria Math" w:hAnsi="Cambria Math"/>
                </w:rPr>
                <m:t>u</m:t>
              </m:r>
            </m:oMath>
            <w:r w:rsidR="00811EE6">
              <w:t xml:space="preserve">. </w:t>
            </w:r>
            <w:r w:rsidR="00624A63">
              <w:t xml:space="preserve">The higher either of these are, the higher the weight. </w:t>
            </w:r>
          </w:p>
          <w:p w14:paraId="4DD077C5" w14:textId="02E4ADD1" w:rsidR="003B1F52" w:rsidRDefault="00A6007D" w:rsidP="001B36CC">
            <w:pPr>
              <w:pStyle w:val="Box"/>
            </w:pPr>
            <w:r>
              <w:t>The REER itself is obtained by</w:t>
            </w:r>
            <w:r w:rsidR="003B1F52">
              <w:t xml:space="preserve"> multiplying the weights matrix </w:t>
            </w:r>
            <m:oMath>
              <m:r>
                <m:rPr>
                  <m:sty m:val="b"/>
                </m:rPr>
                <w:rPr>
                  <w:rFonts w:ascii="Cambria Math" w:hAnsi="Cambria Math"/>
                </w:rPr>
                <m:t>W</m:t>
              </m:r>
            </m:oMath>
            <w:r w:rsidR="00FD3E58">
              <w:t xml:space="preserve"> </w:t>
            </w:r>
            <w:r w:rsidR="003B1F52">
              <w:t>with the vector of price changes</w:t>
            </w:r>
            <w:r w:rsidR="00FD3E58" w:rsidRPr="003B1F52">
              <w:rPr>
                <w:rFonts w:ascii="Cambria Math" w:hAnsi="Cambria Math"/>
                <w:b/>
                <w:bCs/>
                <w:iCs/>
              </w:rPr>
              <w:t xml:space="preserve"> </w:t>
            </w:r>
            <m:oMath>
              <m:acc>
                <m:accPr>
                  <m:ctrlPr>
                    <w:rPr>
                      <w:rFonts w:ascii="Cambria Math" w:hAnsi="Cambria Math"/>
                      <w:b/>
                      <w:bCs/>
                      <w:iCs/>
                    </w:rPr>
                  </m:ctrlPr>
                </m:accPr>
                <m:e>
                  <m:r>
                    <m:rPr>
                      <m:sty m:val="b"/>
                    </m:rPr>
                    <w:rPr>
                      <w:rFonts w:ascii="Cambria Math" w:hAnsi="Cambria Math"/>
                    </w:rPr>
                    <m:t>p</m:t>
                  </m:r>
                </m:e>
              </m:acc>
            </m:oMath>
            <w:r w:rsidR="003B1F52">
              <w:t>:</w:t>
            </w:r>
          </w:p>
          <w:p w14:paraId="69111142" w14:textId="18E15011" w:rsidR="003B1F52" w:rsidRDefault="003B1F52" w:rsidP="001B36CC">
            <w:pPr>
              <w:pStyle w:val="Box"/>
            </w:pPr>
            <m:oMathPara>
              <m:oMath>
                <m:r>
                  <m:rPr>
                    <m:sty m:val="b"/>
                  </m:rPr>
                  <w:rPr>
                    <w:rFonts w:ascii="Cambria Math" w:hAnsi="Cambria Math"/>
                  </w:rPr>
                  <m:t>REER</m:t>
                </m:r>
                <m:r>
                  <w:rPr>
                    <w:rFonts w:ascii="Cambria Math" w:hAnsi="Cambria Math"/>
                  </w:rPr>
                  <m:t>=</m:t>
                </m:r>
                <m:r>
                  <m:rPr>
                    <m:sty m:val="b"/>
                  </m:rPr>
                  <w:rPr>
                    <w:rFonts w:ascii="Cambria Math" w:hAnsi="Cambria Math"/>
                  </w:rPr>
                  <m:t>W</m:t>
                </m:r>
                <m:r>
                  <w:rPr>
                    <w:rFonts w:ascii="Cambria Math" w:hAnsi="Cambria Math"/>
                  </w:rPr>
                  <m:t>⋅</m:t>
                </m:r>
                <m:acc>
                  <m:accPr>
                    <m:ctrlPr>
                      <w:rPr>
                        <w:rFonts w:ascii="Cambria Math" w:hAnsi="Cambria Math"/>
                        <w:b/>
                        <w:bCs/>
                        <w:iCs/>
                      </w:rPr>
                    </m:ctrlPr>
                  </m:accPr>
                  <m:e>
                    <m:r>
                      <m:rPr>
                        <m:sty m:val="b"/>
                      </m:rPr>
                      <w:rPr>
                        <w:rFonts w:ascii="Cambria Math" w:hAnsi="Cambria Math"/>
                      </w:rPr>
                      <m:t>p</m:t>
                    </m:r>
                  </m:e>
                </m:acc>
              </m:oMath>
            </m:oMathPara>
          </w:p>
          <w:p w14:paraId="304A91CA" w14:textId="2FFC8415" w:rsidR="00AA04EC" w:rsidRDefault="008C5CC5" w:rsidP="001B36CC">
            <w:pPr>
              <w:pStyle w:val="Box"/>
            </w:pPr>
            <w:r>
              <w:t xml:space="preserve">Calculating </w:t>
            </w:r>
            <w:r w:rsidR="00E73048">
              <w:t xml:space="preserve">the </w:t>
            </w:r>
            <w:r w:rsidR="007839EA">
              <w:t xml:space="preserve">weights </w:t>
            </w:r>
            <w:r w:rsidR="00E73048">
              <w:t xml:space="preserve">matrix </w:t>
            </w:r>
            <w:r w:rsidR="007839EA">
              <w:t>typically rel</w:t>
            </w:r>
            <w:r w:rsidR="00E84B56">
              <w:t>ies</w:t>
            </w:r>
            <w:r w:rsidR="007839EA">
              <w:t xml:space="preserve"> on trade statistics that only report gross exports, resulting in the implicit assumption that all trade is in final goods</w:t>
            </w:r>
            <w:r w:rsidR="00B42B22">
              <w:t xml:space="preserve"> (see </w:t>
            </w:r>
            <w:fldSimple w:instr=" REF _Ref77751741  \* MERGEFORMAT ">
              <w:r w:rsidR="00F03ADA" w:rsidRPr="009F0FF5">
                <w:t xml:space="preserve">Box </w:t>
              </w:r>
              <w:r w:rsidR="00F03ADA">
                <w:rPr>
                  <w:noProof/>
                </w:rPr>
                <w:t>4</w:t>
              </w:r>
            </w:fldSimple>
            <w:r w:rsidR="00B42B22">
              <w:t>)</w:t>
            </w:r>
            <w:r w:rsidR="007839EA">
              <w:t>. This has grown increasingly untenable with the rise of global value chains</w:t>
            </w:r>
            <w:r w:rsidR="00036339">
              <w:t xml:space="preserve"> (GVCs)</w:t>
            </w:r>
            <w:r w:rsidR="007839EA">
              <w:t xml:space="preserve"> (</w:t>
            </w:r>
            <w:proofErr w:type="spellStart"/>
            <w:r w:rsidR="007839EA">
              <w:t>Bems</w:t>
            </w:r>
            <w:proofErr w:type="spellEnd"/>
            <w:r w:rsidR="007839EA">
              <w:t xml:space="preserve"> </w:t>
            </w:r>
            <w:r w:rsidR="00B01885">
              <w:t>and</w:t>
            </w:r>
            <w:r w:rsidR="007839EA">
              <w:t xml:space="preserve"> Johnson 2017). To illustrate, consider a trading relationship where Japan exports electronic components to the People’s Republic of China (PRC), who assembles them into toys that then compete with toys from the United States. Suppose there is no direct trade between Japan and the United States. Then in computations of the U</w:t>
            </w:r>
            <w:r w:rsidR="00F2405A">
              <w:t>nited States</w:t>
            </w:r>
            <w:r w:rsidR="007839EA">
              <w:t xml:space="preserve"> REER, a depreciation of the yen registers no impact, though by decreasing PRC input costs, it may well result in cheaper PRC exports, making U</w:t>
            </w:r>
            <w:r w:rsidR="00F2405A">
              <w:t>nited States</w:t>
            </w:r>
            <w:r w:rsidR="007839EA">
              <w:t xml:space="preserve"> exports less competitive. In short, if the presence of global value chains is not taken into account, the resulting REER index may miss a lot of relevant nuances.</w:t>
            </w:r>
          </w:p>
          <w:p w14:paraId="13B3769F" w14:textId="7A86E630" w:rsidR="00E215C5" w:rsidRDefault="00036339" w:rsidP="001B36CC">
            <w:pPr>
              <w:pStyle w:val="Box"/>
            </w:pPr>
            <w:r>
              <w:lastRenderedPageBreak/>
              <w:t>This chapter implements the GVC</w:t>
            </w:r>
            <w:r w:rsidR="00C10761">
              <w:t>-adjusted REERs of Patel, Wang, and Wei</w:t>
            </w:r>
            <w:r w:rsidR="003374AA">
              <w:t xml:space="preserve"> (</w:t>
            </w:r>
            <w:r w:rsidR="00761647">
              <w:t>2019</w:t>
            </w:r>
            <w:r w:rsidR="003374AA">
              <w:t xml:space="preserve">). </w:t>
            </w:r>
            <w:r w:rsidR="00A41CF6">
              <w:t xml:space="preserve">Expanding on </w:t>
            </w:r>
            <w:proofErr w:type="spellStart"/>
            <w:r w:rsidR="00A41CF6">
              <w:t>Bems</w:t>
            </w:r>
            <w:proofErr w:type="spellEnd"/>
            <w:r w:rsidR="00A41CF6">
              <w:t xml:space="preserve"> and Johnson (2017), t</w:t>
            </w:r>
            <w:r w:rsidR="005075BC">
              <w:t>he</w:t>
            </w:r>
            <w:r w:rsidR="00A41CF6">
              <w:t>y</w:t>
            </w:r>
            <w:r w:rsidR="005075BC">
              <w:t xml:space="preserve"> build a dynamic stochastic general equilibrium model</w:t>
            </w:r>
            <w:r w:rsidR="00804FF0">
              <w:t xml:space="preserve"> </w:t>
            </w:r>
            <w:r w:rsidR="00EA4465">
              <w:t>using</w:t>
            </w:r>
            <w:r w:rsidR="00804FF0">
              <w:t xml:space="preserve"> </w:t>
            </w:r>
            <w:proofErr w:type="spellStart"/>
            <w:r w:rsidR="00804FF0">
              <w:t>Armington</w:t>
            </w:r>
            <w:proofErr w:type="spellEnd"/>
            <w:r w:rsidR="00804FF0">
              <w:t xml:space="preserve"> (</w:t>
            </w:r>
            <w:r w:rsidR="008A64C9">
              <w:t>1969</w:t>
            </w:r>
            <w:r w:rsidR="00804FF0">
              <w:t xml:space="preserve">) demand functions </w:t>
            </w:r>
            <w:r w:rsidR="005075BC">
              <w:t xml:space="preserve">to derive </w:t>
            </w:r>
            <w:r w:rsidR="00804FF0">
              <w:t>a weights matrix</w:t>
            </w:r>
            <w:r w:rsidR="000E5F81">
              <w:t xml:space="preserve"> at the </w:t>
            </w:r>
            <w:r w:rsidR="00937F70">
              <w:t>country-</w:t>
            </w:r>
            <w:r w:rsidR="000E5F81">
              <w:t>sector level</w:t>
            </w:r>
            <w:r w:rsidR="003D73FB">
              <w:t xml:space="preserve">, which </w:t>
            </w:r>
            <w:r w:rsidR="00EA4465">
              <w:t>may be</w:t>
            </w:r>
            <w:r w:rsidR="003D73FB">
              <w:t xml:space="preserve"> aggregated to the </w:t>
            </w:r>
            <w:r w:rsidR="008C15FB">
              <w:t>country</w:t>
            </w:r>
            <w:r w:rsidR="003D73FB">
              <w:t xml:space="preserve"> level through value</w:t>
            </w:r>
            <w:r w:rsidR="00954582">
              <w:t xml:space="preserve"> </w:t>
            </w:r>
            <w:r w:rsidR="003D73FB">
              <w:t>added-weighted averages</w:t>
            </w:r>
            <w:r w:rsidR="000E5F81">
              <w:t>. This chapter simplifies their model by assuming constant and uniform elasticities</w:t>
            </w:r>
            <w:r w:rsidR="008E03DB">
              <w:t xml:space="preserve">. </w:t>
            </w:r>
          </w:p>
          <w:p w14:paraId="505BB1E0" w14:textId="45A7D3F1" w:rsidR="00CE24A2" w:rsidRPr="001B36CC" w:rsidRDefault="00CE24A2" w:rsidP="001B36CC">
            <w:pPr>
              <w:pStyle w:val="Box"/>
              <w:rPr>
                <w:b/>
                <w:bCs/>
              </w:rPr>
            </w:pPr>
            <w:r w:rsidRPr="001B36CC">
              <w:rPr>
                <w:b/>
                <w:bCs/>
              </w:rPr>
              <w:t>References</w:t>
            </w:r>
          </w:p>
          <w:p w14:paraId="123A49CD" w14:textId="3D5FD7C0" w:rsidR="004E7652" w:rsidRDefault="004E7652" w:rsidP="00CE24A2">
            <w:pPr>
              <w:pStyle w:val="BoxReferences"/>
            </w:pPr>
            <w:r>
              <w:t xml:space="preserve">P. S. </w:t>
            </w:r>
            <w:proofErr w:type="spellStart"/>
            <w:r w:rsidRPr="004E7652">
              <w:t>Armington</w:t>
            </w:r>
            <w:proofErr w:type="spellEnd"/>
            <w:r>
              <w:t>.</w:t>
            </w:r>
            <w:r w:rsidRPr="004E7652">
              <w:t xml:space="preserve"> 1969. A Theory of Demand for Products Distinguished by Place of Production. </w:t>
            </w:r>
            <w:r w:rsidRPr="00EC0D1E">
              <w:rPr>
                <w:i/>
                <w:iCs/>
              </w:rPr>
              <w:t>Staff Papers (International Monetary Fund</w:t>
            </w:r>
            <w:r w:rsidR="00EC0D1E">
              <w:rPr>
                <w:i/>
                <w:iCs/>
              </w:rPr>
              <w:t>).</w:t>
            </w:r>
            <w:r w:rsidRPr="004E7652">
              <w:t xml:space="preserve"> </w:t>
            </w:r>
            <w:r w:rsidRPr="008B39F1">
              <w:t>16</w:t>
            </w:r>
            <w:r w:rsidRPr="004E7652">
              <w:t>(1)</w:t>
            </w:r>
            <w:r w:rsidR="00EC0D1E">
              <w:t>.</w:t>
            </w:r>
            <w:r w:rsidRPr="004E7652">
              <w:t xml:space="preserve"> </w:t>
            </w:r>
            <w:r w:rsidR="00EC0D1E">
              <w:t xml:space="preserve">pp. </w:t>
            </w:r>
            <w:r w:rsidRPr="004E7652">
              <w:t>159–78.</w:t>
            </w:r>
          </w:p>
          <w:p w14:paraId="3D4A9410" w14:textId="7B79FF0B" w:rsidR="00CE24A2" w:rsidRDefault="00CE24A2" w:rsidP="00CE24A2">
            <w:pPr>
              <w:pStyle w:val="BoxReferences"/>
            </w:pPr>
            <w:r>
              <w:t xml:space="preserve">T. </w:t>
            </w:r>
            <w:proofErr w:type="spellStart"/>
            <w:r>
              <w:t>Bayoumi</w:t>
            </w:r>
            <w:proofErr w:type="spellEnd"/>
            <w:r>
              <w:t xml:space="preserve">, J. Lee, and S. Jayanthi. 2005. New Rates from New Weights. </w:t>
            </w:r>
            <w:r w:rsidRPr="00F44718">
              <w:rPr>
                <w:i/>
                <w:iCs/>
              </w:rPr>
              <w:t>IMF Working Paper WP/05/99</w:t>
            </w:r>
            <w:r>
              <w:t xml:space="preserve">. Washington, DC: International Monetary Fund. </w:t>
            </w:r>
          </w:p>
          <w:p w14:paraId="711F1170" w14:textId="77777777" w:rsidR="00CE24A2" w:rsidRDefault="00CE24A2" w:rsidP="00CE24A2">
            <w:pPr>
              <w:pStyle w:val="BoxReferences"/>
            </w:pPr>
            <w:r>
              <w:t xml:space="preserve">R. </w:t>
            </w:r>
            <w:proofErr w:type="spellStart"/>
            <w:r>
              <w:t>Bems</w:t>
            </w:r>
            <w:proofErr w:type="spellEnd"/>
            <w:r>
              <w:t xml:space="preserve"> and R. C. Johnson. 2017. Demand for Value Added and Value-Added Exchange Rates. </w:t>
            </w:r>
            <w:r w:rsidRPr="000A55B9">
              <w:rPr>
                <w:i/>
                <w:iCs/>
              </w:rPr>
              <w:t>American Economic Journal: Macroeconomics</w:t>
            </w:r>
            <w:r w:rsidRPr="000A55B9">
              <w:t>.</w:t>
            </w:r>
            <w:r>
              <w:t xml:space="preserve"> </w:t>
            </w:r>
            <w:r w:rsidRPr="008B39F1">
              <w:t>9</w:t>
            </w:r>
            <w:r>
              <w:t>(4). pp. 45–90.</w:t>
            </w:r>
          </w:p>
          <w:p w14:paraId="4FECD78B" w14:textId="77777777" w:rsidR="00CE24A2" w:rsidRDefault="00CE24A2" w:rsidP="00CE24A2">
            <w:pPr>
              <w:pStyle w:val="BoxReferences"/>
            </w:pPr>
            <w:r>
              <w:t xml:space="preserve">M. D. Chinn. 2006. A Primer on Real Effective Exchange Rates: Determinants, Overvaluation, Trade Flows and Competitive Devaluation. </w:t>
            </w:r>
            <w:r w:rsidRPr="0098640E">
              <w:rPr>
                <w:i/>
                <w:iCs/>
              </w:rPr>
              <w:t>Open Economies Review</w:t>
            </w:r>
            <w:r>
              <w:t xml:space="preserve">. </w:t>
            </w:r>
            <w:r w:rsidRPr="008B39F1">
              <w:t>51</w:t>
            </w:r>
            <w:r>
              <w:t>. pp. 115–43.</w:t>
            </w:r>
          </w:p>
          <w:p w14:paraId="4C15D207" w14:textId="664C4CD3" w:rsidR="00CE24A2" w:rsidRDefault="00CE24A2" w:rsidP="00CE24A2">
            <w:pPr>
              <w:pStyle w:val="BoxReferences"/>
            </w:pPr>
            <w:r>
              <w:t xml:space="preserve">O. </w:t>
            </w:r>
            <w:proofErr w:type="spellStart"/>
            <w:r>
              <w:t>Itskhoki</w:t>
            </w:r>
            <w:proofErr w:type="spellEnd"/>
            <w:r>
              <w:t xml:space="preserve">. 2020. The Story of the Real Exchange Rate. </w:t>
            </w:r>
            <w:r w:rsidRPr="008C74BB">
              <w:rPr>
                <w:i/>
                <w:iCs/>
              </w:rPr>
              <w:t>NBER Working Paper</w:t>
            </w:r>
            <w:r w:rsidR="008146DE" w:rsidRPr="008146DE">
              <w:t>.</w:t>
            </w:r>
            <w:r w:rsidRPr="008146DE">
              <w:t xml:space="preserve"> No. 28225</w:t>
            </w:r>
            <w:r>
              <w:t>. Cambridge, MA: National Bureau of Economic Research.</w:t>
            </w:r>
          </w:p>
          <w:p w14:paraId="034A785E" w14:textId="12FB3C8E" w:rsidR="00CE24A2" w:rsidRDefault="00CE24A2" w:rsidP="00400499">
            <w:pPr>
              <w:pStyle w:val="BoxReferences"/>
            </w:pPr>
            <w:r>
              <w:t xml:space="preserve">S. Patel, Z. Wang, and S. Wei. 2019. Global Value Chains and Effective Exchange Rates at the Country-Sector Level. </w:t>
            </w:r>
            <w:r w:rsidRPr="00A113DF">
              <w:rPr>
                <w:i/>
                <w:iCs/>
              </w:rPr>
              <w:t>Journal of Money, Credit, and Banking</w:t>
            </w:r>
            <w:r>
              <w:t xml:space="preserve">. </w:t>
            </w:r>
            <w:r w:rsidRPr="008B39F1">
              <w:t>51</w:t>
            </w:r>
            <w:r>
              <w:t>(1). pp. 7–42.</w:t>
            </w:r>
          </w:p>
        </w:tc>
      </w:tr>
    </w:tbl>
    <w:p w14:paraId="50680CA8" w14:textId="77777777" w:rsidR="00AA04EC" w:rsidRDefault="00AA04EC" w:rsidP="004E6784"/>
    <w:p w14:paraId="094A53F3" w14:textId="38A1FAEF" w:rsidR="00954582" w:rsidRDefault="00E13FDE" w:rsidP="004E6784">
      <w:r>
        <w:t xml:space="preserve">The two panels of </w:t>
      </w:r>
      <w:fldSimple w:instr=" REF _Ref79076660 ">
        <w:r w:rsidR="00F03ADA">
          <w:t xml:space="preserve">Figure </w:t>
        </w:r>
        <w:r w:rsidR="00F03ADA">
          <w:rPr>
            <w:noProof/>
          </w:rPr>
          <w:t>4</w:t>
        </w:r>
        <w:r w:rsidR="00F03ADA">
          <w:t>.</w:t>
        </w:r>
        <w:r w:rsidR="00F03ADA">
          <w:rPr>
            <w:noProof/>
          </w:rPr>
          <w:t>3</w:t>
        </w:r>
      </w:fldSimple>
      <w:r w:rsidR="00F4746D">
        <w:t xml:space="preserve"> </w:t>
      </w:r>
      <w:r w:rsidR="002C0CA8">
        <w:t xml:space="preserve">show the </w:t>
      </w:r>
      <w:r w:rsidR="00CF607D">
        <w:t xml:space="preserve">countries </w:t>
      </w:r>
      <w:r w:rsidR="005169CB">
        <w:t>whose prices</w:t>
      </w:r>
      <w:r w:rsidR="002C0CA8">
        <w:t xml:space="preserve"> have the largest weight</w:t>
      </w:r>
      <w:r w:rsidR="004B3E39">
        <w:t>s</w:t>
      </w:r>
      <w:r w:rsidR="002C0CA8">
        <w:t xml:space="preserve"> in </w:t>
      </w:r>
      <w:r w:rsidR="00954582">
        <w:t>Kazakhstan's mining and metals</w:t>
      </w:r>
      <w:r w:rsidR="002C0CA8">
        <w:t xml:space="preserve"> </w:t>
      </w:r>
      <w:r w:rsidR="00954582">
        <w:t xml:space="preserve">manufacturing </w:t>
      </w:r>
      <w:r w:rsidR="004B3E39">
        <w:t>REERs</w:t>
      </w:r>
      <w:r w:rsidR="002C0CA8">
        <w:t xml:space="preserve">. </w:t>
      </w:r>
      <w:r w:rsidR="004B3E39">
        <w:t>These</w:t>
      </w:r>
      <w:r w:rsidR="00002AAD">
        <w:t xml:space="preserve"> weights </w:t>
      </w:r>
      <w:r w:rsidR="00A70E4B">
        <w:t xml:space="preserve">reflect the market leaders in the markets </w:t>
      </w:r>
      <w:r w:rsidR="00954582">
        <w:t xml:space="preserve">Kazakhstan </w:t>
      </w:r>
      <w:r w:rsidR="00A70E4B">
        <w:t xml:space="preserve">competes in. </w:t>
      </w:r>
      <w:r w:rsidR="005F1095">
        <w:t xml:space="preserve">For </w:t>
      </w:r>
      <w:r w:rsidR="00954582">
        <w:t xml:space="preserve">mining </w:t>
      </w:r>
      <w:r w:rsidR="00FE17D6">
        <w:t>in panel (a)</w:t>
      </w:r>
      <w:r w:rsidR="005F1095">
        <w:t xml:space="preserve">, the </w:t>
      </w:r>
      <w:r w:rsidR="00954582">
        <w:t xml:space="preserve">People's Republic of China has steadily gained to become the country with the single largest weight, beating Italy and the United States. </w:t>
      </w:r>
      <w:r w:rsidR="00C24948">
        <w:t xml:space="preserve">The PRC itself has a major mining sector, and since Kazakhstan exports much of its oil to the PRC, it is no surprise that PRC prices play a large role in the competitiveness of Kazakh mining. Nevertheless, this result should be interpreted with caution. The mining sector aggregates several distinct products, from oil to </w:t>
      </w:r>
      <w:r w:rsidR="00107BD0">
        <w:t xml:space="preserve">ores and rocks. The PRC remains the world's biggest importer of oil, so it is unlikely that it is competing with Kazakhstan in the specific product. More relevant, then, is the United States, which is a major seller of oil in the world. </w:t>
      </w:r>
    </w:p>
    <w:p w14:paraId="3F4251CD" w14:textId="4899648C" w:rsidR="004E6784" w:rsidRDefault="004E6784" w:rsidP="004E6784">
      <w:pPr>
        <w:pStyle w:val="Caption"/>
      </w:pPr>
      <w:bookmarkStart w:id="57" w:name="_Ref79076660"/>
      <w:bookmarkStart w:id="58" w:name="_Toc141689894"/>
      <w:r>
        <w:t xml:space="preserve">Figure </w:t>
      </w:r>
      <w:fldSimple w:instr=" STYLEREF 1 \s ">
        <w:r w:rsidR="00F03ADA">
          <w:rPr>
            <w:noProof/>
          </w:rPr>
          <w:t>4</w:t>
        </w:r>
      </w:fldSimple>
      <w:r w:rsidR="003F26C2">
        <w:t>.</w:t>
      </w:r>
      <w:fldSimple w:instr=" SEQ Figure \* ARABIC \s 1 ">
        <w:r w:rsidR="00F03ADA">
          <w:rPr>
            <w:noProof/>
          </w:rPr>
          <w:t>3</w:t>
        </w:r>
      </w:fldSimple>
      <w:bookmarkEnd w:id="57"/>
      <w:r>
        <w:t xml:space="preserve">: Real Effective Exchange Rate Weights, </w:t>
      </w:r>
      <w:r w:rsidR="00FA26A0">
        <w:t>Selected Sectors</w:t>
      </w:r>
      <w:r w:rsidR="003D07AB">
        <w:t>,</w:t>
      </w:r>
      <w:r w:rsidR="00FA26A0">
        <w:t xml:space="preserve"> </w:t>
      </w:r>
      <w:r w:rsidR="006D36A9">
        <w:t>Kazakhstan</w:t>
      </w:r>
      <w:r>
        <w:t xml:space="preserve">, </w:t>
      </w:r>
      <w:r w:rsidR="006D36A9">
        <w:t>2007</w:t>
      </w:r>
      <w:r>
        <w:t>–202</w:t>
      </w:r>
      <w:r w:rsidR="006D36A9">
        <w:t>2</w:t>
      </w:r>
      <w:bookmarkEnd w:id="58"/>
    </w:p>
    <w:p w14:paraId="6E48E994" w14:textId="0ABEC9D4" w:rsidR="004E6784" w:rsidRPr="000B71B5" w:rsidRDefault="006D36A9" w:rsidP="004E6784">
      <w:pPr>
        <w:pStyle w:val="Caption"/>
      </w:pPr>
      <w:r>
        <w:rPr>
          <w:noProof/>
        </w:rPr>
        <w:lastRenderedPageBreak/>
        <w:drawing>
          <wp:anchor distT="0" distB="0" distL="114300" distR="114300" simplePos="0" relativeHeight="251757568" behindDoc="0" locked="0" layoutInCell="1" allowOverlap="1" wp14:anchorId="0F5EBA8A" wp14:editId="5487851C">
            <wp:simplePos x="0" y="0"/>
            <wp:positionH relativeFrom="column">
              <wp:posOffset>0</wp:posOffset>
            </wp:positionH>
            <wp:positionV relativeFrom="paragraph">
              <wp:posOffset>205105</wp:posOffset>
            </wp:positionV>
            <wp:extent cx="5731510" cy="3226435"/>
            <wp:effectExtent l="0" t="0" r="0" b="0"/>
            <wp:wrapSquare wrapText="bothSides"/>
            <wp:docPr id="1818742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42118" name="Picture 1818742118"/>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14:sizeRelH relativeFrom="page">
              <wp14:pctWidth>0</wp14:pctWidth>
            </wp14:sizeRelH>
            <wp14:sizeRelV relativeFrom="page">
              <wp14:pctHeight>0</wp14:pctHeight>
            </wp14:sizeRelV>
          </wp:anchor>
        </w:drawing>
      </w:r>
      <w:r w:rsidR="00A8778D">
        <w:t xml:space="preserve"> </w:t>
      </w:r>
      <w:r w:rsidR="004E6784">
        <w:t xml:space="preserve">(a) </w:t>
      </w:r>
      <w:r>
        <w:t>Mining</w:t>
      </w:r>
    </w:p>
    <w:p w14:paraId="7E35D73C" w14:textId="7E3C0766" w:rsidR="004E6784" w:rsidRPr="000B71B5" w:rsidRDefault="006D36A9" w:rsidP="004E6784">
      <w:pPr>
        <w:pStyle w:val="Caption"/>
      </w:pPr>
      <w:r>
        <w:rPr>
          <w:noProof/>
        </w:rPr>
        <w:drawing>
          <wp:anchor distT="0" distB="0" distL="114300" distR="114300" simplePos="0" relativeHeight="251758592" behindDoc="0" locked="0" layoutInCell="1" allowOverlap="1" wp14:anchorId="325BDA8B" wp14:editId="700CC917">
            <wp:simplePos x="0" y="0"/>
            <wp:positionH relativeFrom="column">
              <wp:posOffset>0</wp:posOffset>
            </wp:positionH>
            <wp:positionV relativeFrom="paragraph">
              <wp:posOffset>3251933</wp:posOffset>
            </wp:positionV>
            <wp:extent cx="5731510" cy="3226435"/>
            <wp:effectExtent l="0" t="0" r="0" b="0"/>
            <wp:wrapSquare wrapText="bothSides"/>
            <wp:docPr id="10808577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57737" name="Picture 1080857737"/>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14:sizeRelH relativeFrom="page">
              <wp14:pctWidth>0</wp14:pctWidth>
            </wp14:sizeRelH>
            <wp14:sizeRelV relativeFrom="page">
              <wp14:pctHeight>0</wp14:pctHeight>
            </wp14:sizeRelV>
          </wp:anchor>
        </w:drawing>
      </w:r>
      <w:r w:rsidR="004E6784">
        <w:t xml:space="preserve">(b) </w:t>
      </w:r>
      <w:r>
        <w:t>Metals</w:t>
      </w:r>
    </w:p>
    <w:p w14:paraId="778DDD6F" w14:textId="2E4FF793" w:rsidR="004E6784" w:rsidRDefault="004E6784" w:rsidP="004E6784">
      <w:pPr>
        <w:pStyle w:val="Notes"/>
      </w:pPr>
      <w:r>
        <w:t xml:space="preserve">Notes: </w:t>
      </w:r>
      <w:r w:rsidR="0092104A">
        <w:tab/>
      </w:r>
      <w:r>
        <w:t xml:space="preserve">Weights reflect the importance of each </w:t>
      </w:r>
      <w:r w:rsidR="00651C3E">
        <w:t xml:space="preserve">country’s </w:t>
      </w:r>
      <w:r>
        <w:t xml:space="preserve">prices to </w:t>
      </w:r>
      <w:r w:rsidR="00357844">
        <w:t>Kazakhstan's</w:t>
      </w:r>
      <w:r>
        <w:t xml:space="preserve"> sector-level real effective exchange rate index</w:t>
      </w:r>
      <w:r w:rsidR="004446F6">
        <w:t xml:space="preserve">, </w:t>
      </w:r>
      <w:r>
        <w:t xml:space="preserve">computed according to Patel, Wang, and Wei (2019). </w:t>
      </w:r>
    </w:p>
    <w:p w14:paraId="55409109" w14:textId="4015B800" w:rsidR="004E6784" w:rsidRDefault="00845F73" w:rsidP="00845F73">
      <w:pPr>
        <w:pStyle w:val="NotesBottom"/>
      </w:pPr>
      <w:r>
        <w:t xml:space="preserve">Sources: </w:t>
      </w:r>
      <w:r>
        <w:tab/>
        <w:t xml:space="preserve">S. Patel, Z. Wang, and S. Wei. 2019. Global Value Chains and Effective Exchange Rates at the Country-Sector Level. </w:t>
      </w:r>
      <w:r w:rsidRPr="00A113DF">
        <w:rPr>
          <w:i/>
          <w:iCs/>
        </w:rPr>
        <w:t>Journal of Money, Credit, and Banking</w:t>
      </w:r>
      <w:r>
        <w:t xml:space="preserve">. </w:t>
      </w:r>
      <w:r w:rsidRPr="00A113DF">
        <w:rPr>
          <w:i/>
          <w:iCs/>
        </w:rPr>
        <w:t>51</w:t>
      </w:r>
      <w:r>
        <w:t>(1). pp. 7–42; Asian Development Bank. Multiregional Input–Output Database</w:t>
      </w:r>
      <w:r w:rsidR="00745961">
        <w:t xml:space="preserve"> (July 2023</w:t>
      </w:r>
      <w:r>
        <w:t>);</w:t>
      </w:r>
      <w:r w:rsidRPr="008F0425">
        <w:t xml:space="preserve"> </w:t>
      </w:r>
      <w:r>
        <w:t>Asian Development Bank estimates.</w:t>
      </w:r>
    </w:p>
    <w:p w14:paraId="55287CBB" w14:textId="6C04423A" w:rsidR="004E6784" w:rsidRDefault="00107BD0" w:rsidP="004E6784">
      <w:r>
        <w:t xml:space="preserve">The PRC remains the largest weight for the REERs of Kazakhstan's metals manufacturing sector. </w:t>
      </w:r>
      <w:r w:rsidR="008F7FB4">
        <w:t xml:space="preserve">This stems from the fact that the PRC is both a major market for Kazakhstan's metals and itself a major producer of metals. </w:t>
      </w:r>
      <w:r w:rsidR="00635801">
        <w:t xml:space="preserve">The PRC's large weight suggests that Kazakhstan may stand to gain from any kind of restrictions placed on the PRC's export of metals, as has been the case since a trade conflict erupted between the United States and the PRC in 2018. As a </w:t>
      </w:r>
      <w:r w:rsidR="00635801">
        <w:lastRenderedPageBreak/>
        <w:t>recent example, the PRC announced curbs to its export of gallium and germanium—both key metals in the manufacture of semiconductors—beginning August 2023 (Tan 2023).</w:t>
      </w:r>
    </w:p>
    <w:p w14:paraId="2F8DCC22" w14:textId="4DAB0C98" w:rsidR="007164F9" w:rsidRDefault="002B0828" w:rsidP="004E6784">
      <w:r>
        <w:t xml:space="preserve">Using these weights to take an average of </w:t>
      </w:r>
      <w:r w:rsidR="003A615B">
        <w:t>Kazakhstan's</w:t>
      </w:r>
      <w:r>
        <w:t xml:space="preserve"> bilateral exchange rates yields the REER index. </w:t>
      </w:r>
      <w:fldSimple w:instr=" REF _Ref79087680 ">
        <w:r w:rsidR="00F03ADA">
          <w:t xml:space="preserve">Figure </w:t>
        </w:r>
        <w:r w:rsidR="00F03ADA">
          <w:rPr>
            <w:noProof/>
          </w:rPr>
          <w:t>4</w:t>
        </w:r>
        <w:r w:rsidR="00F03ADA">
          <w:t>.</w:t>
        </w:r>
        <w:r w:rsidR="00F03ADA">
          <w:rPr>
            <w:noProof/>
          </w:rPr>
          <w:t>4</w:t>
        </w:r>
      </w:fldSimple>
      <w:r>
        <w:t xml:space="preserve"> plots percent-change</w:t>
      </w:r>
      <w:r w:rsidR="00F563B9">
        <w:t>s</w:t>
      </w:r>
      <w:r>
        <w:t xml:space="preserve"> </w:t>
      </w:r>
      <w:r w:rsidR="00F563B9">
        <w:t>in</w:t>
      </w:r>
      <w:r>
        <w:t xml:space="preserve"> REERs for </w:t>
      </w:r>
      <w:r w:rsidR="003A615B">
        <w:t xml:space="preserve">mining </w:t>
      </w:r>
      <w:r>
        <w:t xml:space="preserve">and </w:t>
      </w:r>
      <w:r w:rsidR="003A615B">
        <w:t xml:space="preserve">metals </w:t>
      </w:r>
      <w:r>
        <w:t xml:space="preserve">as well as </w:t>
      </w:r>
      <w:r w:rsidR="00A633B4">
        <w:t xml:space="preserve">for the aggregate </w:t>
      </w:r>
      <w:r w:rsidR="00283F1A">
        <w:t>country</w:t>
      </w:r>
      <w:r w:rsidR="00A633B4">
        <w:t xml:space="preserve">. </w:t>
      </w:r>
      <w:r w:rsidR="003A615B">
        <w:t>T</w:t>
      </w:r>
      <w:r w:rsidR="00D5114D">
        <w:t xml:space="preserve">he figure also plots these REERs for </w:t>
      </w:r>
      <w:r w:rsidR="003A615B">
        <w:t>the Russian Federation given their shared history and deep economic interlinkages</w:t>
      </w:r>
      <w:r w:rsidR="00A5105B">
        <w:t>.</w:t>
      </w:r>
      <w:r w:rsidR="00007ED2">
        <w:t xml:space="preserve"> </w:t>
      </w:r>
      <w:r w:rsidR="000D5438">
        <w:t>The figure ends in 20</w:t>
      </w:r>
      <w:r w:rsidR="003A615B">
        <w:t>21</w:t>
      </w:r>
      <w:r w:rsidR="000D5438">
        <w:t xml:space="preserve"> as sector-level price data for 202</w:t>
      </w:r>
      <w:r w:rsidR="003A615B">
        <w:t>2</w:t>
      </w:r>
      <w:r w:rsidR="000D5438">
        <w:t xml:space="preserve"> are not yet available. </w:t>
      </w:r>
    </w:p>
    <w:p w14:paraId="4EE8B74C" w14:textId="4796B057" w:rsidR="004E6784" w:rsidRDefault="00810548" w:rsidP="004E6784">
      <w:pPr>
        <w:pStyle w:val="Caption"/>
      </w:pPr>
      <w:bookmarkStart w:id="59" w:name="_Ref79087680"/>
      <w:bookmarkStart w:id="60" w:name="_Toc141689895"/>
      <w:r>
        <w:rPr>
          <w:noProof/>
        </w:rPr>
        <w:drawing>
          <wp:anchor distT="0" distB="0" distL="114300" distR="114300" simplePos="0" relativeHeight="251761664" behindDoc="0" locked="0" layoutInCell="1" allowOverlap="1" wp14:anchorId="19FAF34F" wp14:editId="4AE30332">
            <wp:simplePos x="0" y="0"/>
            <wp:positionH relativeFrom="column">
              <wp:posOffset>0</wp:posOffset>
            </wp:positionH>
            <wp:positionV relativeFrom="paragraph">
              <wp:posOffset>402688</wp:posOffset>
            </wp:positionV>
            <wp:extent cx="5731510" cy="2682240"/>
            <wp:effectExtent l="0" t="0" r="0" b="0"/>
            <wp:wrapSquare wrapText="bothSides"/>
            <wp:docPr id="1703554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54222" name="Picture 1703554222"/>
                    <pic:cNvPicPr/>
                  </pic:nvPicPr>
                  <pic:blipFill>
                    <a:blip r:embed="rId29">
                      <a:extLst>
                        <a:ext uri="{28A0092B-C50C-407E-A947-70E740481C1C}">
                          <a14:useLocalDpi xmlns:a14="http://schemas.microsoft.com/office/drawing/2010/main" val="0"/>
                        </a:ext>
                      </a:extLst>
                    </a:blip>
                    <a:stretch>
                      <a:fillRect/>
                    </a:stretch>
                  </pic:blipFill>
                  <pic:spPr>
                    <a:xfrm>
                      <a:off x="0" y="0"/>
                      <a:ext cx="5731510" cy="2682240"/>
                    </a:xfrm>
                    <a:prstGeom prst="rect">
                      <a:avLst/>
                    </a:prstGeom>
                  </pic:spPr>
                </pic:pic>
              </a:graphicData>
            </a:graphic>
            <wp14:sizeRelH relativeFrom="page">
              <wp14:pctWidth>0</wp14:pctWidth>
            </wp14:sizeRelH>
            <wp14:sizeRelV relativeFrom="page">
              <wp14:pctHeight>0</wp14:pctHeight>
            </wp14:sizeRelV>
          </wp:anchor>
        </w:drawing>
      </w:r>
      <w:r w:rsidR="004E6784">
        <w:t xml:space="preserve">Figure </w:t>
      </w:r>
      <w:fldSimple w:instr=" STYLEREF 1 \s ">
        <w:r w:rsidR="00F03ADA">
          <w:rPr>
            <w:noProof/>
          </w:rPr>
          <w:t>4</w:t>
        </w:r>
      </w:fldSimple>
      <w:r w:rsidR="003F26C2">
        <w:t>.</w:t>
      </w:r>
      <w:fldSimple w:instr=" SEQ Figure \* ARABIC \s 1 ">
        <w:r w:rsidR="00F03ADA">
          <w:rPr>
            <w:noProof/>
          </w:rPr>
          <w:t>4</w:t>
        </w:r>
      </w:fldSimple>
      <w:bookmarkEnd w:id="59"/>
      <w:r w:rsidR="004E6784">
        <w:t xml:space="preserve">: Change in Real Effective Exchange Rate Index, </w:t>
      </w:r>
      <w:r w:rsidR="00482914">
        <w:t>Kazakhstan and Russian Federation</w:t>
      </w:r>
      <w:r w:rsidR="004E6784">
        <w:t>, Selected Sectors, 200</w:t>
      </w:r>
      <w:r w:rsidR="00482914">
        <w:t>7</w:t>
      </w:r>
      <w:r w:rsidR="004E6784">
        <w:t>–20</w:t>
      </w:r>
      <w:r w:rsidR="00482914">
        <w:t>21</w:t>
      </w:r>
      <w:bookmarkEnd w:id="60"/>
    </w:p>
    <w:p w14:paraId="50CCCEDA" w14:textId="05AD8128" w:rsidR="004E6784" w:rsidRDefault="004E6784" w:rsidP="004E6784">
      <w:pPr>
        <w:pStyle w:val="Notes"/>
      </w:pPr>
      <w:r>
        <w:t xml:space="preserve">Note: </w:t>
      </w:r>
      <w:r w:rsidR="0092104A">
        <w:tab/>
      </w:r>
      <w:r w:rsidR="001B03C6">
        <w:t xml:space="preserve">Real effective exchange rate </w:t>
      </w:r>
      <w:r>
        <w:t xml:space="preserve">indices are computed according to Patel, Wang, and Wei (2019). </w:t>
      </w:r>
      <w:r w:rsidR="00322802">
        <w:t xml:space="preserve">Inflation for 2007 is annual average </w:t>
      </w:r>
      <w:r w:rsidR="008668C6">
        <w:t>over</w:t>
      </w:r>
      <w:r w:rsidR="00322802">
        <w:t xml:space="preserve"> 2000–2007. </w:t>
      </w:r>
    </w:p>
    <w:p w14:paraId="11AB99E9" w14:textId="2A368043" w:rsidR="009F5ABA" w:rsidRDefault="009F5ABA" w:rsidP="009F5ABA">
      <w:pPr>
        <w:pStyle w:val="NotesBottom"/>
      </w:pPr>
      <w:r>
        <w:t xml:space="preserve">Sources: </w:t>
      </w:r>
      <w:r>
        <w:tab/>
        <w:t xml:space="preserve">S. Patel, Z. Wang, and S. Wei. 2019. Global Value Chains and Effective Exchange Rates at the Country-Sector Level. </w:t>
      </w:r>
      <w:r w:rsidRPr="00A113DF">
        <w:rPr>
          <w:i/>
          <w:iCs/>
        </w:rPr>
        <w:t>Journal of Money, Credit, and Banking</w:t>
      </w:r>
      <w:r>
        <w:t xml:space="preserve">. </w:t>
      </w:r>
      <w:r w:rsidRPr="00A113DF">
        <w:rPr>
          <w:i/>
          <w:iCs/>
        </w:rPr>
        <w:t>51</w:t>
      </w:r>
      <w:r>
        <w:t xml:space="preserve">(1). pp. 7–42; Asian Development Bank. Multiregional Input–Output Database </w:t>
      </w:r>
      <w:r w:rsidR="00C21051">
        <w:t>(July 2023</w:t>
      </w:r>
      <w:r>
        <w:t>);</w:t>
      </w:r>
      <w:r w:rsidRPr="008F0425">
        <w:t xml:space="preserve"> </w:t>
      </w:r>
      <w:r>
        <w:t>Asian Development Bank estimates.</w:t>
      </w:r>
    </w:p>
    <w:p w14:paraId="13C8F37A" w14:textId="7C35BB29" w:rsidR="004E6784" w:rsidRDefault="00617229" w:rsidP="00FA17BB">
      <w:r>
        <w:t xml:space="preserve">Owing to the dominance of </w:t>
      </w:r>
      <w:r w:rsidR="00810548">
        <w:t>mining and metals</w:t>
      </w:r>
      <w:r w:rsidR="007D6E50">
        <w:t xml:space="preserve"> to </w:t>
      </w:r>
      <w:r w:rsidR="00810548">
        <w:t xml:space="preserve">Kazakhstan's </w:t>
      </w:r>
      <w:r w:rsidR="007D6E50">
        <w:t xml:space="preserve">exports, it is no surprise that </w:t>
      </w:r>
      <w:r w:rsidR="00FD5C62">
        <w:t>its</w:t>
      </w:r>
      <w:r w:rsidR="007D6E50">
        <w:t xml:space="preserve"> aggregate REER tracks these two closely. However,</w:t>
      </w:r>
      <w:r w:rsidR="00810548">
        <w:t xml:space="preserve"> there are years when</w:t>
      </w:r>
      <w:r w:rsidR="007D6E50">
        <w:t xml:space="preserve"> the two sectors </w:t>
      </w:r>
      <w:r w:rsidR="00810548">
        <w:t xml:space="preserve">diverge from the aggregate, as in </w:t>
      </w:r>
      <w:r w:rsidR="00FA17BB">
        <w:t xml:space="preserve">2007–2008, 2015–2016, and 2020–2021. Comparing this figure to </w:t>
      </w:r>
      <w:r w:rsidR="00FA17BB">
        <w:fldChar w:fldCharType="begin"/>
      </w:r>
      <w:r w:rsidR="00FA17BB">
        <w:instrText xml:space="preserve"> REF _Ref140049265 \h </w:instrText>
      </w:r>
      <w:r w:rsidR="00FA17BB">
        <w:fldChar w:fldCharType="separate"/>
      </w:r>
      <w:r w:rsidR="00F03ADA">
        <w:t xml:space="preserve">Figure </w:t>
      </w:r>
      <w:r w:rsidR="00F03ADA">
        <w:rPr>
          <w:noProof/>
        </w:rPr>
        <w:t>2</w:t>
      </w:r>
      <w:r w:rsidR="00F03ADA">
        <w:t>.</w:t>
      </w:r>
      <w:r w:rsidR="00F03ADA">
        <w:rPr>
          <w:noProof/>
        </w:rPr>
        <w:t>1</w:t>
      </w:r>
      <w:r w:rsidR="00FA17BB">
        <w:fldChar w:fldCharType="end"/>
      </w:r>
      <w:r w:rsidR="00FA17BB">
        <w:t xml:space="preserve"> reveals how global oil prices serve as the primary driver of Kazakhstan's REERs. Indeed, the mining REER tends to be more volatile than the aggregate REER, demonstrating how diversification away from its extractive resource sector can help stabilize Kazakhstan's export competitiveness. </w:t>
      </w:r>
      <w:r w:rsidR="00F524DE">
        <w:t>Overall</w:t>
      </w:r>
      <w:r w:rsidR="00FA17BB">
        <w:t xml:space="preserve"> however, </w:t>
      </w:r>
      <w:r w:rsidR="00F524DE">
        <w:t xml:space="preserve">Kazakhstan remains less volatile </w:t>
      </w:r>
      <w:r w:rsidR="00FA17BB">
        <w:t xml:space="preserve">than the Russian Federation, whose aggregate REER has taken wild swings over the </w:t>
      </w:r>
      <w:r w:rsidR="006B2150">
        <w:t>period covered</w:t>
      </w:r>
      <w:r w:rsidR="00FA17BB">
        <w:t xml:space="preserve">. </w:t>
      </w:r>
    </w:p>
    <w:p w14:paraId="7FCB07A7" w14:textId="7CD68F06" w:rsidR="00C6329B" w:rsidRDefault="006B2150" w:rsidP="004E6784">
      <w:r>
        <w:t xml:space="preserve">While a declining REER indicates that the country's exports are becoming cheaper and therefore more competitive, it should not necessarily be the goal. </w:t>
      </w:r>
      <w:r w:rsidR="00963ECF">
        <w:t>Indeed, the steep devaluations of the tenge in 2009, 2014, and 2015 resulted in hardship in an economy heavily dependent on imported consumer goods (</w:t>
      </w:r>
      <w:proofErr w:type="spellStart"/>
      <w:r w:rsidR="00963ECF">
        <w:t>Kumenov</w:t>
      </w:r>
      <w:proofErr w:type="spellEnd"/>
      <w:r w:rsidR="00963ECF">
        <w:t xml:space="preserve"> 2018). R</w:t>
      </w:r>
      <w:r w:rsidR="008E7D72">
        <w:t xml:space="preserve">esearch suggests that </w:t>
      </w:r>
      <w:r w:rsidR="008E7D72">
        <w:lastRenderedPageBreak/>
        <w:t xml:space="preserve">maintaining a stable exchange rate </w:t>
      </w:r>
      <w:r w:rsidR="00963ECF">
        <w:t xml:space="preserve">rather than competitive devaluations </w:t>
      </w:r>
      <w:r w:rsidR="008E7D72">
        <w:t xml:space="preserve">is </w:t>
      </w:r>
      <w:r w:rsidR="00BC4887">
        <w:t xml:space="preserve">most </w:t>
      </w:r>
      <w:r w:rsidR="008E7D72">
        <w:t>conducive to trade (</w:t>
      </w:r>
      <w:proofErr w:type="spellStart"/>
      <w:r w:rsidR="008E7D72">
        <w:t>Eichengreen</w:t>
      </w:r>
      <w:proofErr w:type="spellEnd"/>
      <w:r w:rsidR="008E7D72">
        <w:t xml:space="preserve"> 2008; Rodrik 2008)</w:t>
      </w:r>
      <w:r w:rsidR="00BC4887">
        <w:t xml:space="preserve">. </w:t>
      </w:r>
      <w:r w:rsidR="00C9300A">
        <w:t xml:space="preserve">In the aggregate, the standard deviation in </w:t>
      </w:r>
      <w:r w:rsidR="007332CB">
        <w:t>Kazakhstan's</w:t>
      </w:r>
      <w:r w:rsidR="00C9300A">
        <w:t xml:space="preserve"> REER change was </w:t>
      </w:r>
      <w:r w:rsidR="007332CB">
        <w:t>9.9</w:t>
      </w:r>
      <w:r w:rsidR="00C9300A">
        <w:t xml:space="preserve"> points</w:t>
      </w:r>
      <w:r w:rsidR="007332CB">
        <w:t>, much lower than the Russian Federation's 13.0</w:t>
      </w:r>
      <w:r w:rsidR="00C9300A">
        <w:t xml:space="preserve"> points</w:t>
      </w:r>
      <w:r w:rsidR="00EC2A5A">
        <w:t xml:space="preserve">. </w:t>
      </w:r>
    </w:p>
    <w:p w14:paraId="1F315A7A" w14:textId="5A085A7C" w:rsidR="004E6784" w:rsidRDefault="00485257" w:rsidP="004E6784">
      <w:r>
        <w:t xml:space="preserve">To place these numbers into context, </w:t>
      </w:r>
      <w:fldSimple w:instr=" REF _Ref79129110 ">
        <w:r w:rsidR="00F03ADA">
          <w:t xml:space="preserve">Figure </w:t>
        </w:r>
        <w:r w:rsidR="00F03ADA">
          <w:rPr>
            <w:noProof/>
          </w:rPr>
          <w:t>4</w:t>
        </w:r>
        <w:r w:rsidR="00F03ADA">
          <w:t>.</w:t>
        </w:r>
        <w:r w:rsidR="00F03ADA">
          <w:rPr>
            <w:noProof/>
          </w:rPr>
          <w:t>5</w:t>
        </w:r>
      </w:fldSimple>
      <w:r>
        <w:t xml:space="preserve"> plots the mean appreciation and standard deviation in aggregate REERs</w:t>
      </w:r>
      <w:r w:rsidR="00841896">
        <w:t xml:space="preserve"> across the 62 </w:t>
      </w:r>
      <w:r w:rsidR="00E2747A">
        <w:t>countries and economies</w:t>
      </w:r>
      <w:r w:rsidR="00841896">
        <w:t xml:space="preserve"> included in the ADB MRIO Database</w:t>
      </w:r>
      <w:r w:rsidR="00C100FA">
        <w:t>.</w:t>
      </w:r>
      <w:r w:rsidR="006C4A0C">
        <w:t xml:space="preserve"> </w:t>
      </w:r>
      <w:r w:rsidR="005E4D97">
        <w:t xml:space="preserve">Stable currencies mean being as close to 0% </w:t>
      </w:r>
      <w:r w:rsidR="00F66475">
        <w:t xml:space="preserve">mean </w:t>
      </w:r>
      <w:r w:rsidR="005E4D97">
        <w:t xml:space="preserve">appreciation </w:t>
      </w:r>
      <w:r w:rsidR="00F66475">
        <w:t xml:space="preserve">as possible with </w:t>
      </w:r>
      <w:r w:rsidR="005E4D97">
        <w:t>low standard deviation</w:t>
      </w:r>
      <w:r w:rsidR="00426EE8">
        <w:t xml:space="preserve">, a feat achieved most successfully by Singapore. </w:t>
      </w:r>
      <w:r w:rsidR="00AF7FE6">
        <w:t xml:space="preserve">This stems from having a diverse </w:t>
      </w:r>
      <w:r w:rsidR="00D13E7F">
        <w:t xml:space="preserve">basket </w:t>
      </w:r>
      <w:r w:rsidR="00AF7FE6">
        <w:t xml:space="preserve">of exports and export destinations, which in turn diversifies competitors and minimizes the impact of price changes in each one. </w:t>
      </w:r>
      <w:r w:rsidR="0032148D">
        <w:t xml:space="preserve">On the other end are the commodities-oriented </w:t>
      </w:r>
      <w:r w:rsidR="00E2747A">
        <w:t>countries</w:t>
      </w:r>
      <w:r w:rsidR="0032148D">
        <w:t xml:space="preserve"> of </w:t>
      </w:r>
      <w:r w:rsidR="00327F23">
        <w:t xml:space="preserve">the </w:t>
      </w:r>
      <w:r w:rsidR="0032148D">
        <w:t>Russia</w:t>
      </w:r>
      <w:r w:rsidR="00327F23">
        <w:t>n Federation</w:t>
      </w:r>
      <w:r w:rsidR="0032148D">
        <w:t xml:space="preserve"> and Brunei Darussalam, both registering high mean appreciations at high standard deviations.</w:t>
      </w:r>
      <w:r w:rsidR="006E1E15">
        <w:t xml:space="preserve"> This is no surprise given their heavy reliance on oil exports.</w:t>
      </w:r>
      <w:r w:rsidR="0032148D">
        <w:t xml:space="preserve"> </w:t>
      </w:r>
    </w:p>
    <w:p w14:paraId="4368B4EA" w14:textId="544895B7" w:rsidR="004E6784" w:rsidRDefault="00632074" w:rsidP="00EC2A5A">
      <w:pPr>
        <w:pStyle w:val="Caption"/>
      </w:pPr>
      <w:bookmarkStart w:id="61" w:name="_Ref79129110"/>
      <w:bookmarkStart w:id="62" w:name="_Toc141689896"/>
      <w:r>
        <w:rPr>
          <w:noProof/>
        </w:rPr>
        <w:drawing>
          <wp:anchor distT="0" distB="0" distL="114300" distR="114300" simplePos="0" relativeHeight="251754496" behindDoc="0" locked="0" layoutInCell="1" allowOverlap="1" wp14:anchorId="6348D4F8" wp14:editId="79AE5E95">
            <wp:simplePos x="0" y="0"/>
            <wp:positionH relativeFrom="column">
              <wp:posOffset>0</wp:posOffset>
            </wp:positionH>
            <wp:positionV relativeFrom="paragraph">
              <wp:posOffset>194147</wp:posOffset>
            </wp:positionV>
            <wp:extent cx="5731510" cy="3226435"/>
            <wp:effectExtent l="0" t="0" r="0" b="0"/>
            <wp:wrapSquare wrapText="bothSides"/>
            <wp:docPr id="961872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72708" name="Picture 961872708"/>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14:sizeRelH relativeFrom="page">
              <wp14:pctWidth>0</wp14:pctWidth>
            </wp14:sizeRelH>
            <wp14:sizeRelV relativeFrom="page">
              <wp14:pctHeight>0</wp14:pctHeight>
            </wp14:sizeRelV>
          </wp:anchor>
        </w:drawing>
      </w:r>
      <w:r w:rsidR="00EC2A5A">
        <w:t xml:space="preserve">Figure </w:t>
      </w:r>
      <w:fldSimple w:instr=" STYLEREF 1 \s ">
        <w:r w:rsidR="00F03ADA">
          <w:rPr>
            <w:noProof/>
          </w:rPr>
          <w:t>4</w:t>
        </w:r>
      </w:fldSimple>
      <w:r w:rsidR="003F26C2">
        <w:t>.</w:t>
      </w:r>
      <w:fldSimple w:instr=" SEQ Figure \* ARABIC \s 1 ">
        <w:r w:rsidR="00F03ADA">
          <w:rPr>
            <w:noProof/>
          </w:rPr>
          <w:t>5</w:t>
        </w:r>
      </w:fldSimple>
      <w:bookmarkEnd w:id="61"/>
      <w:r w:rsidR="00EC2A5A">
        <w:t>: Real Effective Exchange Rate Mean and Volatility, 200</w:t>
      </w:r>
      <w:r>
        <w:t>7</w:t>
      </w:r>
      <w:r w:rsidR="00EC2A5A">
        <w:t>–</w:t>
      </w:r>
      <w:r>
        <w:t>2021</w:t>
      </w:r>
      <w:bookmarkEnd w:id="62"/>
    </w:p>
    <w:p w14:paraId="0887E7F8" w14:textId="6FFB5A80" w:rsidR="0047518B" w:rsidRDefault="0047518B" w:rsidP="0047518B">
      <w:pPr>
        <w:pStyle w:val="Notes"/>
      </w:pPr>
      <w:r>
        <w:t xml:space="preserve">Notes: </w:t>
      </w:r>
      <w:r>
        <w:tab/>
        <w:t xml:space="preserve">REER indices are computed according to Patel, Wang, and Wei (2019). </w:t>
      </w:r>
    </w:p>
    <w:p w14:paraId="1F06E46A" w14:textId="039B471B" w:rsidR="00493CB8" w:rsidRDefault="00493CB8" w:rsidP="00493CB8">
      <w:pPr>
        <w:pStyle w:val="NotesBottom"/>
      </w:pPr>
      <w:r>
        <w:t xml:space="preserve">Sources: </w:t>
      </w:r>
      <w:r>
        <w:tab/>
        <w:t xml:space="preserve">S. Patel, Z. Wang, and S. Wei. 2019. Global Value Chains and Effective Exchange Rates at the Country-Sector Level. </w:t>
      </w:r>
      <w:r w:rsidRPr="00A113DF">
        <w:rPr>
          <w:i/>
          <w:iCs/>
        </w:rPr>
        <w:t>Journal of Money, Credit, and Banking</w:t>
      </w:r>
      <w:r>
        <w:t xml:space="preserve">. </w:t>
      </w:r>
      <w:r w:rsidRPr="00A113DF">
        <w:rPr>
          <w:i/>
          <w:iCs/>
        </w:rPr>
        <w:t>51</w:t>
      </w:r>
      <w:r>
        <w:t>(1). pp. 7–42; Asian Development Bank. Multiregional Input–Output Database</w:t>
      </w:r>
      <w:r w:rsidR="00385B64">
        <w:t xml:space="preserve"> (July 2023</w:t>
      </w:r>
      <w:r>
        <w:t>);</w:t>
      </w:r>
      <w:r w:rsidRPr="008F0425">
        <w:t xml:space="preserve"> </w:t>
      </w:r>
      <w:r>
        <w:t>Asian Development Bank estimates.</w:t>
      </w:r>
    </w:p>
    <w:p w14:paraId="63F44EA8" w14:textId="7BF3B660" w:rsidR="00D13E7F" w:rsidRDefault="00D13E7F" w:rsidP="0098173A">
      <w:r>
        <w:t xml:space="preserve">Kazakhstan's mean annual appreciation was 1.2%, lower than the Russian Federation's 2.0% but higher than Brunei Darussalam's 0.0%. Kazakhstan does exhibit lower volatility than either of them, though as evident from the figure, it remains far higher than most of the other countries in the sample. </w:t>
      </w:r>
    </w:p>
    <w:p w14:paraId="359D95B9" w14:textId="1047C77F" w:rsidR="00E203ED" w:rsidRDefault="006F3625" w:rsidP="00D8221C">
      <w:r>
        <w:t xml:space="preserve">To conclude, </w:t>
      </w:r>
      <w:r w:rsidR="00265AC3">
        <w:t>the RCA index</w:t>
      </w:r>
      <w:r w:rsidR="00D13E7F">
        <w:t xml:space="preserve"> </w:t>
      </w:r>
      <w:r w:rsidR="00265AC3">
        <w:t xml:space="preserve">show that </w:t>
      </w:r>
      <w:r w:rsidR="00D13E7F">
        <w:t>Kazakhstan</w:t>
      </w:r>
      <w:r w:rsidR="00265AC3">
        <w:t xml:space="preserve"> is specializing</w:t>
      </w:r>
      <w:r w:rsidR="00D13E7F">
        <w:t xml:space="preserve"> heavily</w:t>
      </w:r>
      <w:r w:rsidR="00265AC3">
        <w:t xml:space="preserve"> in </w:t>
      </w:r>
      <w:r w:rsidR="00D13E7F">
        <w:t xml:space="preserve">the mining and metals manufacturing sectors. This remains the case regardless of whether the RCA index is </w:t>
      </w:r>
      <w:r w:rsidR="00D13E7F">
        <w:lastRenderedPageBreak/>
        <w:t xml:space="preserve">adjusted for value added, indicating a relatively low degree of GVC penetration. </w:t>
      </w:r>
      <w:r w:rsidR="00D31C4C">
        <w:t xml:space="preserve">GVC production lengths suggest that Kazakhstan sits at a relatively neutral position in these value chains, neither upstream nor downstream. </w:t>
      </w:r>
      <w:r w:rsidR="00D8221C">
        <w:t xml:space="preserve">A value added-adjusted REER weighting methodology reveals that Kazakhstan's main competitor is the People's Republic of China, which has a major presence in both mining and metals manufacturing. This offers an opportunity for Kazakhstan to benefit from recent attempts by the West to pivot away from Chinese reliance. </w:t>
      </w:r>
      <w:r w:rsidR="00E203ED">
        <w:br w:type="page"/>
      </w:r>
    </w:p>
    <w:p w14:paraId="3BD61B1F" w14:textId="77777777" w:rsidR="008604A7" w:rsidRDefault="000B61ED" w:rsidP="000B61ED">
      <w:pPr>
        <w:pStyle w:val="Heading1"/>
      </w:pPr>
      <w:bookmarkStart w:id="63" w:name="_Toc141647943"/>
      <w:r>
        <w:lastRenderedPageBreak/>
        <w:t>Special Topics</w:t>
      </w:r>
      <w:bookmarkEnd w:id="63"/>
    </w:p>
    <w:p w14:paraId="4D447CBA" w14:textId="6105BD24" w:rsidR="000A46E1" w:rsidRPr="00DE4438" w:rsidRDefault="002D02FF" w:rsidP="008604A7">
      <w:r w:rsidRPr="00DE4438">
        <w:t xml:space="preserve">This chapter covers some further issues relating to </w:t>
      </w:r>
      <w:r w:rsidR="008514D9" w:rsidRPr="00DE4438">
        <w:t>Kazakhstan's</w:t>
      </w:r>
      <w:r w:rsidRPr="00DE4438">
        <w:t xml:space="preserve"> economy and trade</w:t>
      </w:r>
      <w:r w:rsidR="0038568D" w:rsidRPr="00DE4438">
        <w:t xml:space="preserve"> with a focus on </w:t>
      </w:r>
      <w:r w:rsidRPr="00DE4438">
        <w:t xml:space="preserve">global value chains. In the first section, its membership in the </w:t>
      </w:r>
      <w:r w:rsidR="00DE4438" w:rsidRPr="00DE4438">
        <w:t xml:space="preserve">Eurasian Economic Union </w:t>
      </w:r>
      <w:r w:rsidRPr="00DE4438">
        <w:t xml:space="preserve">is analyzed using a regional concentration index and visualized via a skyline chart. </w:t>
      </w:r>
      <w:r w:rsidR="000E125A" w:rsidRPr="00DE4438">
        <w:t>The objective here is to measure how deep this regional trade agreement is and in what sectors</w:t>
      </w:r>
      <w:r w:rsidR="00BC20CA" w:rsidRPr="00DE4438">
        <w:t>,</w:t>
      </w:r>
      <w:r w:rsidR="004519B8" w:rsidRPr="00DE4438">
        <w:t xml:space="preserve"> using both gross and value</w:t>
      </w:r>
      <w:r w:rsidR="00DE4438" w:rsidRPr="00DE4438">
        <w:t xml:space="preserve"> </w:t>
      </w:r>
      <w:r w:rsidR="004519B8" w:rsidRPr="00DE4438">
        <w:t>added flows</w:t>
      </w:r>
      <w:r w:rsidR="000E125A" w:rsidRPr="00DE4438">
        <w:t xml:space="preserve">. </w:t>
      </w:r>
    </w:p>
    <w:p w14:paraId="19B928DE" w14:textId="5BA1067F" w:rsidR="008604A7" w:rsidRPr="00D42687" w:rsidRDefault="000E125A" w:rsidP="008604A7">
      <w:pPr>
        <w:rPr>
          <w:color w:val="FF0000"/>
        </w:rPr>
      </w:pPr>
      <w:r w:rsidRPr="00D42687">
        <w:rPr>
          <w:color w:val="FF0000"/>
        </w:rPr>
        <w:t xml:space="preserve">In the second section, </w:t>
      </w:r>
      <w:r w:rsidR="00F04A36">
        <w:rPr>
          <w:color w:val="FF0000"/>
        </w:rPr>
        <w:t>...</w:t>
      </w:r>
      <w:r w:rsidRPr="00D42687">
        <w:rPr>
          <w:color w:val="FF0000"/>
        </w:rPr>
        <w:t xml:space="preserve"> </w:t>
      </w:r>
    </w:p>
    <w:p w14:paraId="308BDA17" w14:textId="77777777" w:rsidR="006420CA" w:rsidRDefault="006420CA" w:rsidP="008604A7"/>
    <w:p w14:paraId="1F618A18" w14:textId="2FBD06BA" w:rsidR="008604A7" w:rsidRDefault="008C5635" w:rsidP="008604A7">
      <w:pPr>
        <w:pStyle w:val="Heading2"/>
      </w:pPr>
      <w:bookmarkStart w:id="64" w:name="_Toc141647944"/>
      <w:r>
        <w:t xml:space="preserve">The </w:t>
      </w:r>
      <w:r w:rsidR="004428FB">
        <w:t>Eurasian Economic Union</w:t>
      </w:r>
      <w:bookmarkEnd w:id="64"/>
    </w:p>
    <w:p w14:paraId="7778243E" w14:textId="33253BC3" w:rsidR="0064492E" w:rsidRDefault="00A50D80" w:rsidP="008A1AA7">
      <w:r>
        <w:t xml:space="preserve">As globalization picked up pace in the 1990s, </w:t>
      </w:r>
      <w:r w:rsidR="00C7069E">
        <w:t>so did initiatives to deepen and regulate trade on a regional basis</w:t>
      </w:r>
      <w:r w:rsidR="00574091">
        <w:t xml:space="preserve">. Notwithstanding the success of multilateral initiatives like the creation of the World Trade Organization </w:t>
      </w:r>
      <w:r w:rsidR="0083788B">
        <w:t xml:space="preserve">(WTO) </w:t>
      </w:r>
      <w:r w:rsidR="00574091">
        <w:t xml:space="preserve">in </w:t>
      </w:r>
      <w:r w:rsidR="00574091" w:rsidRPr="00153867">
        <w:rPr>
          <w:color w:val="000000" w:themeColor="text1"/>
        </w:rPr>
        <w:t>199</w:t>
      </w:r>
      <w:r w:rsidR="00153867" w:rsidRPr="00153867">
        <w:rPr>
          <w:color w:val="000000" w:themeColor="text1"/>
        </w:rPr>
        <w:t>5</w:t>
      </w:r>
      <w:r w:rsidR="00574091">
        <w:t xml:space="preserve">, </w:t>
      </w:r>
      <w:r w:rsidR="00AA340B">
        <w:t xml:space="preserve">negotiating regional trade agreements (RTAs) remained less challenging given the fewer stakeholders </w:t>
      </w:r>
      <w:r w:rsidR="00747E3B">
        <w:t xml:space="preserve">involved </w:t>
      </w:r>
      <w:r w:rsidR="00AA340B">
        <w:t xml:space="preserve">and the greater </w:t>
      </w:r>
      <w:r w:rsidR="008A1AA7">
        <w:t>immediacy</w:t>
      </w:r>
      <w:r w:rsidR="00AA340B">
        <w:t xml:space="preserve"> </w:t>
      </w:r>
      <w:r w:rsidR="008A1AA7">
        <w:t>of its benefits</w:t>
      </w:r>
      <w:r w:rsidR="0083788B">
        <w:t xml:space="preserve"> (WTO 2011</w:t>
      </w:r>
      <w:r w:rsidR="007408E4">
        <w:t xml:space="preserve">; </w:t>
      </w:r>
      <w:proofErr w:type="spellStart"/>
      <w:r w:rsidR="007408E4" w:rsidRPr="00F03420">
        <w:rPr>
          <w:color w:val="000000" w:themeColor="text1"/>
        </w:rPr>
        <w:t>Limão</w:t>
      </w:r>
      <w:proofErr w:type="spellEnd"/>
      <w:r w:rsidR="007408E4" w:rsidRPr="00F03420">
        <w:rPr>
          <w:color w:val="000000" w:themeColor="text1"/>
        </w:rPr>
        <w:t xml:space="preserve"> 2016</w:t>
      </w:r>
      <w:r w:rsidR="0083788B">
        <w:t>)</w:t>
      </w:r>
      <w:r w:rsidR="00AA340B">
        <w:t xml:space="preserve">. </w:t>
      </w:r>
      <w:r w:rsidR="00D076E1">
        <w:t>During this period,</w:t>
      </w:r>
      <w:r w:rsidR="00F41351">
        <w:t xml:space="preserve"> the North American Free Trade Agreement (NAFTA) </w:t>
      </w:r>
      <w:r w:rsidR="00D076E1">
        <w:t xml:space="preserve">was formed </w:t>
      </w:r>
      <w:r w:rsidR="00F06E67">
        <w:t xml:space="preserve">and the </w:t>
      </w:r>
      <w:r w:rsidR="00D076E1">
        <w:t xml:space="preserve">free trade areas of </w:t>
      </w:r>
      <w:r w:rsidR="00F06E67">
        <w:t>the European Union and</w:t>
      </w:r>
      <w:r w:rsidR="00F41351">
        <w:t xml:space="preserve"> the Association of Southeast Asian Nations (ASEAN)</w:t>
      </w:r>
      <w:r w:rsidR="00D076E1">
        <w:t xml:space="preserve"> </w:t>
      </w:r>
      <w:r w:rsidR="001657F8">
        <w:t>were</w:t>
      </w:r>
      <w:r w:rsidR="00D076E1">
        <w:t xml:space="preserve"> substantially expanded</w:t>
      </w:r>
      <w:r w:rsidR="008A1AA7">
        <w:t>, among others</w:t>
      </w:r>
      <w:r w:rsidR="0083788B">
        <w:t>.</w:t>
      </w:r>
      <w:r w:rsidR="00F06E67">
        <w:t xml:space="preserve"> </w:t>
      </w:r>
      <w:r w:rsidR="00E87078">
        <w:t xml:space="preserve">RTA initiatives </w:t>
      </w:r>
      <w:r w:rsidR="008A1AA7">
        <w:t>continued into</w:t>
      </w:r>
      <w:r w:rsidR="00E87078">
        <w:t xml:space="preserve"> </w:t>
      </w:r>
      <w:r w:rsidR="0090318F">
        <w:t xml:space="preserve">and after </w:t>
      </w:r>
      <w:r w:rsidR="00E87078">
        <w:t xml:space="preserve">the 2010s </w:t>
      </w:r>
      <w:r w:rsidR="008A1AA7">
        <w:t xml:space="preserve">with the signing of </w:t>
      </w:r>
      <w:r w:rsidR="00E87078">
        <w:t xml:space="preserve">the </w:t>
      </w:r>
      <w:r w:rsidR="00E87078" w:rsidRPr="00E87078">
        <w:t>Comprehensive and Progressive Agreement for Trans-Pacific Partnership</w:t>
      </w:r>
      <w:r w:rsidR="00E87078">
        <w:t xml:space="preserve"> and the Regional Comprehensive Economic Partnership.</w:t>
      </w:r>
    </w:p>
    <w:p w14:paraId="556F9CA6" w14:textId="04DEA231" w:rsidR="008A1AA7" w:rsidRDefault="004428FB" w:rsidP="008A1AA7">
      <w:r>
        <w:t xml:space="preserve">Among these initiatives is the Eurasian Economic Union, or EAEU, conceptualized as a means to economically integrate the post-Soviet states in </w:t>
      </w:r>
      <w:r w:rsidR="00963ECF">
        <w:t xml:space="preserve">Europe and </w:t>
      </w:r>
      <w:r>
        <w:t xml:space="preserve">Central Asia. The EAEU traces its beginnings to a customs union established by Belarus, Kazakhstan, and the Russian Federation in 2010. This deepened into an economic union by 2015 and expanded to include Armenia and the Kyrgyz Republic. </w:t>
      </w:r>
      <w:r w:rsidR="004A7D2D">
        <w:t>Its main regulatory body is the Eurasian Economic Commission, where the five EAEU members have equal voting rights. Progress in the common labor market has generally been more extensive that that of the common goods and services market (Vinokurov 2017</w:t>
      </w:r>
      <w:r w:rsidR="00CA30DF">
        <w:t>; Mostafa and Mahmood 2018</w:t>
      </w:r>
      <w:r w:rsidR="004A7D2D">
        <w:t>).</w:t>
      </w:r>
    </w:p>
    <w:p w14:paraId="5C8AC6D4" w14:textId="3436A95E" w:rsidR="009943FD" w:rsidRDefault="00253F04" w:rsidP="008A1AA7">
      <w:r>
        <w:t xml:space="preserve">A common way of measuring the extent of regional trade integration is to take the share of intraregional trade in the region’s total trade (exports plus imports). </w:t>
      </w:r>
      <w:r w:rsidR="00D7114C">
        <w:t xml:space="preserve">This has been criticized by Frankel (1997), who argues that such a share monotonically increases as the number of members </w:t>
      </w:r>
      <w:r w:rsidR="00600D62">
        <w:t>goes up</w:t>
      </w:r>
      <w:r w:rsidR="00743976">
        <w:t xml:space="preserve">. </w:t>
      </w:r>
      <w:r w:rsidR="0007704B">
        <w:t>He proposes normaliz</w:t>
      </w:r>
      <w:r w:rsidR="00B01D4E">
        <w:t>ing</w:t>
      </w:r>
      <w:r w:rsidR="0007704B">
        <w:t xml:space="preserve"> this by the share of the region in world trade, a methodology detailed in </w:t>
      </w:r>
      <w:fldSimple w:instr=" REF _Ref79227767 ">
        <w:r w:rsidR="00F03ADA">
          <w:t xml:space="preserve">Box </w:t>
        </w:r>
        <w:r w:rsidR="00F03ADA">
          <w:rPr>
            <w:noProof/>
          </w:rPr>
          <w:t>8</w:t>
        </w:r>
      </w:fldSimple>
      <w:r w:rsidR="0007704B">
        <w:t>. To illustrate, t</w:t>
      </w:r>
      <w:r w:rsidR="008A11DD">
        <w:t>he intra-regional trade share</w:t>
      </w:r>
      <w:r w:rsidR="00743976">
        <w:t xml:space="preserve"> </w:t>
      </w:r>
      <w:r w:rsidR="008A11DD">
        <w:t>of the 27-member</w:t>
      </w:r>
      <w:r w:rsidR="00743976">
        <w:t xml:space="preserve"> European Union </w:t>
      </w:r>
      <w:r w:rsidR="008A11DD">
        <w:t xml:space="preserve">was </w:t>
      </w:r>
      <w:r w:rsidR="000747E2">
        <w:t>54.9</w:t>
      </w:r>
      <w:r w:rsidR="008A11DD">
        <w:t>% in 202</w:t>
      </w:r>
      <w:r w:rsidR="008813F0">
        <w:t>2</w:t>
      </w:r>
      <w:r w:rsidR="008A11DD">
        <w:t xml:space="preserve">, compared with </w:t>
      </w:r>
      <w:r w:rsidR="000747E2">
        <w:t>4</w:t>
      </w:r>
      <w:r w:rsidR="008813F0">
        <w:t>.7</w:t>
      </w:r>
      <w:r w:rsidR="008A11DD">
        <w:t xml:space="preserve">% for the </w:t>
      </w:r>
      <w:r w:rsidR="008813F0">
        <w:t>five</w:t>
      </w:r>
      <w:r w:rsidR="008A11DD">
        <w:t xml:space="preserve">-member </w:t>
      </w:r>
      <w:r w:rsidR="008813F0">
        <w:t>EAEU</w:t>
      </w:r>
      <w:r w:rsidR="00530987">
        <w:t>, suggesting the former is over 1</w:t>
      </w:r>
      <w:r w:rsidR="000747E2">
        <w:t>1</w:t>
      </w:r>
      <w:r w:rsidR="00530987">
        <w:t xml:space="preserve"> times more integrated than the lat</w:t>
      </w:r>
      <w:r w:rsidR="00EB59A6">
        <w:t>t</w:t>
      </w:r>
      <w:r w:rsidR="00530987">
        <w:t>er.</w:t>
      </w:r>
      <w:r w:rsidR="008A11DD">
        <w:t xml:space="preserve"> </w:t>
      </w:r>
      <w:r w:rsidR="00530987">
        <w:t xml:space="preserve">However, </w:t>
      </w:r>
      <w:r w:rsidR="00EB59A6">
        <w:t xml:space="preserve">the European Union takes up </w:t>
      </w:r>
      <w:r w:rsidR="000747E2">
        <w:t>30.1</w:t>
      </w:r>
      <w:r w:rsidR="00EB59A6">
        <w:t xml:space="preserve">% of world trade against the </w:t>
      </w:r>
      <w:r w:rsidR="000747E2">
        <w:t>1.7</w:t>
      </w:r>
      <w:r w:rsidR="00EB59A6">
        <w:t xml:space="preserve">% of </w:t>
      </w:r>
      <w:r w:rsidR="008813F0">
        <w:t>the EAEU</w:t>
      </w:r>
      <w:r w:rsidR="00EB59A6">
        <w:t xml:space="preserve">. </w:t>
      </w:r>
      <w:r w:rsidR="00A002A3">
        <w:t xml:space="preserve">Thus, the </w:t>
      </w:r>
      <w:r w:rsidR="000F72C2">
        <w:t>countries</w:t>
      </w:r>
      <w:r w:rsidR="00A002A3">
        <w:t xml:space="preserve"> of the European Union trade among themselves 1.</w:t>
      </w:r>
      <w:r w:rsidR="008813F0">
        <w:t>8</w:t>
      </w:r>
      <w:r w:rsidR="00A002A3">
        <w:t xml:space="preserve"> times more than they do with </w:t>
      </w:r>
      <w:r w:rsidR="00A002A3">
        <w:lastRenderedPageBreak/>
        <w:t xml:space="preserve">the world, while the </w:t>
      </w:r>
      <w:r w:rsidR="00F80EE1">
        <w:t xml:space="preserve">SAARC </w:t>
      </w:r>
      <w:r w:rsidR="000F72C2">
        <w:t xml:space="preserve">countries </w:t>
      </w:r>
      <w:r w:rsidR="00A002A3">
        <w:t xml:space="preserve">trade among themselves </w:t>
      </w:r>
      <w:r w:rsidR="000747E2">
        <w:t>2.8</w:t>
      </w:r>
      <w:r w:rsidR="00A002A3">
        <w:t xml:space="preserve"> times more. </w:t>
      </w:r>
      <w:r w:rsidR="00B01D4E">
        <w:t>These two numbers</w:t>
      </w:r>
      <w:r w:rsidR="003F1291">
        <w:t xml:space="preserve">, called regional concentration </w:t>
      </w:r>
      <w:r w:rsidR="00F80EE1">
        <w:t xml:space="preserve">indices </w:t>
      </w:r>
      <w:r w:rsidR="001231C9">
        <w:t>(RCI)</w:t>
      </w:r>
      <w:r w:rsidR="003F1291">
        <w:t>,</w:t>
      </w:r>
      <w:r w:rsidR="00B01D4E">
        <w:t xml:space="preserve"> </w:t>
      </w:r>
      <w:r w:rsidR="000747E2">
        <w:t>paint a more comparable picture of the groups' relative degree of integration</w:t>
      </w:r>
      <w:r w:rsidR="00B01D4E">
        <w:t xml:space="preserve">. </w:t>
      </w:r>
    </w:p>
    <w:tbl>
      <w:tblPr>
        <w:tblStyle w:val="TableGrid"/>
        <w:tblW w:w="0" w:type="auto"/>
        <w:tblLook w:val="04A0" w:firstRow="1" w:lastRow="0" w:firstColumn="1" w:lastColumn="0" w:noHBand="0" w:noVBand="1"/>
      </w:tblPr>
      <w:tblGrid>
        <w:gridCol w:w="9016"/>
      </w:tblGrid>
      <w:tr w:rsidR="003C63ED" w14:paraId="3EFEFDD1" w14:textId="77777777" w:rsidTr="00B72C1E">
        <w:tc>
          <w:tcPr>
            <w:tcW w:w="9016" w:type="dxa"/>
          </w:tcPr>
          <w:p w14:paraId="7834C6B5" w14:textId="6AF87599" w:rsidR="00876F58" w:rsidRDefault="00876F58" w:rsidP="00876F58">
            <w:pPr>
              <w:pStyle w:val="Caption"/>
            </w:pPr>
            <w:bookmarkStart w:id="65" w:name="_Ref79227767"/>
            <w:bookmarkStart w:id="66" w:name="_Toc141647978"/>
            <w:r>
              <w:t xml:space="preserve">Box </w:t>
            </w:r>
            <w:fldSimple w:instr=" SEQ Box \* ARABIC ">
              <w:r w:rsidR="00F03ADA">
                <w:rPr>
                  <w:noProof/>
                </w:rPr>
                <w:t>8</w:t>
              </w:r>
            </w:fldSimple>
            <w:bookmarkEnd w:id="65"/>
            <w:r>
              <w:t xml:space="preserve">: Calculating </w:t>
            </w:r>
            <w:r w:rsidR="00A50D80">
              <w:t xml:space="preserve">the </w:t>
            </w:r>
            <w:r>
              <w:t>Regional Concentration</w:t>
            </w:r>
            <w:r w:rsidR="00A50D80">
              <w:t xml:space="preserve"> Index</w:t>
            </w:r>
            <w:bookmarkEnd w:id="66"/>
          </w:p>
          <w:p w14:paraId="231BC5A2" w14:textId="4F648D32" w:rsidR="00760E8B" w:rsidRPr="007335BD" w:rsidRDefault="007335BD" w:rsidP="001C26F9">
            <w:pPr>
              <w:pStyle w:val="Box"/>
            </w:pPr>
            <w:r>
              <w:t xml:space="preserve">The regional concentration index </w:t>
            </w:r>
            <w:r w:rsidR="00605B85">
              <w:t xml:space="preserve">(RCI) </w:t>
            </w:r>
            <w:r>
              <w:t xml:space="preserve">measures the extent to which a collection of </w:t>
            </w:r>
            <w:r w:rsidR="00C27D90">
              <w:t>countries</w:t>
            </w:r>
            <w:r>
              <w:t xml:space="preserve"> (a “region”) is trading among themselves</w:t>
            </w:r>
            <w:r w:rsidR="008B38F1">
              <w:t xml:space="preserve"> relative to the rest of the world</w:t>
            </w:r>
            <w:r>
              <w:t xml:space="preserve">. </w:t>
            </w:r>
            <w:r w:rsidR="00760E8B">
              <w:t xml:space="preserve">Following Frankel (1997), it is </w:t>
            </w:r>
            <w:r w:rsidR="00E37D48">
              <w:t xml:space="preserve">computed as </w:t>
            </w:r>
            <w:r w:rsidR="00760E8B">
              <w:t xml:space="preserve">a ratio of two fractions: the share of the region’s trade </w:t>
            </w:r>
            <w:r w:rsidR="00677E51">
              <w:t>with</w:t>
            </w:r>
            <w:r w:rsidR="000C5C28">
              <w:t xml:space="preserve"> itself</w:t>
            </w:r>
            <w:r w:rsidR="00760E8B">
              <w:t xml:space="preserve"> and the share of the region </w:t>
            </w:r>
            <w:r w:rsidR="00154985">
              <w:t xml:space="preserve">in </w:t>
            </w:r>
            <w:r w:rsidR="00760E8B">
              <w:t>world trade.</w:t>
            </w:r>
            <w:r w:rsidR="004137CB">
              <w:t xml:space="preserve"> </w:t>
            </w:r>
            <w:r w:rsidR="0026006D">
              <w:t xml:space="preserve">Formally, </w:t>
            </w:r>
            <w:r w:rsidR="003F7098">
              <w:t>the RCI</w:t>
            </w:r>
            <w:r w:rsidR="00BC753D">
              <w:t xml:space="preserve"> for region </w:t>
            </w:r>
            <m:oMath>
              <m:r>
                <w:rPr>
                  <w:rFonts w:ascii="Cambria Math" w:hAnsi="Cambria Math"/>
                </w:rPr>
                <m:t>q</m:t>
              </m:r>
            </m:oMath>
            <w:r w:rsidR="0026006D">
              <w:t xml:space="preserve"> </w:t>
            </w:r>
            <w:r w:rsidR="00AF3656">
              <w:t xml:space="preserve">is </w:t>
            </w:r>
            <w:r w:rsidR="0026006D">
              <w:t>given by</w:t>
            </w:r>
          </w:p>
          <w:p w14:paraId="210902B8" w14:textId="7A1DEA13" w:rsidR="00954C42" w:rsidRDefault="00944DAC" w:rsidP="001C26F9">
            <w:pPr>
              <w:pStyle w:val="Box"/>
            </w:pPr>
            <m:oMathPara>
              <m:oMath>
                <m:r>
                  <w:rPr>
                    <w:rFonts w:ascii="Cambria Math" w:hAnsi="Cambria Math"/>
                  </w:rPr>
                  <m:t>RC</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type m:val="lin"/>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Exports</m:t>
                            </m:r>
                          </m:e>
                          <m:sub>
                            <m:r>
                              <w:rPr>
                                <w:rFonts w:ascii="Cambria Math" w:hAnsi="Cambria Math"/>
                              </w:rPr>
                              <m:t>qq</m:t>
                            </m:r>
                          </m:sub>
                        </m:sSub>
                        <m:r>
                          <w:rPr>
                            <w:rFonts w:ascii="Cambria Math" w:hAnsi="Cambria Math"/>
                          </w:rPr>
                          <m:t>+</m:t>
                        </m:r>
                        <m:sSub>
                          <m:sSubPr>
                            <m:ctrlPr>
                              <w:rPr>
                                <w:rFonts w:ascii="Cambria Math" w:hAnsi="Cambria Math"/>
                                <w:i/>
                              </w:rPr>
                            </m:ctrlPr>
                          </m:sSubPr>
                          <m:e>
                            <m:r>
                              <w:rPr>
                                <w:rFonts w:ascii="Cambria Math" w:hAnsi="Cambria Math"/>
                              </w:rPr>
                              <m:t>Imports</m:t>
                            </m:r>
                          </m:e>
                          <m:sub>
                            <m:r>
                              <w:rPr>
                                <w:rFonts w:ascii="Cambria Math" w:hAnsi="Cambria Math"/>
                              </w:rPr>
                              <m:t>qq</m:t>
                            </m:r>
                          </m:sub>
                        </m:sSub>
                      </m:num>
                      <m:den>
                        <m:sSub>
                          <m:sSubPr>
                            <m:ctrlPr>
                              <w:rPr>
                                <w:rFonts w:ascii="Cambria Math" w:hAnsi="Cambria Math"/>
                                <w:i/>
                              </w:rPr>
                            </m:ctrlPr>
                          </m:sSubPr>
                          <m:e>
                            <m:r>
                              <w:rPr>
                                <w:rFonts w:ascii="Cambria Math" w:hAnsi="Cambria Math"/>
                              </w:rPr>
                              <m:t>Exports</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Imports</m:t>
                            </m:r>
                          </m:e>
                          <m:sub>
                            <m:r>
                              <m:rPr>
                                <m:sty m:val="p"/>
                              </m:rPr>
                              <w:rPr>
                                <w:rFonts w:ascii="Cambria Math" w:hAnsi="Cambria Math"/>
                              </w:rPr>
                              <m:t>q</m:t>
                            </m:r>
                          </m:sub>
                        </m:sSub>
                      </m:den>
                    </m:f>
                  </m:num>
                  <m:den>
                    <m:f>
                      <m:fPr>
                        <m:ctrlPr>
                          <w:rPr>
                            <w:rFonts w:ascii="Cambria Math" w:hAnsi="Cambria Math"/>
                            <w:i/>
                          </w:rPr>
                        </m:ctrlPr>
                      </m:fPr>
                      <m:num>
                        <m:sSub>
                          <m:sSubPr>
                            <m:ctrlPr>
                              <w:rPr>
                                <w:rFonts w:ascii="Cambria Math" w:hAnsi="Cambria Math"/>
                                <w:i/>
                              </w:rPr>
                            </m:ctrlPr>
                          </m:sSubPr>
                          <m:e>
                            <m:r>
                              <w:rPr>
                                <w:rFonts w:ascii="Cambria Math" w:hAnsi="Cambria Math"/>
                              </w:rPr>
                              <m:t>Exports</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Imports</m:t>
                            </m:r>
                          </m:e>
                          <m:sub>
                            <m:r>
                              <m:rPr>
                                <m:sty m:val="p"/>
                              </m:rPr>
                              <w:rPr>
                                <w:rFonts w:ascii="Cambria Math" w:hAnsi="Cambria Math"/>
                              </w:rPr>
                              <m:t>q</m:t>
                            </m:r>
                          </m:sub>
                        </m:sSub>
                      </m:num>
                      <m:den>
                        <m:sSub>
                          <m:sSubPr>
                            <m:ctrlPr>
                              <w:rPr>
                                <w:rFonts w:ascii="Cambria Math" w:hAnsi="Cambria Math"/>
                                <w:i/>
                              </w:rPr>
                            </m:ctrlPr>
                          </m:sSubPr>
                          <m:e>
                            <m:r>
                              <w:rPr>
                                <w:rFonts w:ascii="Cambria Math" w:hAnsi="Cambria Math"/>
                              </w:rPr>
                              <m:t>Exports</m:t>
                            </m:r>
                          </m:e>
                          <m:sub>
                            <m:r>
                              <m:rPr>
                                <m:sty m:val="p"/>
                              </m:rPr>
                              <w:rPr>
                                <w:rFonts w:ascii="Cambria Math" w:hAnsi="Cambria Math"/>
                              </w:rPr>
                              <m:t>world</m:t>
                            </m:r>
                          </m:sub>
                        </m:sSub>
                        <m:r>
                          <w:rPr>
                            <w:rFonts w:ascii="Cambria Math" w:hAnsi="Cambria Math"/>
                          </w:rPr>
                          <m:t>+</m:t>
                        </m:r>
                        <m:sSub>
                          <m:sSubPr>
                            <m:ctrlPr>
                              <w:rPr>
                                <w:rFonts w:ascii="Cambria Math" w:hAnsi="Cambria Math"/>
                                <w:i/>
                              </w:rPr>
                            </m:ctrlPr>
                          </m:sSubPr>
                          <m:e>
                            <m:r>
                              <w:rPr>
                                <w:rFonts w:ascii="Cambria Math" w:hAnsi="Cambria Math"/>
                              </w:rPr>
                              <m:t>Imports</m:t>
                            </m:r>
                          </m:e>
                          <m:sub>
                            <m:r>
                              <m:rPr>
                                <m:sty m:val="p"/>
                              </m:rPr>
                              <w:rPr>
                                <w:rFonts w:ascii="Cambria Math" w:hAnsi="Cambria Math"/>
                              </w:rPr>
                              <m:t>world</m:t>
                            </m:r>
                          </m:sub>
                        </m:sSub>
                      </m:den>
                    </m:f>
                  </m:den>
                </m:f>
              </m:oMath>
            </m:oMathPara>
          </w:p>
          <w:p w14:paraId="0A727D1C" w14:textId="73B04A38" w:rsidR="009943FD" w:rsidRDefault="009943FD" w:rsidP="001C26F9">
            <w:pPr>
              <w:pStyle w:val="Box"/>
            </w:pPr>
            <w:r>
              <w:t xml:space="preserve">Note that </w:t>
            </w:r>
            <m:oMath>
              <m:sSub>
                <m:sSubPr>
                  <m:ctrlPr>
                    <w:rPr>
                      <w:rFonts w:ascii="Cambria Math" w:hAnsi="Cambria Math"/>
                      <w:i/>
                    </w:rPr>
                  </m:ctrlPr>
                </m:sSubPr>
                <m:e>
                  <m:r>
                    <w:rPr>
                      <w:rFonts w:ascii="Cambria Math" w:hAnsi="Cambria Math"/>
                    </w:rPr>
                    <m:t>Exports</m:t>
                  </m:r>
                </m:e>
                <m:sub>
                  <m:r>
                    <w:rPr>
                      <w:rFonts w:ascii="Cambria Math" w:hAnsi="Cambria Math"/>
                    </w:rPr>
                    <m:t>qq</m:t>
                  </m:r>
                </m:sub>
              </m:sSub>
              <m:r>
                <w:rPr>
                  <w:rFonts w:ascii="Cambria Math" w:hAnsi="Cambria Math"/>
                </w:rPr>
                <m:t>=</m:t>
              </m:r>
              <m:sSub>
                <m:sSubPr>
                  <m:ctrlPr>
                    <w:rPr>
                      <w:rFonts w:ascii="Cambria Math" w:hAnsi="Cambria Math"/>
                      <w:i/>
                    </w:rPr>
                  </m:ctrlPr>
                </m:sSubPr>
                <m:e>
                  <m:r>
                    <w:rPr>
                      <w:rFonts w:ascii="Cambria Math" w:hAnsi="Cambria Math"/>
                    </w:rPr>
                    <m:t>Imports</m:t>
                  </m:r>
                </m:e>
                <m:sub>
                  <m:r>
                    <w:rPr>
                      <w:rFonts w:ascii="Cambria Math" w:hAnsi="Cambria Math"/>
                    </w:rPr>
                    <m:t>qq</m:t>
                  </m:r>
                </m:sub>
              </m:sSub>
            </m:oMath>
            <w:r>
              <w:t xml:space="preserve"> and </w:t>
            </w:r>
            <m:oMath>
              <m:sSub>
                <m:sSubPr>
                  <m:ctrlPr>
                    <w:rPr>
                      <w:rFonts w:ascii="Cambria Math" w:hAnsi="Cambria Math"/>
                      <w:i/>
                    </w:rPr>
                  </m:ctrlPr>
                </m:sSubPr>
                <m:e>
                  <m:r>
                    <w:rPr>
                      <w:rFonts w:ascii="Cambria Math" w:hAnsi="Cambria Math"/>
                    </w:rPr>
                    <m:t>Exports</m:t>
                  </m:r>
                </m:e>
                <m:sub>
                  <m:r>
                    <m:rPr>
                      <m:sty m:val="p"/>
                    </m:rPr>
                    <w:rPr>
                      <w:rFonts w:ascii="Cambria Math" w:hAnsi="Cambria Math"/>
                    </w:rPr>
                    <m:t>world</m:t>
                  </m:r>
                </m:sub>
              </m:sSub>
              <m:r>
                <w:rPr>
                  <w:rFonts w:ascii="Cambria Math" w:hAnsi="Cambria Math"/>
                </w:rPr>
                <m:t>=</m:t>
              </m:r>
              <m:sSub>
                <m:sSubPr>
                  <m:ctrlPr>
                    <w:rPr>
                      <w:rFonts w:ascii="Cambria Math" w:hAnsi="Cambria Math"/>
                      <w:i/>
                    </w:rPr>
                  </m:ctrlPr>
                </m:sSubPr>
                <m:e>
                  <m:r>
                    <w:rPr>
                      <w:rFonts w:ascii="Cambria Math" w:hAnsi="Cambria Math"/>
                    </w:rPr>
                    <m:t>Imports</m:t>
                  </m:r>
                </m:e>
                <m:sub>
                  <m:r>
                    <m:rPr>
                      <m:sty m:val="p"/>
                    </m:rPr>
                    <w:rPr>
                      <w:rFonts w:ascii="Cambria Math" w:hAnsi="Cambria Math"/>
                    </w:rPr>
                    <m:t>world</m:t>
                  </m:r>
                </m:sub>
              </m:sSub>
            </m:oMath>
            <w:r w:rsidR="000A0298">
              <w:t>. That is,</w:t>
            </w:r>
            <w:r w:rsidR="00253F04">
              <w:t xml:space="preserve"> the</w:t>
            </w:r>
            <w:r w:rsidR="000A0298">
              <w:t xml:space="preserve"> exports of a region to itself is necessarily equal to </w:t>
            </w:r>
            <w:r w:rsidR="006D0F47">
              <w:t xml:space="preserve">its </w:t>
            </w:r>
            <w:r w:rsidR="000A0298">
              <w:t xml:space="preserve">imports from itself. </w:t>
            </w:r>
          </w:p>
          <w:p w14:paraId="43DFB701" w14:textId="6BD988F5" w:rsidR="006277E2" w:rsidRDefault="006277E2" w:rsidP="001C26F9">
            <w:pPr>
              <w:pStyle w:val="Box"/>
            </w:pPr>
            <w:r>
              <w:t xml:space="preserve">A random collection of </w:t>
            </w:r>
            <w:r w:rsidR="00521C7C">
              <w:t xml:space="preserve">countries </w:t>
            </w:r>
            <w:r>
              <w:t xml:space="preserve">would have an RCI of close to 1, meaning they trade among each other at about the same rate they trade with the world. If the collection is, for example, geographically close, or share </w:t>
            </w:r>
            <w:r w:rsidR="00941C3F">
              <w:t>cultural</w:t>
            </w:r>
            <w:r>
              <w:t xml:space="preserve"> ties, or belong to a </w:t>
            </w:r>
            <w:r w:rsidR="0063761A">
              <w:t xml:space="preserve">deep </w:t>
            </w:r>
            <w:r w:rsidR="009E45AC">
              <w:t>trading agreement</w:t>
            </w:r>
            <w:r>
              <w:t xml:space="preserve">, </w:t>
            </w:r>
            <w:r w:rsidR="005A6F25">
              <w:t>its</w:t>
            </w:r>
            <w:r w:rsidR="003237A8">
              <w:t xml:space="preserve"> RCI would be higher than 1. </w:t>
            </w:r>
            <w:r w:rsidR="00941C3F">
              <w:t xml:space="preserve">Conversely, </w:t>
            </w:r>
            <w:r w:rsidR="00EC46C3">
              <w:t xml:space="preserve">an RCI below 1 means </w:t>
            </w:r>
            <w:r w:rsidR="00EF7F3C">
              <w:t>trade within the region is less significant than trade outside it</w:t>
            </w:r>
            <w:r w:rsidR="00A90C91">
              <w:t xml:space="preserve">. </w:t>
            </w:r>
          </w:p>
          <w:p w14:paraId="10A1CE02" w14:textId="25927EBD" w:rsidR="00677E51" w:rsidRDefault="00DB5467" w:rsidP="001C26F9">
            <w:pPr>
              <w:pStyle w:val="Box"/>
            </w:pPr>
            <w:r>
              <w:t>Because of international production sharing, t</w:t>
            </w:r>
            <w:r w:rsidR="005C6380">
              <w:t>he RC</w:t>
            </w:r>
            <w:r w:rsidR="00120274">
              <w:t>I</w:t>
            </w:r>
            <w:r w:rsidR="005C6380">
              <w:t xml:space="preserve"> based on gross exports may misstate regional integration in two ways. First, </w:t>
            </w:r>
            <w:r w:rsidR="002D3D87">
              <w:t xml:space="preserve">exports </w:t>
            </w:r>
            <w:r w:rsidR="005C6380">
              <w:t>may contain</w:t>
            </w:r>
            <w:r w:rsidR="002D3D87">
              <w:t xml:space="preserve"> value</w:t>
            </w:r>
            <w:r w:rsidR="001E594F">
              <w:t xml:space="preserve"> </w:t>
            </w:r>
            <w:r w:rsidR="002D3D87">
              <w:t xml:space="preserve">added from outside the region. </w:t>
            </w:r>
            <w:r w:rsidR="00481503">
              <w:t>Second, reexporting</w:t>
            </w:r>
            <w:r w:rsidR="00AC2A80">
              <w:t xml:space="preserve"> by the region’s members</w:t>
            </w:r>
            <w:r w:rsidR="00481503">
              <w:t xml:space="preserve"> may result in regional value</w:t>
            </w:r>
            <w:r w:rsidR="00C222D9">
              <w:t xml:space="preserve"> </w:t>
            </w:r>
            <w:r w:rsidR="00481503">
              <w:t>added actually</w:t>
            </w:r>
            <w:r w:rsidR="00AC2A80">
              <w:t xml:space="preserve"> being absorbed outside the region. </w:t>
            </w:r>
            <w:r>
              <w:t xml:space="preserve">To correct for these, </w:t>
            </w:r>
            <w:r w:rsidR="00784F48">
              <w:t>an adjusted RC</w:t>
            </w:r>
            <w:r w:rsidR="00120274">
              <w:t>I</w:t>
            </w:r>
            <w:r w:rsidR="00784F48">
              <w:t xml:space="preserve"> is also computed that accounts for value</w:t>
            </w:r>
            <w:r w:rsidR="0013444D">
              <w:t xml:space="preserve"> </w:t>
            </w:r>
            <w:r w:rsidR="00784F48">
              <w:t>added from beginning to end, ensuring that regional flows are truly regional. This is called the end-to-end RC</w:t>
            </w:r>
            <w:r w:rsidR="00120274">
              <w:t>I</w:t>
            </w:r>
            <w:r w:rsidR="00784F48">
              <w:t xml:space="preserve">. </w:t>
            </w:r>
          </w:p>
          <w:p w14:paraId="18390BB3" w14:textId="53CA00E2" w:rsidR="002730DA" w:rsidRPr="00C11B1F" w:rsidRDefault="002730DA" w:rsidP="001C26F9">
            <w:pPr>
              <w:pStyle w:val="Box"/>
              <w:rPr>
                <w:b/>
                <w:bCs/>
              </w:rPr>
            </w:pPr>
            <w:r w:rsidRPr="00C11B1F">
              <w:rPr>
                <w:b/>
                <w:bCs/>
              </w:rPr>
              <w:t>Reference</w:t>
            </w:r>
          </w:p>
          <w:p w14:paraId="1B12E59A" w14:textId="3099DE45" w:rsidR="002730DA" w:rsidRPr="00C11B1F" w:rsidRDefault="00C11B1F" w:rsidP="00C11B1F">
            <w:pPr>
              <w:pStyle w:val="BoxReferences"/>
              <w:rPr>
                <w:rFonts w:ascii="Calibri" w:hAnsi="Calibri" w:cs="Calibri"/>
              </w:rPr>
            </w:pPr>
            <w:r>
              <w:rPr>
                <w:rFonts w:ascii="Calibri" w:hAnsi="Calibri" w:cs="Calibri"/>
              </w:rPr>
              <w:t xml:space="preserve">J. A. Frankel. 1997. </w:t>
            </w:r>
            <w:r w:rsidRPr="00A96289">
              <w:rPr>
                <w:rFonts w:ascii="Calibri" w:hAnsi="Calibri" w:cs="Calibri"/>
                <w:i/>
                <w:iCs/>
              </w:rPr>
              <w:t>Regional Trading Blocs in the World Economic System</w:t>
            </w:r>
            <w:r>
              <w:rPr>
                <w:rFonts w:ascii="Calibri" w:hAnsi="Calibri" w:cs="Calibri"/>
              </w:rPr>
              <w:t>. Washington, DC: Peterson Institute for International Economics.</w:t>
            </w:r>
          </w:p>
        </w:tc>
      </w:tr>
    </w:tbl>
    <w:p w14:paraId="2652EB49" w14:textId="1E76F448" w:rsidR="003C63ED" w:rsidRDefault="003C63ED" w:rsidP="008604A7"/>
    <w:p w14:paraId="01CF1DCD" w14:textId="735DC43A" w:rsidR="003C63ED" w:rsidRDefault="0077236C" w:rsidP="008604A7">
      <w:r>
        <w:t xml:space="preserve">The RCIs for </w:t>
      </w:r>
      <w:r w:rsidR="00B64FEA">
        <w:t>five major</w:t>
      </w:r>
      <w:r>
        <w:t xml:space="preserve"> RTAs are plotted in </w:t>
      </w:r>
      <w:fldSimple w:instr=" REF _Ref79228298 ">
        <w:r w:rsidR="00F03ADA">
          <w:t xml:space="preserve">Figure </w:t>
        </w:r>
        <w:r w:rsidR="00F03ADA">
          <w:rPr>
            <w:noProof/>
          </w:rPr>
          <w:t>5</w:t>
        </w:r>
        <w:r w:rsidR="00F03ADA">
          <w:t>.</w:t>
        </w:r>
        <w:r w:rsidR="00F03ADA">
          <w:rPr>
            <w:noProof/>
          </w:rPr>
          <w:t>1</w:t>
        </w:r>
      </w:fldSimple>
      <w:r w:rsidR="0009024D">
        <w:t xml:space="preserve">. </w:t>
      </w:r>
      <w:r w:rsidR="001C474A">
        <w:t xml:space="preserve">RCIs on the left panel use gross exports to measure regional integration. These show that </w:t>
      </w:r>
      <w:r w:rsidR="00B6632E">
        <w:t xml:space="preserve">among the </w:t>
      </w:r>
      <w:r w:rsidR="000747E2">
        <w:t>five</w:t>
      </w:r>
      <w:r w:rsidR="00B6632E">
        <w:t xml:space="preserve">, </w:t>
      </w:r>
      <w:r w:rsidR="000747E2">
        <w:t>the EAEU since its creation in 2015</w:t>
      </w:r>
      <w:r w:rsidR="00742DF8">
        <w:t xml:space="preserve"> </w:t>
      </w:r>
      <w:r w:rsidR="00B6632E">
        <w:t xml:space="preserve">has tended to have the </w:t>
      </w:r>
      <w:r w:rsidR="000747E2">
        <w:t xml:space="preserve">highest </w:t>
      </w:r>
      <w:r w:rsidR="00B6632E">
        <w:t xml:space="preserve">integration, </w:t>
      </w:r>
      <w:r w:rsidR="00F21BCD">
        <w:t>registering a</w:t>
      </w:r>
      <w:r w:rsidR="00742DF8">
        <w:t>n</w:t>
      </w:r>
      <w:r w:rsidR="00F21BCD">
        <w:t xml:space="preserve"> RCI of </w:t>
      </w:r>
      <w:r w:rsidR="00303D2F">
        <w:t>over 3 until 2021</w:t>
      </w:r>
      <w:r w:rsidR="00F21BCD">
        <w:t xml:space="preserve">. </w:t>
      </w:r>
      <w:r w:rsidR="00303D2F">
        <w:t>T</w:t>
      </w:r>
      <w:r w:rsidR="00EE022F">
        <w:t>he European Union, being the most institutionally mature of the group, exhibited the most stable RCI</w:t>
      </w:r>
      <w:r w:rsidR="005828F6">
        <w:t>, hovering between 1.5 and 2.0</w:t>
      </w:r>
      <w:r w:rsidR="00EE022F">
        <w:t>.</w:t>
      </w:r>
      <w:r w:rsidR="00303D2F">
        <w:t xml:space="preserve"> Its relatively low RCI may be surprising given the institutional extent of the European Economic Community, but note that the three largest economies in the world—the United States, the People's Republic of China, and Japan—lie outside the EU. </w:t>
      </w:r>
    </w:p>
    <w:p w14:paraId="7BB86B2C" w14:textId="0FDEC6E8" w:rsidR="000B768B" w:rsidRDefault="001C1FE5" w:rsidP="000B768B">
      <w:pPr>
        <w:pStyle w:val="Caption"/>
      </w:pPr>
      <w:bookmarkStart w:id="67" w:name="_Ref79228298"/>
      <w:bookmarkStart w:id="68" w:name="_Toc141689897"/>
      <w:r>
        <w:rPr>
          <w:noProof/>
        </w:rPr>
        <w:lastRenderedPageBreak/>
        <w:drawing>
          <wp:anchor distT="0" distB="0" distL="114300" distR="114300" simplePos="0" relativeHeight="251755520" behindDoc="0" locked="0" layoutInCell="1" allowOverlap="1" wp14:anchorId="3E81FDD1" wp14:editId="13E34CA1">
            <wp:simplePos x="0" y="0"/>
            <wp:positionH relativeFrom="column">
              <wp:posOffset>0</wp:posOffset>
            </wp:positionH>
            <wp:positionV relativeFrom="paragraph">
              <wp:posOffset>188123</wp:posOffset>
            </wp:positionV>
            <wp:extent cx="5731510" cy="2859405"/>
            <wp:effectExtent l="0" t="0" r="0" b="0"/>
            <wp:wrapSquare wrapText="bothSides"/>
            <wp:docPr id="2001856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56084" name="Picture 2001856084"/>
                    <pic:cNvPicPr/>
                  </pic:nvPicPr>
                  <pic:blipFill>
                    <a:blip r:embed="rId31">
                      <a:extLst>
                        <a:ext uri="{28A0092B-C50C-407E-A947-70E740481C1C}">
                          <a14:useLocalDpi xmlns:a14="http://schemas.microsoft.com/office/drawing/2010/main" val="0"/>
                        </a:ext>
                      </a:extLst>
                    </a:blip>
                    <a:stretch>
                      <a:fillRect/>
                    </a:stretch>
                  </pic:blipFill>
                  <pic:spPr>
                    <a:xfrm>
                      <a:off x="0" y="0"/>
                      <a:ext cx="5731510" cy="2859405"/>
                    </a:xfrm>
                    <a:prstGeom prst="rect">
                      <a:avLst/>
                    </a:prstGeom>
                  </pic:spPr>
                </pic:pic>
              </a:graphicData>
            </a:graphic>
            <wp14:sizeRelH relativeFrom="page">
              <wp14:pctWidth>0</wp14:pctWidth>
            </wp14:sizeRelH>
            <wp14:sizeRelV relativeFrom="page">
              <wp14:pctHeight>0</wp14:pctHeight>
            </wp14:sizeRelV>
          </wp:anchor>
        </w:drawing>
      </w:r>
      <w:r w:rsidR="000B768B">
        <w:t xml:space="preserve">Figure </w:t>
      </w:r>
      <w:fldSimple w:instr=" STYLEREF 1 \s ">
        <w:r w:rsidR="00F03ADA">
          <w:rPr>
            <w:noProof/>
          </w:rPr>
          <w:t>5</w:t>
        </w:r>
      </w:fldSimple>
      <w:r w:rsidR="003F26C2">
        <w:t>.</w:t>
      </w:r>
      <w:fldSimple w:instr=" SEQ Figure \* ARABIC \s 1 ">
        <w:r w:rsidR="00F03ADA">
          <w:rPr>
            <w:noProof/>
          </w:rPr>
          <w:t>1</w:t>
        </w:r>
      </w:fldSimple>
      <w:bookmarkEnd w:id="67"/>
      <w:r w:rsidR="000B768B">
        <w:t>: Regional Concentration Indices, Selected RTAs, 2000, 2007–202</w:t>
      </w:r>
      <w:r w:rsidR="00183FE0">
        <w:t>2</w:t>
      </w:r>
      <w:bookmarkEnd w:id="68"/>
    </w:p>
    <w:p w14:paraId="23BDEB6F" w14:textId="4C922FA8" w:rsidR="000B768B" w:rsidRDefault="006A3C99" w:rsidP="00BE5682">
      <w:pPr>
        <w:pStyle w:val="NotesAbbreviations"/>
      </w:pPr>
      <w:r>
        <w:t xml:space="preserve">ASEAN = Association of Southeast Asian Nations, NAFTA = North American Free Trade Agreement, </w:t>
      </w:r>
      <w:r w:rsidR="00EA28CB">
        <w:t xml:space="preserve">RTA = regional trade agreement, </w:t>
      </w:r>
      <w:r w:rsidR="00A15395">
        <w:t xml:space="preserve">SAARC </w:t>
      </w:r>
      <w:r>
        <w:t xml:space="preserve">= South </w:t>
      </w:r>
      <w:r w:rsidR="00AD64D1">
        <w:t>Asia</w:t>
      </w:r>
      <w:r w:rsidR="0071597A">
        <w:t>n</w:t>
      </w:r>
      <w:r>
        <w:t xml:space="preserve"> </w:t>
      </w:r>
      <w:r w:rsidR="00A15395">
        <w:t xml:space="preserve">Association </w:t>
      </w:r>
      <w:r w:rsidR="008C161F">
        <w:t>for</w:t>
      </w:r>
      <w:r w:rsidR="00A15395">
        <w:t xml:space="preserve"> Regional Cooperation.</w:t>
      </w:r>
    </w:p>
    <w:p w14:paraId="541D4FF0" w14:textId="744CF278" w:rsidR="00D332BB" w:rsidRDefault="00D332BB" w:rsidP="00EE43DE">
      <w:pPr>
        <w:pStyle w:val="Notes"/>
      </w:pPr>
      <w:r>
        <w:t>Notes:</w:t>
      </w:r>
      <w:r w:rsidR="00BE5682">
        <w:tab/>
      </w:r>
      <w:r w:rsidR="003128C6">
        <w:t>Groupings</w:t>
      </w:r>
      <w:r w:rsidR="00BE5682">
        <w:t xml:space="preserve"> are missing some members if they are not identified in the Asian Development Bank Multiregional Input–Output Database. ASEAN</w:t>
      </w:r>
      <w:r w:rsidR="003128C6">
        <w:t xml:space="preserve"> </w:t>
      </w:r>
      <w:r w:rsidR="002320B7">
        <w:t xml:space="preserve">includes Brunei Darussalam, Cambodia, Indonesia, Lao People's Democratic Republic, Malaysia, Philippines, Singapore, Thailand, and Viet Nam and </w:t>
      </w:r>
      <w:r w:rsidR="003128C6">
        <w:t>is miss</w:t>
      </w:r>
      <w:r w:rsidR="00E43BF9">
        <w:t xml:space="preserve">ing Myanmar. </w:t>
      </w:r>
      <w:r w:rsidR="00442792">
        <w:t xml:space="preserve">EAEU includes Kazakhstan, the Kyrgyz Republic and the Russian Federation and is missing Armenia (before 2017) and Belarus. </w:t>
      </w:r>
      <w:r w:rsidR="00EE43DE">
        <w:t xml:space="preserve">EU includes Austria, Belgium, Bulgaria, Croatia, Cyprus, Czech Republic, Denmark, Estonia, Finland, France, Germany, Greece, Hungary, Ireland, Italy, Latvia, Lithuania, Luxembourg, </w:t>
      </w:r>
      <w:r w:rsidR="00183FE0">
        <w:t xml:space="preserve">Malta, </w:t>
      </w:r>
      <w:r w:rsidR="00EE43DE">
        <w:t xml:space="preserve">Netherlands, Poland, Portugal, Romania, Slovak Republic, Slovenia, Spain, and Sweden. </w:t>
      </w:r>
      <w:r w:rsidR="00583026">
        <w:t xml:space="preserve">NAFTA includes Canada, Mexico, and the United States. </w:t>
      </w:r>
      <w:r w:rsidR="000F6C8D">
        <w:t xml:space="preserve">SAARC </w:t>
      </w:r>
      <w:r w:rsidR="00BD729A">
        <w:t xml:space="preserve">includes </w:t>
      </w:r>
      <w:r w:rsidR="00BD729A" w:rsidRPr="00BD729A">
        <w:t>Bangladesh, Bhutan, Sri Lanka, India, Maldives, Nepal, and Pakistan</w:t>
      </w:r>
      <w:r w:rsidR="00BD729A">
        <w:t xml:space="preserve"> and </w:t>
      </w:r>
      <w:r w:rsidR="0055389F">
        <w:t xml:space="preserve">is missing Afghanistan. </w:t>
      </w:r>
    </w:p>
    <w:p w14:paraId="0420699D" w14:textId="5CECC6C0" w:rsidR="00CF5BCC" w:rsidRDefault="002348FC" w:rsidP="002348FC">
      <w:pPr>
        <w:pStyle w:val="NotesBottom"/>
      </w:pPr>
      <w:r>
        <w:t xml:space="preserve">Sources: </w:t>
      </w:r>
      <w:r>
        <w:tab/>
        <w:t>Asian Development Bank. Multiregional Input–Output Database</w:t>
      </w:r>
      <w:r w:rsidR="00183FE0">
        <w:t xml:space="preserve"> (July </w:t>
      </w:r>
      <w:r>
        <w:t>202</w:t>
      </w:r>
      <w:r w:rsidR="00303D2F">
        <w:t>3</w:t>
      </w:r>
      <w:r>
        <w:t>);</w:t>
      </w:r>
      <w:r w:rsidRPr="008F0425">
        <w:t xml:space="preserve"> </w:t>
      </w:r>
      <w:r>
        <w:t>Asian Development Bank estimates.</w:t>
      </w:r>
    </w:p>
    <w:p w14:paraId="0E9B7464" w14:textId="1B0A3ED6" w:rsidR="00CF5BCC" w:rsidRDefault="00CF5BCC" w:rsidP="00CF5BCC">
      <w:r>
        <w:t xml:space="preserve">As explained in </w:t>
      </w:r>
      <w:fldSimple w:instr=" REF _Ref79227767 ">
        <w:r w:rsidR="00F03ADA">
          <w:t xml:space="preserve">Box </w:t>
        </w:r>
        <w:r w:rsidR="00F03ADA">
          <w:rPr>
            <w:noProof/>
          </w:rPr>
          <w:t>8</w:t>
        </w:r>
      </w:fldSimple>
      <w:r>
        <w:t xml:space="preserve">, using gross exports to calculate RCI may be misleading due to imported inputs on the one hand and reexporting on the other. </w:t>
      </w:r>
      <w:r w:rsidR="00122593">
        <w:t>In other words, value</w:t>
      </w:r>
      <w:r w:rsidR="00CA30F0">
        <w:t xml:space="preserve"> </w:t>
      </w:r>
      <w:r w:rsidR="00122593">
        <w:t>added from outside the region may be mixed in</w:t>
      </w:r>
      <w:r w:rsidR="00680895">
        <w:t>, a possibility all the more relevant in the age of GVCs</w:t>
      </w:r>
      <w:r w:rsidR="00122593">
        <w:t xml:space="preserve">. </w:t>
      </w:r>
      <w:r w:rsidR="000350BD">
        <w:t xml:space="preserve">Thus, an “end-to-end” RCI </w:t>
      </w:r>
      <w:r w:rsidR="00EE6BF2">
        <w:t>that traces value</w:t>
      </w:r>
      <w:r w:rsidR="00F8336A">
        <w:t xml:space="preserve"> </w:t>
      </w:r>
      <w:r w:rsidR="00EE6BF2">
        <w:t xml:space="preserve">added from creation to final consumption </w:t>
      </w:r>
      <w:r w:rsidR="000350BD">
        <w:t xml:space="preserve">is also presented in </w:t>
      </w:r>
      <w:fldSimple w:instr=" REF _Ref79228298 ">
        <w:r w:rsidR="00F03ADA">
          <w:t xml:space="preserve">Figure </w:t>
        </w:r>
        <w:r w:rsidR="00F03ADA">
          <w:rPr>
            <w:noProof/>
          </w:rPr>
          <w:t>5</w:t>
        </w:r>
        <w:r w:rsidR="00F03ADA">
          <w:t>.</w:t>
        </w:r>
        <w:r w:rsidR="00F03ADA">
          <w:rPr>
            <w:noProof/>
          </w:rPr>
          <w:t>1</w:t>
        </w:r>
      </w:fldSimple>
      <w:r w:rsidR="000350BD">
        <w:t>.</w:t>
      </w:r>
      <w:r w:rsidR="00695938">
        <w:t xml:space="preserve"> </w:t>
      </w:r>
      <w:r w:rsidR="00D33F9E">
        <w:t>This adjusted RCI is significantly lower for the EAEU, so much so that it is only higher than ASEAN's RCI for one year—2016. Nevertheless, it remains generally higher than the RCIs of NAFTA and the EU. For N</w:t>
      </w:r>
      <w:r w:rsidR="00D33F9E" w:rsidRPr="00D33F9E">
        <w:t>AFTA in particular, regional integration is much lower in the end-to-end metric compared with the gross metric, suggesting that</w:t>
      </w:r>
      <w:r w:rsidR="007841A0" w:rsidRPr="00D33F9E">
        <w:t xml:space="preserve"> much of what appears to be intra-NAFTA trade actually involves much outside value</w:t>
      </w:r>
      <w:r w:rsidR="00536AE2" w:rsidRPr="00D33F9E">
        <w:t xml:space="preserve"> </w:t>
      </w:r>
      <w:r w:rsidR="007841A0" w:rsidRPr="00D33F9E">
        <w:t xml:space="preserve">added. </w:t>
      </w:r>
    </w:p>
    <w:p w14:paraId="4F7A30F5" w14:textId="31FF0435" w:rsidR="00D33F9E" w:rsidRPr="00E02DED" w:rsidRDefault="00D33F9E" w:rsidP="00CF5BCC">
      <w:pPr>
        <w:rPr>
          <w:color w:val="FF0000"/>
        </w:rPr>
      </w:pPr>
      <w:r>
        <w:t xml:space="preserve">The rise in the EAEU's RCI from 2015 onwards points to a high degree of enthusiasm for intra-regional trade among its members immediately following its establishment, heralding a promising start for the young bloc. However, this initial burst has tempered somewhat. Several problems face the EAEU, not least of which are the political complications associated with the Russian invasion of Ukraine. As the West moves to isolate the Russian Federation, the other EAEU members find themselves caught between their obligations to the economic union and the vital trading links they have with the rest of the world. Such </w:t>
      </w:r>
      <w:r w:rsidR="006A53FB">
        <w:t>concerns raise</w:t>
      </w:r>
      <w:r>
        <w:t xml:space="preserve"> existential </w:t>
      </w:r>
      <w:r w:rsidR="006A53FB">
        <w:t>questions for</w:t>
      </w:r>
      <w:r>
        <w:t xml:space="preserve"> the EAEU (</w:t>
      </w:r>
      <w:proofErr w:type="spellStart"/>
      <w:r w:rsidRPr="00D33F9E">
        <w:t>Aidarkhanova</w:t>
      </w:r>
      <w:proofErr w:type="spellEnd"/>
      <w:r>
        <w:t xml:space="preserve"> 2023). </w:t>
      </w:r>
    </w:p>
    <w:p w14:paraId="552E0EC7" w14:textId="51E1BF57" w:rsidR="000B768B" w:rsidRDefault="00CA7B8D" w:rsidP="00151482">
      <w:r>
        <w:lastRenderedPageBreak/>
        <w:t xml:space="preserve">Turning to the sector level, </w:t>
      </w:r>
      <w:r w:rsidR="00E16975">
        <w:t xml:space="preserve">regional integration may be </w:t>
      </w:r>
      <w:r>
        <w:t xml:space="preserve">visualized </w:t>
      </w:r>
      <w:r w:rsidR="00E16975">
        <w:t xml:space="preserve">with a skyline chart, whose construction is described in </w:t>
      </w:r>
      <w:fldSimple w:instr=" REF _Ref79240185 ">
        <w:r w:rsidR="00F03ADA">
          <w:t xml:space="preserve">Box </w:t>
        </w:r>
        <w:r w:rsidR="00F03ADA">
          <w:rPr>
            <w:noProof/>
          </w:rPr>
          <w:t>9</w:t>
        </w:r>
      </w:fldSimple>
      <w:r w:rsidR="00E16975">
        <w:t xml:space="preserve">. </w:t>
      </w:r>
      <w:r w:rsidR="00182929">
        <w:t xml:space="preserve">It represents each sector as a “tower” whose width is its share in the region’s output and whose height is its output expressed as a share of the portion induced by domestic demand. </w:t>
      </w:r>
      <w:r w:rsidR="00180A28">
        <w:t>The portion of the tower</w:t>
      </w:r>
      <w:r w:rsidR="00161CEE">
        <w:t xml:space="preserve"> </w:t>
      </w:r>
      <w:r w:rsidR="00180A28">
        <w:t xml:space="preserve">corresponding to </w:t>
      </w:r>
      <w:r w:rsidR="00161CEE">
        <w:t xml:space="preserve">the output </w:t>
      </w:r>
      <w:r w:rsidR="00D265CA">
        <w:t>suppressed</w:t>
      </w:r>
      <w:r w:rsidR="00161CEE">
        <w:t xml:space="preserve"> due to imports is also indicated. </w:t>
      </w:r>
      <w:r w:rsidR="00151482">
        <w:t>The skyline chart’s main purpose is to show where the region is self-sufficient in, these being</w:t>
      </w:r>
      <w:r w:rsidR="00E81A4E">
        <w:t xml:space="preserve"> the</w:t>
      </w:r>
      <w:r w:rsidR="00151482">
        <w:t xml:space="preserve"> sectors for which its own internal demand is enough to exhaust </w:t>
      </w:r>
      <w:r w:rsidR="001B7B32">
        <w:t xml:space="preserve">its </w:t>
      </w:r>
      <w:r w:rsidR="00151482">
        <w:t xml:space="preserve">output. </w:t>
      </w:r>
    </w:p>
    <w:tbl>
      <w:tblPr>
        <w:tblStyle w:val="TableGrid"/>
        <w:tblW w:w="0" w:type="auto"/>
        <w:tblLook w:val="04A0" w:firstRow="1" w:lastRow="0" w:firstColumn="1" w:lastColumn="0" w:noHBand="0" w:noVBand="1"/>
      </w:tblPr>
      <w:tblGrid>
        <w:gridCol w:w="9016"/>
      </w:tblGrid>
      <w:tr w:rsidR="00DF3694" w14:paraId="1F9A9209" w14:textId="77777777" w:rsidTr="00DE56CF">
        <w:tc>
          <w:tcPr>
            <w:tcW w:w="9016" w:type="dxa"/>
          </w:tcPr>
          <w:p w14:paraId="676A57F9" w14:textId="7E301419" w:rsidR="00DF3694" w:rsidRDefault="00DF3694" w:rsidP="00DF3694">
            <w:pPr>
              <w:pStyle w:val="Caption"/>
            </w:pPr>
            <w:bookmarkStart w:id="69" w:name="_Ref79240185"/>
            <w:bookmarkStart w:id="70" w:name="_Ref79240182"/>
            <w:bookmarkStart w:id="71" w:name="_Toc141647979"/>
            <w:r>
              <w:t xml:space="preserve">Box </w:t>
            </w:r>
            <w:fldSimple w:instr=" SEQ Box \* ARABIC ">
              <w:r w:rsidR="00F03ADA">
                <w:rPr>
                  <w:noProof/>
                </w:rPr>
                <w:t>9</w:t>
              </w:r>
            </w:fldSimple>
            <w:bookmarkEnd w:id="69"/>
            <w:r>
              <w:t>: Constructing the Skyline Chart</w:t>
            </w:r>
            <w:bookmarkEnd w:id="70"/>
            <w:bookmarkEnd w:id="71"/>
          </w:p>
          <w:p w14:paraId="3DDD535A" w14:textId="0755DAC3" w:rsidR="00DB0F9C" w:rsidRPr="00DE56CF" w:rsidRDefault="00DB0F9C" w:rsidP="00DE56CF">
            <w:pPr>
              <w:pStyle w:val="Box"/>
            </w:pPr>
            <w:r w:rsidRPr="00DE56CF">
              <w:t>The skyline chart visualizes the industrial structure of an economy and the extent to which it relies on imports (METI, 2011; WTO, 2011b). Each sector is represented by a “tower”, as in</w:t>
            </w:r>
            <w:r w:rsidR="008B2DD9" w:rsidRPr="00DE56CF">
              <w:t xml:space="preserve"> the figure.</w:t>
            </w:r>
            <w:r w:rsidRPr="00DE56CF">
              <w:t xml:space="preserve"> The width of the tower measures the share of that sector in the economy’s output. The height of the tower measures output induced by demand for that sector, computed using data from an input–output table. Output induced by domestic demand is normalized at 100%, with anything above it corresponding to output induced by export demand. Part of the tower is shaded red to indicate the reduction in output induced by imports, which, being negative, starts from the top of the tower and extends downward. </w:t>
            </w:r>
          </w:p>
          <w:bookmarkStart w:id="72" w:name="_Ref70077018"/>
          <w:p w14:paraId="6ED38446" w14:textId="710C91E3" w:rsidR="00DB0F9C" w:rsidRPr="008B2DD9" w:rsidRDefault="00DB0F9C" w:rsidP="008B2DD9">
            <w:pPr>
              <w:pStyle w:val="Box"/>
              <w:jc w:val="center"/>
              <w:rPr>
                <w:b/>
                <w:bCs/>
              </w:rPr>
            </w:pPr>
            <w:r w:rsidRPr="008B2DD9">
              <w:rPr>
                <w:b/>
                <w:bCs/>
                <w:noProof/>
              </w:rPr>
              <mc:AlternateContent>
                <mc:Choice Requires="wpg">
                  <w:drawing>
                    <wp:anchor distT="0" distB="0" distL="114300" distR="114300" simplePos="0" relativeHeight="251704320" behindDoc="0" locked="0" layoutInCell="1" allowOverlap="1" wp14:anchorId="5212A871" wp14:editId="30D4D589">
                      <wp:simplePos x="0" y="0"/>
                      <wp:positionH relativeFrom="column">
                        <wp:posOffset>344704</wp:posOffset>
                      </wp:positionH>
                      <wp:positionV relativeFrom="paragraph">
                        <wp:posOffset>353940</wp:posOffset>
                      </wp:positionV>
                      <wp:extent cx="4378488" cy="2331424"/>
                      <wp:effectExtent l="0" t="12700" r="0" b="0"/>
                      <wp:wrapNone/>
                      <wp:docPr id="199" name="Group 199"/>
                      <wp:cNvGraphicFramePr/>
                      <a:graphic xmlns:a="http://schemas.openxmlformats.org/drawingml/2006/main">
                        <a:graphicData uri="http://schemas.microsoft.com/office/word/2010/wordprocessingGroup">
                          <wpg:wgp>
                            <wpg:cNvGrpSpPr/>
                            <wpg:grpSpPr>
                              <a:xfrm>
                                <a:off x="0" y="0"/>
                                <a:ext cx="4378488" cy="2331424"/>
                                <a:chOff x="-11288" y="0"/>
                                <a:chExt cx="4378488" cy="2331424"/>
                              </a:xfrm>
                            </wpg:grpSpPr>
                            <wpg:grpSp>
                              <wpg:cNvPr id="192" name="Group 192"/>
                              <wpg:cNvGrpSpPr/>
                              <wpg:grpSpPr>
                                <a:xfrm>
                                  <a:off x="508000" y="0"/>
                                  <a:ext cx="3859200" cy="2331424"/>
                                  <a:chOff x="237600" y="0"/>
                                  <a:chExt cx="3859200" cy="2331424"/>
                                </a:xfrm>
                              </wpg:grpSpPr>
                              <wpg:grpSp>
                                <wpg:cNvPr id="116" name="Group 116"/>
                                <wpg:cNvGrpSpPr/>
                                <wpg:grpSpPr>
                                  <a:xfrm>
                                    <a:off x="1504666" y="7198"/>
                                    <a:ext cx="1216684" cy="1804683"/>
                                    <a:chOff x="-134" y="-2"/>
                                    <a:chExt cx="1216684" cy="1804683"/>
                                  </a:xfrm>
                                </wpg:grpSpPr>
                                <wps:wsp>
                                  <wps:cNvPr id="114" name="Rectangle 114"/>
                                  <wps:cNvSpPr/>
                                  <wps:spPr>
                                    <a:xfrm>
                                      <a:off x="-67" y="459934"/>
                                      <a:ext cx="1216617" cy="1344747"/>
                                    </a:xfrm>
                                    <a:prstGeom prst="rect">
                                      <a:avLst/>
                                    </a:prstGeom>
                                    <a:solidFill>
                                      <a:srgbClr val="45A6D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34" y="-2"/>
                                      <a:ext cx="1216617" cy="564219"/>
                                    </a:xfrm>
                                    <a:prstGeom prst="rect">
                                      <a:avLst/>
                                    </a:prstGeom>
                                    <a:solidFill>
                                      <a:srgbClr val="EF7E33"/>
                                    </a:solidFill>
                                    <a:ln>
                                      <a:solidFill>
                                        <a:srgbClr val="ED68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Arrow Connector 117"/>
                                <wps:cNvCnPr/>
                                <wps:spPr>
                                  <a:xfrm>
                                    <a:off x="1540800" y="2021900"/>
                                    <a:ext cx="1154380" cy="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 name="Text Box 118"/>
                                <wps:cNvSpPr txBox="1"/>
                                <wps:spPr>
                                  <a:xfrm>
                                    <a:off x="1389600" y="2023200"/>
                                    <a:ext cx="1479479" cy="308224"/>
                                  </a:xfrm>
                                  <a:prstGeom prst="rect">
                                    <a:avLst/>
                                  </a:prstGeom>
                                  <a:noFill/>
                                  <a:ln w="6350">
                                    <a:noFill/>
                                  </a:ln>
                                </wps:spPr>
                                <wps:txbx>
                                  <w:txbxContent>
                                    <w:p w14:paraId="6227AD32" w14:textId="77777777" w:rsidR="00DB0F9C" w:rsidRPr="00034100" w:rsidRDefault="00DB0F9C" w:rsidP="00DB0F9C">
                                      <w:pPr>
                                        <w:spacing w:after="0" w:line="240" w:lineRule="auto"/>
                                        <w:jc w:val="center"/>
                                        <w:rPr>
                                          <w:sz w:val="20"/>
                                          <w:szCs w:val="20"/>
                                        </w:rPr>
                                      </w:pPr>
                                      <w:r w:rsidRPr="00034100">
                                        <w:rPr>
                                          <w:sz w:val="20"/>
                                          <w:szCs w:val="20"/>
                                        </w:rPr>
                                        <w:t>Share in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traight Connector 119"/>
                                <wps:cNvCnPr/>
                                <wps:spPr>
                                  <a:xfrm>
                                    <a:off x="1303200" y="963100"/>
                                    <a:ext cx="169481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 name="Text Box 120"/>
                                <wps:cNvSpPr txBox="1"/>
                                <wps:spPr>
                                  <a:xfrm>
                                    <a:off x="828000" y="820800"/>
                                    <a:ext cx="518160" cy="307975"/>
                                  </a:xfrm>
                                  <a:prstGeom prst="rect">
                                    <a:avLst/>
                                  </a:prstGeom>
                                  <a:noFill/>
                                  <a:ln w="6350">
                                    <a:noFill/>
                                  </a:ln>
                                </wps:spPr>
                                <wps:txbx>
                                  <w:txbxContent>
                                    <w:p w14:paraId="65ED9EB2" w14:textId="77777777" w:rsidR="00DB0F9C" w:rsidRPr="00034100" w:rsidRDefault="00DB0F9C" w:rsidP="00DB0F9C">
                                      <w:pPr>
                                        <w:spacing w:after="0" w:line="240" w:lineRule="auto"/>
                                        <w:jc w:val="center"/>
                                        <w:rPr>
                                          <w:sz w:val="22"/>
                                          <w:szCs w:val="22"/>
                                        </w:rPr>
                                      </w:pPr>
                                      <w:r>
                                        <w:rPr>
                                          <w:sz w:val="22"/>
                                          <w:szCs w:val="22"/>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Arrow Connector 121"/>
                                <wps:cNvCnPr/>
                                <wps:spPr>
                                  <a:xfrm rot="5400000">
                                    <a:off x="2474250" y="1410585"/>
                                    <a:ext cx="811527" cy="1269"/>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2" name="Text Box 122"/>
                                <wps:cNvSpPr txBox="1"/>
                                <wps:spPr>
                                  <a:xfrm>
                                    <a:off x="2893864" y="1158862"/>
                                    <a:ext cx="1202936" cy="497910"/>
                                  </a:xfrm>
                                  <a:prstGeom prst="rect">
                                    <a:avLst/>
                                  </a:prstGeom>
                                  <a:noFill/>
                                  <a:ln w="6350">
                                    <a:noFill/>
                                  </a:ln>
                                </wps:spPr>
                                <wps:txbx>
                                  <w:txbxContent>
                                    <w:p w14:paraId="31C1528E" w14:textId="77777777" w:rsidR="00DB0F9C" w:rsidRPr="00034100" w:rsidRDefault="00DB0F9C" w:rsidP="00DB0F9C">
                                      <w:pPr>
                                        <w:spacing w:after="0" w:line="240" w:lineRule="auto"/>
                                        <w:rPr>
                                          <w:sz w:val="20"/>
                                          <w:szCs w:val="20"/>
                                        </w:rPr>
                                      </w:pPr>
                                      <w:r w:rsidRPr="00034100">
                                        <w:rPr>
                                          <w:sz w:val="20"/>
                                          <w:szCs w:val="20"/>
                                        </w:rPr>
                                        <w:t>Domestic demand-induced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2893863" y="136760"/>
                                    <a:ext cx="1202639" cy="497840"/>
                                  </a:xfrm>
                                  <a:prstGeom prst="rect">
                                    <a:avLst/>
                                  </a:prstGeom>
                                  <a:noFill/>
                                  <a:ln w="6350">
                                    <a:noFill/>
                                  </a:ln>
                                </wps:spPr>
                                <wps:txbx>
                                  <w:txbxContent>
                                    <w:p w14:paraId="0082DD5A" w14:textId="77777777" w:rsidR="00DB0F9C" w:rsidRPr="00034100" w:rsidRDefault="00DB0F9C" w:rsidP="00DB0F9C">
                                      <w:pPr>
                                        <w:spacing w:after="0" w:line="240" w:lineRule="auto"/>
                                        <w:rPr>
                                          <w:sz w:val="20"/>
                                          <w:szCs w:val="20"/>
                                        </w:rPr>
                                      </w:pPr>
                                      <w:r w:rsidRPr="00034100">
                                        <w:rPr>
                                          <w:sz w:val="20"/>
                                          <w:szCs w:val="20"/>
                                        </w:rPr>
                                        <w:t>Export demand-induced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Straight Arrow Connector 125"/>
                                <wps:cNvCnPr/>
                                <wps:spPr>
                                  <a:xfrm rot="5400000">
                                    <a:off x="1097350" y="290950"/>
                                    <a:ext cx="516137" cy="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237600" y="0"/>
                                    <a:ext cx="1064663" cy="571500"/>
                                  </a:xfrm>
                                  <a:prstGeom prst="rect">
                                    <a:avLst/>
                                  </a:prstGeom>
                                  <a:noFill/>
                                  <a:ln w="6350">
                                    <a:noFill/>
                                  </a:ln>
                                </wps:spPr>
                                <wps:txbx>
                                  <w:txbxContent>
                                    <w:p w14:paraId="3B2F9AB9" w14:textId="77777777" w:rsidR="00DB0F9C" w:rsidRPr="00034100" w:rsidRDefault="00DB0F9C" w:rsidP="00DB0F9C">
                                      <w:pPr>
                                        <w:spacing w:after="0" w:line="240" w:lineRule="auto"/>
                                        <w:jc w:val="right"/>
                                        <w:rPr>
                                          <w:sz w:val="20"/>
                                          <w:szCs w:val="20"/>
                                        </w:rPr>
                                      </w:pPr>
                                      <w:r>
                                        <w:rPr>
                                          <w:sz w:val="20"/>
                                          <w:szCs w:val="20"/>
                                        </w:rPr>
                                        <w:t>Import</w:t>
                                      </w:r>
                                      <w:r w:rsidRPr="00034100">
                                        <w:rPr>
                                          <w:sz w:val="20"/>
                                          <w:szCs w:val="20"/>
                                        </w:rPr>
                                        <w:t xml:space="preserve"> demand-induced output</w:t>
                                      </w:r>
                                      <w:r>
                                        <w:rPr>
                                          <w:sz w:val="20"/>
                                          <w:szCs w:val="20"/>
                                        </w:rPr>
                                        <w:t xml:space="preserve"> (negative)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Straight Arrow Connector 127"/>
                                <wps:cNvCnPr/>
                                <wps:spPr>
                                  <a:xfrm>
                                    <a:off x="2882100" y="11000"/>
                                    <a:ext cx="0" cy="91186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197" name="Straight Arrow Connector 197"/>
                              <wps:cNvCnPr/>
                              <wps:spPr>
                                <a:xfrm>
                                  <a:off x="963789" y="627944"/>
                                  <a:ext cx="0" cy="1187189"/>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8" name="Text Box 198"/>
                              <wps:cNvSpPr txBox="1"/>
                              <wps:spPr>
                                <a:xfrm>
                                  <a:off x="-11288" y="715436"/>
                                  <a:ext cx="965624" cy="497838"/>
                                </a:xfrm>
                                <a:prstGeom prst="rect">
                                  <a:avLst/>
                                </a:prstGeom>
                                <a:noFill/>
                                <a:ln w="6350">
                                  <a:noFill/>
                                </a:ln>
                              </wps:spPr>
                              <wps:txbx>
                                <w:txbxContent>
                                  <w:p w14:paraId="7F5FC9AB" w14:textId="77777777" w:rsidR="00DB0F9C" w:rsidRPr="00034100" w:rsidRDefault="00DB0F9C" w:rsidP="00DB0F9C">
                                    <w:pPr>
                                      <w:spacing w:after="0" w:line="240" w:lineRule="auto"/>
                                      <w:jc w:val="right"/>
                                      <w:rPr>
                                        <w:sz w:val="20"/>
                                        <w:szCs w:val="20"/>
                                      </w:rPr>
                                    </w:pPr>
                                    <w:r>
                                      <w:rPr>
                                        <w:sz w:val="20"/>
                                        <w:szCs w:val="20"/>
                                      </w:rPr>
                                      <w:t>Self-sufficiency ratio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212A871" id="Group 199" o:spid="_x0000_s1026" style="position:absolute;left:0;text-align:left;margin-left:27.15pt;margin-top:27.85pt;width:344.75pt;height:183.6pt;z-index:251704320;mso-width-relative:margin" coordorigin="-112" coordsize="43784,233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">
                      <v:group id="Group 192" o:spid="_x0000_s1027" style="position:absolute;left:5080;width:38592;height:23314" coordorigin="2376" coordsize="38592,233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">
                        <v:group id="Group 116" o:spid="_x0000_s1028" style="position:absolute;left:15046;top:71;width:12167;height:18047" coordorigin="-1" coordsize="12166,180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GzzyAAAAOE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">
                          <v:rect id="Rectangle 114" o:spid="_x0000_s1029" style="position:absolute;top:4599;width:12165;height:134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" fillcolor="#45a6d3" strokecolor="#1f3763 [1604]" strokeweight="1pt"/>
                          <v:rect id="Rectangle 115" o:spid="_x0000_s1030" style="position:absolute;left:-1;width:12165;height:56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" fillcolor="#ef7e33" strokecolor="#ed6833" strokeweight="1pt"/>
                        </v:group>
                        <v:shapetype id="_x0000_t32" coordsize="21600,21600" o:spt="32" o:oned="t" path="m,l21600,21600e" filled="f">
                          <v:path arrowok="t" fillok="f" o:connecttype="none"/>
                          <o:lock v:ext="edit" shapetype="t"/>
                        </v:shapetype>
                        <v:shape id="Straight Arrow Connector 117" o:spid="_x0000_s1031" type="#_x0000_t32" style="position:absolute;left:15408;top:20219;width:1154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" strokecolor="black [3213]" strokeweight="1.5pt">
                          <v:stroke startarrow="block" endarrow="block" joinstyle="miter"/>
                        </v:shape>
                        <v:shapetype id="_x0000_t202" coordsize="21600,21600" o:spt="202" path="m,l,21600r21600,l21600,xe">
                          <v:stroke joinstyle="miter"/>
                          <v:path gradientshapeok="t" o:connecttype="rect"/>
                        </v:shapetype>
                        <v:shape id="Text Box 118" o:spid="_x0000_s1032" type="#_x0000_t202" style="position:absolute;left:13896;top:20232;width:14794;height:30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" filled="f" stroked="f" strokeweight=".5pt">
                          <v:textbox>
                            <w:txbxContent>
                              <w:p w14:paraId="6227AD32" w14:textId="77777777" w:rsidR="00DB0F9C" w:rsidRPr="00034100" w:rsidRDefault="00DB0F9C" w:rsidP="00DB0F9C">
                                <w:pPr>
                                  <w:spacing w:after="0" w:line="240" w:lineRule="auto"/>
                                  <w:jc w:val="center"/>
                                  <w:rPr>
                                    <w:sz w:val="20"/>
                                    <w:szCs w:val="20"/>
                                  </w:rPr>
                                </w:pPr>
                                <w:r w:rsidRPr="00034100">
                                  <w:rPr>
                                    <w:sz w:val="20"/>
                                    <w:szCs w:val="20"/>
                                  </w:rPr>
                                  <w:t>Share in output</w:t>
                                </w:r>
                              </w:p>
                            </w:txbxContent>
                          </v:textbox>
                        </v:shape>
                        <v:line id="Straight Connector 119" o:spid="_x0000_s1033" style="position:absolute;visibility:visible;mso-wrap-style:square" from="13032,9631" to="29980,9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" strokecolor="black [3213]" strokeweight="2.25pt">
                          <v:stroke joinstyle="miter"/>
                        </v:line>
                        <v:shape id="Text Box 120" o:spid="_x0000_s1034" type="#_x0000_t202" style="position:absolute;left:8280;top:8208;width:5181;height:3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" filled="f" stroked="f" strokeweight=".5pt">
                          <v:textbox>
                            <w:txbxContent>
                              <w:p w14:paraId="65ED9EB2" w14:textId="77777777" w:rsidR="00DB0F9C" w:rsidRPr="00034100" w:rsidRDefault="00DB0F9C" w:rsidP="00DB0F9C">
                                <w:pPr>
                                  <w:spacing w:after="0" w:line="240" w:lineRule="auto"/>
                                  <w:jc w:val="center"/>
                                  <w:rPr>
                                    <w:sz w:val="22"/>
                                    <w:szCs w:val="22"/>
                                  </w:rPr>
                                </w:pPr>
                                <w:r>
                                  <w:rPr>
                                    <w:sz w:val="22"/>
                                    <w:szCs w:val="22"/>
                                  </w:rPr>
                                  <w:t>100%</w:t>
                                </w:r>
                              </w:p>
                            </w:txbxContent>
                          </v:textbox>
                        </v:shape>
                        <v:shape id="Straight Arrow Connector 121" o:spid="_x0000_s1035" type="#_x0000_t32" style="position:absolute;left:24742;top:14105;width:8115;height:13;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" strokecolor="black [3213]" strokeweight="1.5pt">
                          <v:stroke startarrow="block" endarrow="block" joinstyle="miter"/>
                        </v:shape>
                        <v:shape id="Text Box 122" o:spid="_x0000_s1036" type="#_x0000_t202" style="position:absolute;left:28938;top:11588;width:12030;height:4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" filled="f" stroked="f" strokeweight=".5pt">
                          <v:textbox>
                            <w:txbxContent>
                              <w:p w14:paraId="31C1528E" w14:textId="77777777" w:rsidR="00DB0F9C" w:rsidRPr="00034100" w:rsidRDefault="00DB0F9C" w:rsidP="00DB0F9C">
                                <w:pPr>
                                  <w:spacing w:after="0" w:line="240" w:lineRule="auto"/>
                                  <w:rPr>
                                    <w:sz w:val="20"/>
                                    <w:szCs w:val="20"/>
                                  </w:rPr>
                                </w:pPr>
                                <w:r w:rsidRPr="00034100">
                                  <w:rPr>
                                    <w:sz w:val="20"/>
                                    <w:szCs w:val="20"/>
                                  </w:rPr>
                                  <w:t>Domestic demand-induced output</w:t>
                                </w:r>
                              </w:p>
                            </w:txbxContent>
                          </v:textbox>
                        </v:shape>
                        <v:shape id="Text Box 124" o:spid="_x0000_s1037" type="#_x0000_t202" style="position:absolute;left:28938;top:1367;width:12027;height:4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KES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" filled="f" stroked="f" strokeweight=".5pt">
                          <v:textbox>
                            <w:txbxContent>
                              <w:p w14:paraId="0082DD5A" w14:textId="77777777" w:rsidR="00DB0F9C" w:rsidRPr="00034100" w:rsidRDefault="00DB0F9C" w:rsidP="00DB0F9C">
                                <w:pPr>
                                  <w:spacing w:after="0" w:line="240" w:lineRule="auto"/>
                                  <w:rPr>
                                    <w:sz w:val="20"/>
                                    <w:szCs w:val="20"/>
                                  </w:rPr>
                                </w:pPr>
                                <w:r w:rsidRPr="00034100">
                                  <w:rPr>
                                    <w:sz w:val="20"/>
                                    <w:szCs w:val="20"/>
                                  </w:rPr>
                                  <w:t>Export demand-induced output</w:t>
                                </w:r>
                              </w:p>
                            </w:txbxContent>
                          </v:textbox>
                        </v:shape>
                        <v:shape id="Straight Arrow Connector 125" o:spid="_x0000_s1038" type="#_x0000_t32" style="position:absolute;left:10973;top:2909;width:5162;height:0;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" strokecolor="black [3213]" strokeweight="1.5pt">
                          <v:stroke startarrow="block" endarrow="block" joinstyle="miter"/>
                        </v:shape>
                        <v:shape id="Text Box 126" o:spid="_x0000_s1039" type="#_x0000_t202" style="position:absolute;left:2376;width:10646;height:5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" filled="f" stroked="f" strokeweight=".5pt">
                          <v:textbox>
                            <w:txbxContent>
                              <w:p w14:paraId="3B2F9AB9" w14:textId="77777777" w:rsidR="00DB0F9C" w:rsidRPr="00034100" w:rsidRDefault="00DB0F9C" w:rsidP="00DB0F9C">
                                <w:pPr>
                                  <w:spacing w:after="0" w:line="240" w:lineRule="auto"/>
                                  <w:jc w:val="right"/>
                                  <w:rPr>
                                    <w:sz w:val="20"/>
                                    <w:szCs w:val="20"/>
                                  </w:rPr>
                                </w:pPr>
                                <w:r>
                                  <w:rPr>
                                    <w:sz w:val="20"/>
                                    <w:szCs w:val="20"/>
                                  </w:rPr>
                                  <w:t>Import</w:t>
                                </w:r>
                                <w:r w:rsidRPr="00034100">
                                  <w:rPr>
                                    <w:sz w:val="20"/>
                                    <w:szCs w:val="20"/>
                                  </w:rPr>
                                  <w:t xml:space="preserve"> demand-induced output</w:t>
                                </w:r>
                                <w:r>
                                  <w:rPr>
                                    <w:sz w:val="20"/>
                                    <w:szCs w:val="20"/>
                                  </w:rPr>
                                  <w:t xml:space="preserve"> (negative)</w:t>
                                </w:r>
                              </w:p>
                            </w:txbxContent>
                          </v:textbox>
                        </v:shape>
                        <v:shape id="Straight Arrow Connector 127" o:spid="_x0000_s1040" type="#_x0000_t32" style="position:absolute;left:28821;top:110;width:0;height:91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" strokecolor="black [3213]" strokeweight="1.5pt">
                          <v:stroke startarrow="block" endarrow="block" joinstyle="miter"/>
                        </v:shape>
                      </v:group>
                      <v:shape id="Straight Arrow Connector 197" o:spid="_x0000_s1041" type="#_x0000_t32" style="position:absolute;left:9637;top:6279;width:0;height:1187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" strokecolor="black [3213]" strokeweight="1.5pt">
                        <v:stroke startarrow="block" endarrow="block" joinstyle="miter"/>
                      </v:shape>
                      <v:shape id="Text Box 198" o:spid="_x0000_s1042" type="#_x0000_t202" style="position:absolute;left:-112;top:7154;width:9655;height:4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" filled="f" stroked="f" strokeweight=".5pt">
                        <v:textbox>
                          <w:txbxContent>
                            <w:p w14:paraId="7F5FC9AB" w14:textId="77777777" w:rsidR="00DB0F9C" w:rsidRPr="00034100" w:rsidRDefault="00DB0F9C" w:rsidP="00DB0F9C">
                              <w:pPr>
                                <w:spacing w:after="0" w:line="240" w:lineRule="auto"/>
                                <w:jc w:val="right"/>
                                <w:rPr>
                                  <w:sz w:val="20"/>
                                  <w:szCs w:val="20"/>
                                </w:rPr>
                              </w:pPr>
                              <w:r>
                                <w:rPr>
                                  <w:sz w:val="20"/>
                                  <w:szCs w:val="20"/>
                                </w:rPr>
                                <w:t>Self-sufficiency ratio</w:t>
                              </w:r>
                            </w:p>
                          </w:txbxContent>
                        </v:textbox>
                      </v:shape>
                    </v:group>
                  </w:pict>
                </mc:Fallback>
              </mc:AlternateContent>
            </w:r>
            <w:bookmarkEnd w:id="72"/>
            <w:r w:rsidRPr="008B2DD9">
              <w:rPr>
                <w:rFonts w:eastAsia="Ideal Sans Light"/>
                <w:b/>
                <w:bCs/>
              </w:rPr>
              <w:t>A Tower in a Skyline Chart</w:t>
            </w:r>
          </w:p>
          <w:p w14:paraId="438676CD" w14:textId="77777777" w:rsidR="00DB0F9C" w:rsidRDefault="00DB0F9C" w:rsidP="008B2DD9">
            <w:pPr>
              <w:pStyle w:val="Box"/>
            </w:pPr>
          </w:p>
          <w:p w14:paraId="18887C9A" w14:textId="77777777" w:rsidR="00DB0F9C" w:rsidRDefault="00DB0F9C" w:rsidP="008B2DD9">
            <w:pPr>
              <w:pStyle w:val="Box"/>
            </w:pPr>
          </w:p>
          <w:p w14:paraId="4720E986" w14:textId="77777777" w:rsidR="00DB0F9C" w:rsidRDefault="00DB0F9C" w:rsidP="008B2DD9">
            <w:pPr>
              <w:pStyle w:val="Box"/>
            </w:pPr>
          </w:p>
          <w:p w14:paraId="54ABA1C1" w14:textId="77777777" w:rsidR="00DB0F9C" w:rsidRDefault="00DB0F9C" w:rsidP="008B2DD9">
            <w:pPr>
              <w:pStyle w:val="Box"/>
            </w:pPr>
          </w:p>
          <w:p w14:paraId="57694E6A" w14:textId="77777777" w:rsidR="00DB0F9C" w:rsidRDefault="00DB0F9C" w:rsidP="008B2DD9">
            <w:pPr>
              <w:pStyle w:val="Box"/>
            </w:pPr>
          </w:p>
          <w:p w14:paraId="7DF22886" w14:textId="5ECD3B3E" w:rsidR="00DB0F9C" w:rsidRDefault="00DB0F9C" w:rsidP="008B2DD9">
            <w:pPr>
              <w:pStyle w:val="Box"/>
            </w:pPr>
          </w:p>
          <w:p w14:paraId="02669970" w14:textId="3518FDFC" w:rsidR="0038598E" w:rsidRDefault="0038598E" w:rsidP="008B2DD9">
            <w:pPr>
              <w:pStyle w:val="Box"/>
            </w:pPr>
          </w:p>
          <w:p w14:paraId="1AD46B0B" w14:textId="621B3BD8" w:rsidR="0038598E" w:rsidRDefault="0038598E" w:rsidP="008B2DD9">
            <w:pPr>
              <w:pStyle w:val="Box"/>
            </w:pPr>
          </w:p>
          <w:p w14:paraId="49D3A5CF" w14:textId="77777777" w:rsidR="0038598E" w:rsidRDefault="0038598E" w:rsidP="008B2DD9">
            <w:pPr>
              <w:pStyle w:val="Box"/>
            </w:pPr>
          </w:p>
          <w:p w14:paraId="4E098BB9" w14:textId="77777777" w:rsidR="00DB0F9C" w:rsidRDefault="00DB0F9C" w:rsidP="008B2DD9">
            <w:pPr>
              <w:pStyle w:val="Box"/>
            </w:pPr>
          </w:p>
          <w:p w14:paraId="05DA9B1A" w14:textId="4C4579A7" w:rsidR="00DB0F9C" w:rsidRDefault="00DB0F9C" w:rsidP="0038598E">
            <w:pPr>
              <w:pStyle w:val="NotesBottom"/>
            </w:pPr>
            <w:r>
              <w:t xml:space="preserve">Source: </w:t>
            </w:r>
            <w:r w:rsidR="0038598E">
              <w:tab/>
            </w:r>
            <w:r>
              <w:t>Authors’ drawing based on World Trade Organization (2011b).</w:t>
            </w:r>
          </w:p>
          <w:p w14:paraId="3D98114F" w14:textId="77777777" w:rsidR="009202D9" w:rsidRPr="00DE56CF" w:rsidRDefault="009202D9" w:rsidP="00DE56CF">
            <w:pPr>
              <w:pStyle w:val="Box"/>
            </w:pPr>
            <w:r w:rsidRPr="00DE56CF">
              <w:t xml:space="preserve">If the blue region of the tower is above the 100% line, then the sector it represents is said to be self-sufficient. That is, its own output is enough to satisfy its induced domestic demand. If it is below the 100% line, however, then domestic output is insufficient and the economy has had to import the shortfall in supply. The actual height of the blue region is called the sector’s self-sufficiency ratio. </w:t>
            </w:r>
          </w:p>
          <w:p w14:paraId="2E7CF15D" w14:textId="3728E14B" w:rsidR="00DB0F9C" w:rsidRPr="00DE56CF" w:rsidRDefault="00DB0F9C" w:rsidP="00DE56CF">
            <w:pPr>
              <w:pStyle w:val="Box"/>
            </w:pPr>
            <w:r w:rsidRPr="00DE56CF">
              <w:t xml:space="preserve">In this chapter, the skyline chart is constructed at the regional level. Thus, the underlying input–output table is aggregated at the regional level,  meaning imports and exports now refer to flows going in and out of the region while flows between economies within the region are treated as “domestic” flows. Self-sufficiency then refers to the ability of the region to supply its induced demand without having to import from outside the region. </w:t>
            </w:r>
          </w:p>
          <w:p w14:paraId="0A444A1D" w14:textId="77777777" w:rsidR="00DB0F9C" w:rsidRPr="00DB0F9C" w:rsidRDefault="00DB0F9C" w:rsidP="00DB0F9C">
            <w:pPr>
              <w:pStyle w:val="BoxReferences"/>
              <w:rPr>
                <w:b/>
                <w:bCs/>
              </w:rPr>
            </w:pPr>
            <w:r w:rsidRPr="00DB0F9C">
              <w:rPr>
                <w:b/>
                <w:bCs/>
              </w:rPr>
              <w:t>References</w:t>
            </w:r>
          </w:p>
          <w:p w14:paraId="78DBFF64" w14:textId="5E2EDBB4" w:rsidR="00DB0F9C" w:rsidRDefault="009C6903" w:rsidP="00DB0F9C">
            <w:pPr>
              <w:pStyle w:val="BoxReferences"/>
              <w:rPr>
                <w:rFonts w:ascii="Calibri" w:hAnsi="Calibri" w:cs="Calibri"/>
              </w:rPr>
            </w:pPr>
            <w:r>
              <w:rPr>
                <w:rFonts w:ascii="Calibri" w:hAnsi="Calibri" w:cs="Calibri"/>
              </w:rPr>
              <w:lastRenderedPageBreak/>
              <w:t>METI (</w:t>
            </w:r>
            <w:r w:rsidR="00DB0F9C">
              <w:rPr>
                <w:rFonts w:ascii="Calibri" w:hAnsi="Calibri" w:cs="Calibri"/>
              </w:rPr>
              <w:t xml:space="preserve">Japan Ministry of Economy, Trade and Industry). 2011. </w:t>
            </w:r>
            <w:r w:rsidR="00DB0F9C">
              <w:rPr>
                <w:rFonts w:ascii="Calibri" w:hAnsi="Calibri" w:cs="Calibri"/>
                <w:i/>
                <w:iCs/>
              </w:rPr>
              <w:t>White Paper on International Economy and Trade,</w:t>
            </w:r>
            <w:r w:rsidR="00DB0F9C">
              <w:rPr>
                <w:rFonts w:ascii="Calibri" w:hAnsi="Calibri" w:cs="Calibri"/>
              </w:rPr>
              <w:t xml:space="preserve"> </w:t>
            </w:r>
            <w:r w:rsidR="00DB0F9C" w:rsidRPr="00FC5DAE">
              <w:rPr>
                <w:rFonts w:ascii="Calibri" w:hAnsi="Calibri" w:cs="Calibri"/>
                <w:i/>
                <w:iCs/>
              </w:rPr>
              <w:t>Supplementary Notes</w:t>
            </w:r>
            <w:r w:rsidR="00DB0F9C">
              <w:rPr>
                <w:rFonts w:ascii="Calibri" w:hAnsi="Calibri" w:cs="Calibri"/>
              </w:rPr>
              <w:t xml:space="preserve">. Retrieved from </w:t>
            </w:r>
            <w:r w:rsidR="00DB0F9C" w:rsidRPr="00303E94">
              <w:rPr>
                <w:rFonts w:ascii="Calibri" w:hAnsi="Calibri" w:cs="Calibri"/>
              </w:rPr>
              <w:t>https://www.meti.go.jp/english/report/data/gWT2011fe.html</w:t>
            </w:r>
            <w:r w:rsidR="00DB0F9C">
              <w:rPr>
                <w:rFonts w:ascii="Calibri" w:hAnsi="Calibri" w:cs="Calibri"/>
              </w:rPr>
              <w:t>.</w:t>
            </w:r>
            <w:r w:rsidR="00DB0F9C">
              <w:t xml:space="preserve"> </w:t>
            </w:r>
          </w:p>
          <w:p w14:paraId="2AE19CC2" w14:textId="5003E3DF" w:rsidR="00DB0F9C" w:rsidRDefault="00A84956" w:rsidP="00DB0F9C">
            <w:pPr>
              <w:pStyle w:val="BoxReferences"/>
              <w:rPr>
                <w:rFonts w:ascii="Calibri" w:hAnsi="Calibri" w:cs="Calibri"/>
              </w:rPr>
            </w:pPr>
            <w:r>
              <w:rPr>
                <w:rFonts w:ascii="Calibri" w:hAnsi="Calibri" w:cs="Calibri"/>
              </w:rPr>
              <w:t>WTO (</w:t>
            </w:r>
            <w:r w:rsidR="00DB0F9C">
              <w:rPr>
                <w:rFonts w:ascii="Calibri" w:hAnsi="Calibri" w:cs="Calibri"/>
              </w:rPr>
              <w:t xml:space="preserve">World Trade Organization). 2011a. </w:t>
            </w:r>
            <w:r w:rsidR="00DB0F9C" w:rsidRPr="00AC1D38">
              <w:rPr>
                <w:rFonts w:ascii="Calibri" w:hAnsi="Calibri" w:cs="Calibri"/>
                <w:i/>
                <w:iCs/>
              </w:rPr>
              <w:t>World Trade Report 2011: The WTO and Preferential Trade Agreements: From Co-Existence to Coherence</w:t>
            </w:r>
            <w:r w:rsidR="00DB0F9C">
              <w:rPr>
                <w:rFonts w:ascii="Calibri" w:hAnsi="Calibri" w:cs="Calibri"/>
              </w:rPr>
              <w:t xml:space="preserve">. Geneva, Switzerland: World Trade Organization. </w:t>
            </w:r>
          </w:p>
          <w:p w14:paraId="738DBD0D" w14:textId="2C479B04" w:rsidR="00DF3694" w:rsidRDefault="00DB0F9C" w:rsidP="00DB0F9C">
            <w:pPr>
              <w:pStyle w:val="BoxReferences"/>
            </w:pPr>
            <w:r>
              <w:rPr>
                <w:rFonts w:ascii="Calibri" w:hAnsi="Calibri" w:cs="Calibri"/>
              </w:rPr>
              <w:t xml:space="preserve">WTO. 2011b. </w:t>
            </w:r>
            <w:r w:rsidRPr="007F2153">
              <w:rPr>
                <w:rFonts w:ascii="Calibri" w:hAnsi="Calibri" w:cs="Calibri"/>
                <w:i/>
                <w:iCs/>
              </w:rPr>
              <w:t>Trade Patterns and Global Value Chains in East Asia: From Trade in Goods to Trade in Tasks</w:t>
            </w:r>
            <w:r>
              <w:rPr>
                <w:rFonts w:ascii="Calibri" w:hAnsi="Calibri" w:cs="Calibri"/>
              </w:rPr>
              <w:t>. Geneva, Switzerland: World Trade Organization.</w:t>
            </w:r>
          </w:p>
        </w:tc>
      </w:tr>
    </w:tbl>
    <w:p w14:paraId="1C8FE35E" w14:textId="704BF3D2" w:rsidR="00DF3694" w:rsidRDefault="00DF3694" w:rsidP="008604A7"/>
    <w:p w14:paraId="1D6B4AD6" w14:textId="368C8C44" w:rsidR="00180A28" w:rsidRDefault="00135E17" w:rsidP="00180A28">
      <w:r>
        <w:t xml:space="preserve">The skyline chart for </w:t>
      </w:r>
      <w:r w:rsidR="00180A28">
        <w:t>EAEU</w:t>
      </w:r>
      <w:r>
        <w:t xml:space="preserve"> </w:t>
      </w:r>
      <w:r w:rsidR="00921C5C">
        <w:t>using 202</w:t>
      </w:r>
      <w:r w:rsidR="00180A28">
        <w:t>2</w:t>
      </w:r>
      <w:r w:rsidR="00921C5C">
        <w:t xml:space="preserve"> data </w:t>
      </w:r>
      <w:r>
        <w:t xml:space="preserve">is presented in </w:t>
      </w:r>
      <w:fldSimple w:instr=" REF _Ref79240726 ">
        <w:r w:rsidR="00F03ADA">
          <w:t xml:space="preserve">Figure </w:t>
        </w:r>
        <w:r w:rsidR="00F03ADA">
          <w:rPr>
            <w:noProof/>
          </w:rPr>
          <w:t>5</w:t>
        </w:r>
        <w:r w:rsidR="00F03ADA">
          <w:t>.</w:t>
        </w:r>
        <w:r w:rsidR="00F03ADA">
          <w:rPr>
            <w:noProof/>
          </w:rPr>
          <w:t>2</w:t>
        </w:r>
      </w:fldSimple>
      <w:r w:rsidR="0070728B">
        <w:t xml:space="preserve">. </w:t>
      </w:r>
      <w:r w:rsidR="00BD7DF3">
        <w:t xml:space="preserve">The </w:t>
      </w:r>
      <w:r w:rsidR="00180A28">
        <w:t xml:space="preserve">heft of the Russian Federation, by far its largest member, is evident in the large </w:t>
      </w:r>
      <w:r w:rsidR="00BD7DF3">
        <w:t xml:space="preserve">share attributable to </w:t>
      </w:r>
      <w:r w:rsidR="00180A28">
        <w:t>mining. Together with the companion sector of refined fuels, the chart makes it starkly clear that the EAEU produces much more oil than it can possibly consume, necessitating significant exports out of the region</w:t>
      </w:r>
      <w:r w:rsidR="00BD7DF3">
        <w:t xml:space="preserve">. </w:t>
      </w:r>
      <w:r w:rsidR="00180A28">
        <w:t xml:space="preserve">Nevertheless, looking at the width-wise distribution across sectors, it is evident that services—not the primary sectors—make up the largest share of the region's output. This speaks to the relative sophistication of the Russian economy, </w:t>
      </w:r>
      <w:r w:rsidR="003561BC">
        <w:t xml:space="preserve">unlike other countries with large extractive resource sectors. </w:t>
      </w:r>
    </w:p>
    <w:p w14:paraId="072BE98C" w14:textId="54E86D70" w:rsidR="007B5BD3" w:rsidRDefault="00024D5C" w:rsidP="007B5BD3">
      <w:pPr>
        <w:pStyle w:val="Caption"/>
      </w:pPr>
      <w:bookmarkStart w:id="73" w:name="_Ref79240726"/>
      <w:bookmarkStart w:id="74" w:name="_Toc141689898"/>
      <w:r>
        <w:rPr>
          <w:noProof/>
        </w:rPr>
        <w:drawing>
          <wp:anchor distT="0" distB="0" distL="114300" distR="114300" simplePos="0" relativeHeight="251762688" behindDoc="0" locked="0" layoutInCell="1" allowOverlap="1" wp14:anchorId="7C29EEA2" wp14:editId="134A8D5B">
            <wp:simplePos x="0" y="0"/>
            <wp:positionH relativeFrom="column">
              <wp:posOffset>0</wp:posOffset>
            </wp:positionH>
            <wp:positionV relativeFrom="paragraph">
              <wp:posOffset>188693</wp:posOffset>
            </wp:positionV>
            <wp:extent cx="5731510" cy="3580765"/>
            <wp:effectExtent l="0" t="0" r="0" b="635"/>
            <wp:wrapSquare wrapText="bothSides"/>
            <wp:docPr id="179744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48446" name="Picture 1797448446"/>
                    <pic:cNvPicPr/>
                  </pic:nvPicPr>
                  <pic:blipFill>
                    <a:blip r:embed="rId32">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7B5BD3">
        <w:t xml:space="preserve">Figure </w:t>
      </w:r>
      <w:fldSimple w:instr=" STYLEREF 1 \s ">
        <w:r w:rsidR="00F03ADA">
          <w:rPr>
            <w:noProof/>
          </w:rPr>
          <w:t>5</w:t>
        </w:r>
      </w:fldSimple>
      <w:r w:rsidR="003F26C2">
        <w:t>.</w:t>
      </w:r>
      <w:fldSimple w:instr=" SEQ Figure \* ARABIC \s 1 ">
        <w:r w:rsidR="00F03ADA">
          <w:rPr>
            <w:noProof/>
          </w:rPr>
          <w:t>2</w:t>
        </w:r>
      </w:fldSimple>
      <w:bookmarkEnd w:id="73"/>
      <w:r w:rsidR="007B5BD3">
        <w:t>: Skyline</w:t>
      </w:r>
      <w:r w:rsidR="0071792E">
        <w:t xml:space="preserve"> Chart</w:t>
      </w:r>
      <w:r w:rsidR="007B5BD3">
        <w:t xml:space="preserve"> for the </w:t>
      </w:r>
      <w:r>
        <w:t>EAEU</w:t>
      </w:r>
      <w:r w:rsidR="008E40B5">
        <w:t xml:space="preserve"> </w:t>
      </w:r>
      <w:r w:rsidR="002867C4">
        <w:t>Countries</w:t>
      </w:r>
      <w:r w:rsidR="007B5BD3">
        <w:t>, 202</w:t>
      </w:r>
      <w:r>
        <w:t>2</w:t>
      </w:r>
      <w:bookmarkEnd w:id="74"/>
    </w:p>
    <w:p w14:paraId="6E1D713B" w14:textId="78734A52" w:rsidR="00A12895" w:rsidRDefault="00A12895" w:rsidP="00A12895">
      <w:pPr>
        <w:pStyle w:val="NotesAbbreviations"/>
      </w:pPr>
      <w:r>
        <w:t xml:space="preserve">AHF = agriculture, hunting, forestry and fishing; CCP = chemicals and chemical products; CON = construction; CRP = coke, refined petroleum and nuclear fuel; </w:t>
      </w:r>
      <w:r w:rsidR="005C3BFC">
        <w:t xml:space="preserve">EAEU = Eurasian Economic Union; </w:t>
      </w:r>
      <w:r>
        <w:t>EDU = education; EOE = electrical and optical equipment; FBT = food, beverages and tobacco; FIN = financial intermediation; HRS = hotels and restaurants; HSW = health and social work; ITR = inland transport; MCH = machinery, not elsewhere classified; MFM = basic metals and fabricated metal; OBA = renting of machinery &amp; equipment and other business activities; ONM = other non-metallic mineral; OSV = other community, social and personal services; PAD = public administration and defense; compulsory social security; REA = real estate activities; RTR = retail trade and repair, except of motor vehicles and motorcycles;</w:t>
      </w:r>
      <w:r w:rsidR="00BF3DFC">
        <w:t xml:space="preserve"> </w:t>
      </w:r>
      <w:r>
        <w:t xml:space="preserve">TEL = post and telecommunications; TEX = textiles and textile products; TRE = transport equipment; UTL = electricity, gas and water supply; WST = wholesale trade, except of motor vehicles and motorcycles. </w:t>
      </w:r>
    </w:p>
    <w:p w14:paraId="5497E243" w14:textId="6806F704" w:rsidR="003057B9" w:rsidRPr="00DE17AF" w:rsidRDefault="003057B9" w:rsidP="00A12895">
      <w:pPr>
        <w:pStyle w:val="Notes"/>
      </w:pPr>
      <w:r w:rsidRPr="00DE17AF">
        <w:t>Notes:</w:t>
      </w:r>
      <w:r w:rsidRPr="00DE17AF">
        <w:tab/>
      </w:r>
      <w:r w:rsidR="006B23C5" w:rsidRPr="00DE17AF">
        <w:t xml:space="preserve">The </w:t>
      </w:r>
      <w:r w:rsidR="005C3BFC">
        <w:t>Eurasian Economic Union</w:t>
      </w:r>
      <w:r w:rsidR="008C161F" w:rsidRPr="00DE17AF">
        <w:t xml:space="preserve"> </w:t>
      </w:r>
      <w:r w:rsidRPr="00DE17AF">
        <w:t xml:space="preserve">includes </w:t>
      </w:r>
      <w:r w:rsidR="00180A28">
        <w:t xml:space="preserve">Armenia, </w:t>
      </w:r>
      <w:r w:rsidR="007639C9">
        <w:t>Kazakhstan, the Kyrgyz Republic, and the Russian Federation and is missing data for Belarus</w:t>
      </w:r>
      <w:r w:rsidRPr="00DE17AF">
        <w:t xml:space="preserve">. </w:t>
      </w:r>
    </w:p>
    <w:p w14:paraId="4286A402" w14:textId="0484D492" w:rsidR="00CD1401" w:rsidRPr="00DE17AF" w:rsidRDefault="00C84C9F" w:rsidP="00C84C9F">
      <w:pPr>
        <w:pStyle w:val="NotesBottom"/>
      </w:pPr>
      <w:r>
        <w:lastRenderedPageBreak/>
        <w:t xml:space="preserve">Sources: </w:t>
      </w:r>
      <w:r>
        <w:tab/>
        <w:t>Asian Development Bank. Multiregional Input–Output Databas</w:t>
      </w:r>
      <w:r w:rsidR="00F4225A">
        <w:t>e (July 2023</w:t>
      </w:r>
      <w:r>
        <w:t>);</w:t>
      </w:r>
      <w:r w:rsidRPr="008F0425">
        <w:t xml:space="preserve"> </w:t>
      </w:r>
      <w:r>
        <w:t>Asian Development Bank estimates.</w:t>
      </w:r>
    </w:p>
    <w:p w14:paraId="20490183" w14:textId="56EC0BAC" w:rsidR="00180A28" w:rsidRDefault="00180A28" w:rsidP="00180A28">
      <w:r>
        <w:t>Interestingly, apart from a few minor manufacturing sectors, the EAEU appears to be largely self-sufficient, with most of the blue areas in the skyline chart exceeding the 100% line. This makes it robust to shocks coming from outside the bloc</w:t>
      </w:r>
      <w:r w:rsidR="003561BC">
        <w:t>. A</w:t>
      </w:r>
      <w:r>
        <w:t>t the same time</w:t>
      </w:r>
      <w:r w:rsidR="003561BC">
        <w:t xml:space="preserve"> however</w:t>
      </w:r>
      <w:r>
        <w:t>, this also complicat</w:t>
      </w:r>
      <w:r w:rsidR="003561BC">
        <w:t>es</w:t>
      </w:r>
      <w:r>
        <w:t xml:space="preserve"> efforts to decouple member economies from the Russian Federation</w:t>
      </w:r>
      <w:r w:rsidR="003561BC">
        <w:t>. As mentioned above, this is a particularly salient issue in light of the geopolitical conflicts hounding the EAEU's largest member.</w:t>
      </w:r>
    </w:p>
    <w:p w14:paraId="5FBA4DD1" w14:textId="77777777" w:rsidR="006420CA" w:rsidRDefault="006420CA" w:rsidP="00E175A4"/>
    <w:p w14:paraId="676D8A45" w14:textId="5DD8C0B3" w:rsidR="00334CC1" w:rsidRDefault="009C230E" w:rsidP="00334CC1">
      <w:pPr>
        <w:pStyle w:val="Heading2"/>
      </w:pPr>
      <w:bookmarkStart w:id="75" w:name="_Toc141647945"/>
      <w:r>
        <w:t xml:space="preserve">Adjusting for </w:t>
      </w:r>
      <w:r w:rsidR="00BF56C8">
        <w:t>I</w:t>
      </w:r>
      <w:r>
        <w:t>nflation</w:t>
      </w:r>
      <w:bookmarkEnd w:id="75"/>
    </w:p>
    <w:p w14:paraId="00FA3EDA" w14:textId="1480E73E" w:rsidR="00334CC1" w:rsidRDefault="006536B8" w:rsidP="00781E09">
      <w:r>
        <w:t xml:space="preserve">Much of the world experienced an inflationary episode beginning in 2022. This was caused by a host of factors, the most important of which are the aggressive stimulus measures pursued by many governments in rich countries during the pandemic, the resulting post-pandemic surge in consumer demand and the supply chain bottlenecks the followed, and the spike in the prices of </w:t>
      </w:r>
      <w:r w:rsidR="00F03ADA">
        <w:t xml:space="preserve">food and </w:t>
      </w:r>
      <w:r>
        <w:t xml:space="preserve">energy products following the Russian invasion of Ukraine. Double-digit inflation rates—not seen since the 1970s—were reported in the United States, the United Kingdom, and the European Union. </w:t>
      </w:r>
      <w:r w:rsidR="00F03ADA">
        <w:t>Many central banks have since embarked on a vigorous interest hiking program to manage demand, and by extension, prices</w:t>
      </w:r>
      <w:r w:rsidR="009E3353">
        <w:t xml:space="preserve"> (</w:t>
      </w:r>
      <w:r w:rsidR="009E3353" w:rsidRPr="009E3353">
        <w:rPr>
          <w:i/>
          <w:iCs/>
        </w:rPr>
        <w:t>The Economist</w:t>
      </w:r>
      <w:r w:rsidR="009E3353">
        <w:t xml:space="preserve"> 2022)</w:t>
      </w:r>
      <w:r w:rsidR="00F03ADA">
        <w:t xml:space="preserve">. </w:t>
      </w:r>
    </w:p>
    <w:p w14:paraId="218A51C4" w14:textId="310463EC" w:rsidR="00F03ADA" w:rsidRDefault="00F03ADA" w:rsidP="00781E09">
      <w:r>
        <w:t>The new inflationary environment raises concerns over the use of economic indicators expressed in current prices. Given the sharp rise in benchmark crude oil prices for example, any contemporaneous rise in the dollar value of oil exports by countries like Kazakhstan may be entirely driven by price rather than volume changes. It is therefore ideal to express economic quantities in constant prices. This, of course, is a nontrivial task and requires a careful methodology to ensure that clarity rather than noise is being added to the raw data.</w:t>
      </w:r>
    </w:p>
    <w:p w14:paraId="39065E56" w14:textId="573EEEE3" w:rsidR="00F03ADA" w:rsidRDefault="00F03ADA" w:rsidP="00781E09">
      <w:r>
        <w:t>To this end, the team behind the Asian Development Bank's Multiregional Input–Output (MRIO) Database has released a constant price version of the MRIO tables</w:t>
      </w:r>
      <w:r w:rsidR="006C3ECC">
        <w:t xml:space="preserve">, with prices pegged </w:t>
      </w:r>
      <w:r w:rsidR="00AF40B8">
        <w:t>at</w:t>
      </w:r>
      <w:r w:rsidR="006C3ECC">
        <w:t xml:space="preserve"> 2010 levels</w:t>
      </w:r>
      <w:r>
        <w:t xml:space="preserve">. The methodology behind these tables </w:t>
      </w:r>
      <w:r w:rsidR="00A37967">
        <w:t>is</w:t>
      </w:r>
      <w:r>
        <w:t xml:space="preserve"> briefly described in </w:t>
      </w:r>
      <w:r>
        <w:fldChar w:fldCharType="begin"/>
      </w:r>
      <w:r>
        <w:instrText xml:space="preserve"> REF _Ref83846872 \h </w:instrText>
      </w:r>
      <w:r>
        <w:fldChar w:fldCharType="separate"/>
      </w:r>
      <w:r>
        <w:t xml:space="preserve">Box </w:t>
      </w:r>
      <w:r>
        <w:rPr>
          <w:noProof/>
        </w:rPr>
        <w:t>10</w:t>
      </w:r>
      <w:r>
        <w:fldChar w:fldCharType="end"/>
      </w:r>
      <w:r>
        <w:t xml:space="preserve">; </w:t>
      </w:r>
      <w:r w:rsidRPr="00A42EDB">
        <w:rPr>
          <w:color w:val="FF0000"/>
        </w:rPr>
        <w:t xml:space="preserve">the interested reader may also consult the GVC chapter of the ADB </w:t>
      </w:r>
      <w:r w:rsidRPr="00A42EDB">
        <w:rPr>
          <w:i/>
          <w:iCs/>
          <w:color w:val="FF0000"/>
        </w:rPr>
        <w:t>Key Indicators 2023</w:t>
      </w:r>
      <w:r w:rsidRPr="00A42EDB">
        <w:rPr>
          <w:color w:val="FF0000"/>
        </w:rPr>
        <w:t xml:space="preserve"> publication.</w:t>
      </w:r>
    </w:p>
    <w:tbl>
      <w:tblPr>
        <w:tblStyle w:val="TableGrid"/>
        <w:tblW w:w="0" w:type="auto"/>
        <w:tblLook w:val="04A0" w:firstRow="1" w:lastRow="0" w:firstColumn="1" w:lastColumn="0" w:noHBand="0" w:noVBand="1"/>
      </w:tblPr>
      <w:tblGrid>
        <w:gridCol w:w="9016"/>
      </w:tblGrid>
      <w:tr w:rsidR="005B3D0B" w14:paraId="56AF4C4D" w14:textId="77777777" w:rsidTr="005B3D0B">
        <w:tc>
          <w:tcPr>
            <w:tcW w:w="9016" w:type="dxa"/>
          </w:tcPr>
          <w:p w14:paraId="745D0719" w14:textId="5D85C760" w:rsidR="005B3D0B" w:rsidRDefault="005B3D0B" w:rsidP="005B3D0B">
            <w:pPr>
              <w:pStyle w:val="Caption"/>
            </w:pPr>
            <w:bookmarkStart w:id="76" w:name="_Ref83846872"/>
            <w:bookmarkStart w:id="77" w:name="_Toc141647980"/>
            <w:r>
              <w:t xml:space="preserve">Box </w:t>
            </w:r>
            <w:fldSimple w:instr=" SEQ Box \* ARABIC ">
              <w:r w:rsidR="00F03ADA">
                <w:rPr>
                  <w:noProof/>
                </w:rPr>
                <w:t>10</w:t>
              </w:r>
            </w:fldSimple>
            <w:bookmarkEnd w:id="76"/>
            <w:r>
              <w:t xml:space="preserve">: </w:t>
            </w:r>
            <w:r w:rsidR="009C230E">
              <w:t>Constant Price MRIO Tables</w:t>
            </w:r>
            <w:bookmarkEnd w:id="77"/>
          </w:p>
          <w:p w14:paraId="5A890C72" w14:textId="378BACE4" w:rsidR="005B3D0B" w:rsidRDefault="006C3ECC" w:rsidP="00E33ABE">
            <w:pPr>
              <w:pStyle w:val="Box"/>
            </w:pPr>
            <w:r>
              <w:rPr>
                <w:lang w:val="en-PH"/>
              </w:rPr>
              <w:t>[Text]</w:t>
            </w:r>
            <w:r w:rsidR="005B3D0B" w:rsidRPr="005F3912">
              <w:rPr>
                <w:lang w:val="en-PH"/>
              </w:rPr>
              <w:t xml:space="preserve"> </w:t>
            </w:r>
          </w:p>
        </w:tc>
      </w:tr>
    </w:tbl>
    <w:p w14:paraId="493140A2" w14:textId="01895D9F" w:rsidR="009F0504" w:rsidRPr="002D7CF2" w:rsidRDefault="009F0504" w:rsidP="002D7CF2"/>
    <w:p w14:paraId="0BB450BB" w14:textId="443D4463" w:rsidR="00CA079F" w:rsidRPr="002D7CF2" w:rsidRDefault="00F03ADA" w:rsidP="002D7CF2">
      <w:r>
        <w:t>The preliminary data in these tables suggest that in Kazakhstan's case, the inflation of 2022 ha</w:t>
      </w:r>
      <w:r w:rsidR="003730C4">
        <w:t>d</w:t>
      </w:r>
      <w:r>
        <w:t xml:space="preserve"> not significantly altered the patterns of its GVC </w:t>
      </w:r>
      <w:r w:rsidR="003730C4">
        <w:t>trade</w:t>
      </w:r>
      <w:r>
        <w:t xml:space="preserve">. </w:t>
      </w:r>
      <w:r>
        <w:fldChar w:fldCharType="begin"/>
      </w:r>
      <w:r>
        <w:instrText xml:space="preserve"> REF _Ref83837075 \h </w:instrText>
      </w:r>
      <w:r>
        <w:fldChar w:fldCharType="separate"/>
      </w:r>
      <w:r>
        <w:t xml:space="preserve">Figure </w:t>
      </w:r>
      <w:r>
        <w:rPr>
          <w:noProof/>
        </w:rPr>
        <w:t>5</w:t>
      </w:r>
      <w:r>
        <w:t>.</w:t>
      </w:r>
      <w:r>
        <w:rPr>
          <w:noProof/>
        </w:rPr>
        <w:t>3</w:t>
      </w:r>
      <w:r>
        <w:fldChar w:fldCharType="end"/>
      </w:r>
      <w:r>
        <w:t xml:space="preserve"> shows the annual </w:t>
      </w:r>
      <w:r>
        <w:lastRenderedPageBreak/>
        <w:t xml:space="preserve">growth rates of its GVC exports in the aggregate as well as for the mining, metals, and wholesale trade sectors—all of which were established in previous chapters as being Kazakhstan's major GVC-oriented industries. </w:t>
      </w:r>
      <w:r w:rsidR="00B41F73">
        <w:t xml:space="preserve">In all cases, growth rates </w:t>
      </w:r>
      <w:r w:rsidR="003730C4">
        <w:t>at</w:t>
      </w:r>
      <w:r w:rsidR="00B41F73">
        <w:t xml:space="preserve"> constant and current price</w:t>
      </w:r>
      <w:r w:rsidR="003730C4">
        <w:t>s</w:t>
      </w:r>
      <w:r w:rsidR="00B41F73">
        <w:t xml:space="preserve"> more or less coincided in 2022. </w:t>
      </w:r>
      <w:r w:rsidR="00346E33">
        <w:t>Notwithstanding the attention it has received, it appears that the recent inflationary episode has done little to alter Kazakhstan's real trading patterns.</w:t>
      </w:r>
    </w:p>
    <w:p w14:paraId="42DD896C" w14:textId="5CEA705B" w:rsidR="009A0787" w:rsidRDefault="009A0787" w:rsidP="009A0787">
      <w:pPr>
        <w:pStyle w:val="Caption"/>
        <w:rPr>
          <w:sz w:val="22"/>
          <w:szCs w:val="22"/>
        </w:rPr>
      </w:pPr>
      <w:bookmarkStart w:id="78" w:name="_Ref83837075"/>
      <w:bookmarkStart w:id="79" w:name="_Toc141689899"/>
      <w:r>
        <w:t xml:space="preserve">Figure </w:t>
      </w:r>
      <w:fldSimple w:instr=" STYLEREF 1 \s ">
        <w:r w:rsidR="00F03ADA">
          <w:rPr>
            <w:noProof/>
          </w:rPr>
          <w:t>5</w:t>
        </w:r>
      </w:fldSimple>
      <w:r w:rsidR="003F26C2">
        <w:t>.</w:t>
      </w:r>
      <w:fldSimple w:instr=" SEQ Figure \* ARABIC \s 1 ">
        <w:r w:rsidR="00F03ADA">
          <w:rPr>
            <w:noProof/>
          </w:rPr>
          <w:t>3</w:t>
        </w:r>
      </w:fldSimple>
      <w:bookmarkEnd w:id="78"/>
      <w:r>
        <w:t xml:space="preserve">: </w:t>
      </w:r>
      <w:r w:rsidR="002C16F1">
        <w:rPr>
          <w:noProof/>
          <w:sz w:val="22"/>
          <w:szCs w:val="22"/>
        </w:rPr>
        <w:drawing>
          <wp:anchor distT="0" distB="0" distL="114300" distR="114300" simplePos="0" relativeHeight="251763712" behindDoc="0" locked="0" layoutInCell="1" allowOverlap="1" wp14:anchorId="33BB0BDB" wp14:editId="0CAEC18D">
            <wp:simplePos x="0" y="0"/>
            <wp:positionH relativeFrom="column">
              <wp:posOffset>0</wp:posOffset>
            </wp:positionH>
            <wp:positionV relativeFrom="paragraph">
              <wp:posOffset>214630</wp:posOffset>
            </wp:positionV>
            <wp:extent cx="5731510" cy="4655820"/>
            <wp:effectExtent l="0" t="0" r="0" b="5080"/>
            <wp:wrapSquare wrapText="bothSides"/>
            <wp:docPr id="2126090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90245" name="Picture 2126090245"/>
                    <pic:cNvPicPr/>
                  </pic:nvPicPr>
                  <pic:blipFill>
                    <a:blip r:embed="rId33">
                      <a:extLst>
                        <a:ext uri="{28A0092B-C50C-407E-A947-70E740481C1C}">
                          <a14:useLocalDpi xmlns:a14="http://schemas.microsoft.com/office/drawing/2010/main" val="0"/>
                        </a:ext>
                      </a:extLst>
                    </a:blip>
                    <a:stretch>
                      <a:fillRect/>
                    </a:stretch>
                  </pic:blipFill>
                  <pic:spPr>
                    <a:xfrm>
                      <a:off x="0" y="0"/>
                      <a:ext cx="5731510" cy="4655820"/>
                    </a:xfrm>
                    <a:prstGeom prst="rect">
                      <a:avLst/>
                    </a:prstGeom>
                  </pic:spPr>
                </pic:pic>
              </a:graphicData>
            </a:graphic>
            <wp14:sizeRelH relativeFrom="page">
              <wp14:pctWidth>0</wp14:pctWidth>
            </wp14:sizeRelH>
            <wp14:sizeRelV relativeFrom="page">
              <wp14:pctHeight>0</wp14:pctHeight>
            </wp14:sizeRelV>
          </wp:anchor>
        </w:drawing>
      </w:r>
      <w:r w:rsidR="002C16F1">
        <w:t xml:space="preserve">Growth in GVC Exports, </w:t>
      </w:r>
      <w:r w:rsidR="00B41F73">
        <w:t>Constant Price</w:t>
      </w:r>
      <w:r w:rsidR="002C16F1">
        <w:t xml:space="preserve"> vs </w:t>
      </w:r>
      <w:r w:rsidR="00B41F73">
        <w:t>Current Price</w:t>
      </w:r>
      <w:r w:rsidR="002C16F1">
        <w:t>, 2008–2022</w:t>
      </w:r>
      <w:bookmarkEnd w:id="79"/>
    </w:p>
    <w:p w14:paraId="2FD400AF" w14:textId="55C7825A" w:rsidR="00E33ABE" w:rsidRDefault="003E3515" w:rsidP="00E33ABE">
      <w:pPr>
        <w:pStyle w:val="NotesAbbreviations"/>
      </w:pPr>
      <w:r>
        <w:t>GVC = global value chains</w:t>
      </w:r>
      <w:r w:rsidR="00E33ABE">
        <w:t>.</w:t>
      </w:r>
    </w:p>
    <w:p w14:paraId="43F140D0" w14:textId="05E9BDDE" w:rsidR="009A0787" w:rsidRPr="00B977FB" w:rsidRDefault="009A0787" w:rsidP="009A0787">
      <w:pPr>
        <w:pStyle w:val="NotesBottom"/>
      </w:pPr>
      <w:r w:rsidRPr="00B977FB">
        <w:t xml:space="preserve">Source: </w:t>
      </w:r>
      <w:r w:rsidRPr="00B977FB">
        <w:tab/>
      </w:r>
      <w:r>
        <w:t>Asian Development Bank. Multiregional Input–Output Database</w:t>
      </w:r>
      <w:r w:rsidR="00B229D4">
        <w:t xml:space="preserve"> (July</w:t>
      </w:r>
      <w:r>
        <w:t xml:space="preserve"> 202</w:t>
      </w:r>
      <w:r w:rsidR="005131B4">
        <w:t>3</w:t>
      </w:r>
      <w:r>
        <w:t>)</w:t>
      </w:r>
      <w:r w:rsidR="0080397D">
        <w:t>; Asian Development Bank estimates.</w:t>
      </w:r>
    </w:p>
    <w:p w14:paraId="27F0A568" w14:textId="449C747D" w:rsidR="00A16721" w:rsidRDefault="00534C5D" w:rsidP="008604A7">
      <w:r>
        <w:t xml:space="preserve">There were occasions in the last two decades, however, where constant and current growth rates do diverge significantly. </w:t>
      </w:r>
      <w:r w:rsidR="005441C7">
        <w:t xml:space="preserve">In general, constant growth rates are less volatile than current growth rates. For example, whereas aggregate GVC exports in current prices grew 32.2% in 2010 and 50.1% in 2011, in constant prices the growth rates were more modest at 13.3% and 29.6%. </w:t>
      </w:r>
      <w:r w:rsidR="0051376A">
        <w:t xml:space="preserve">There are even cases where one measure recorded growth while the other recorded a contraction. For example, GVC exports in metals manufacturing logged deeply negative growth rates for the period 2013–2016 according to current price measures, whereas under constant price measures, growth was near zero in 2014 and highly positive in 2015–2016. This suggests that a drop in metals prices masked real growth in the sector. </w:t>
      </w:r>
      <w:r w:rsidR="0051376A">
        <w:lastRenderedPageBreak/>
        <w:t xml:space="preserve">Indeed, </w:t>
      </w:r>
      <w:r w:rsidR="0051376A">
        <w:fldChar w:fldCharType="begin"/>
      </w:r>
      <w:r w:rsidR="0051376A">
        <w:instrText xml:space="preserve"> REF _Ref79087680 \h </w:instrText>
      </w:r>
      <w:r w:rsidR="0051376A">
        <w:fldChar w:fldCharType="separate"/>
      </w:r>
      <w:r w:rsidR="0051376A">
        <w:t xml:space="preserve">Figure </w:t>
      </w:r>
      <w:r w:rsidR="0051376A">
        <w:rPr>
          <w:noProof/>
        </w:rPr>
        <w:t>4</w:t>
      </w:r>
      <w:r w:rsidR="0051376A">
        <w:t>.</w:t>
      </w:r>
      <w:r w:rsidR="0051376A">
        <w:rPr>
          <w:noProof/>
        </w:rPr>
        <w:t>4</w:t>
      </w:r>
      <w:r w:rsidR="0051376A">
        <w:fldChar w:fldCharType="end"/>
      </w:r>
      <w:r w:rsidR="0051376A">
        <w:t xml:space="preserve"> shows that during this period, the metals real effective exchange rate index declined, indicating greater price competitiveness for Kazakhstan. It appears to have benefited from this as its GVC exports here grew in real terms. </w:t>
      </w:r>
    </w:p>
    <w:p w14:paraId="7EA9B43F" w14:textId="6A6F60BC" w:rsidR="00F04A36" w:rsidRPr="00F04A36" w:rsidRDefault="003B5B19" w:rsidP="008604A7">
      <w:pPr>
        <w:rPr>
          <w:color w:val="FF0000"/>
        </w:rPr>
      </w:pPr>
      <w:r>
        <w:rPr>
          <w:color w:val="FF0000"/>
        </w:rPr>
        <w:t>[</w:t>
      </w:r>
      <w:r w:rsidR="00F04A36" w:rsidRPr="00F04A36">
        <w:rPr>
          <w:color w:val="FF0000"/>
        </w:rPr>
        <w:t>Update further when KI comes out.</w:t>
      </w:r>
      <w:r>
        <w:rPr>
          <w:color w:val="FF0000"/>
        </w:rPr>
        <w:t>]</w:t>
      </w:r>
    </w:p>
    <w:p w14:paraId="7467EAC3" w14:textId="77777777" w:rsidR="00A16721" w:rsidRDefault="00A16721">
      <w:pPr>
        <w:spacing w:after="0" w:line="240" w:lineRule="auto"/>
      </w:pPr>
      <w:r>
        <w:br w:type="page"/>
      </w:r>
    </w:p>
    <w:p w14:paraId="1400A428" w14:textId="77777777" w:rsidR="00C14863" w:rsidRDefault="00C14863" w:rsidP="00C14863">
      <w:pPr>
        <w:pStyle w:val="Heading1"/>
      </w:pPr>
      <w:bookmarkStart w:id="80" w:name="_Toc141647946"/>
      <w:r>
        <w:lastRenderedPageBreak/>
        <w:t>Conclusion</w:t>
      </w:r>
      <w:bookmarkEnd w:id="80"/>
    </w:p>
    <w:p w14:paraId="19AF8C97" w14:textId="56983678" w:rsidR="00C14863" w:rsidRPr="00AB131E" w:rsidRDefault="00EB6F89" w:rsidP="00AB131E">
      <w:r>
        <w:t>To follow.</w:t>
      </w:r>
      <w:r w:rsidR="000E51D4">
        <w:t xml:space="preserve"> </w:t>
      </w:r>
      <w:r w:rsidR="00C14863" w:rsidRPr="00173B1B">
        <w:br w:type="page"/>
      </w:r>
    </w:p>
    <w:p w14:paraId="4BBE7C11" w14:textId="34D63B59" w:rsidR="004329D6" w:rsidRDefault="00E203ED" w:rsidP="00E80F0A">
      <w:pPr>
        <w:pStyle w:val="Heading1"/>
        <w:numPr>
          <w:ilvl w:val="0"/>
          <w:numId w:val="0"/>
        </w:numPr>
      </w:pPr>
      <w:bookmarkStart w:id="81" w:name="_Toc141647947"/>
      <w:r>
        <w:lastRenderedPageBreak/>
        <w:t>References</w:t>
      </w:r>
      <w:bookmarkEnd w:id="81"/>
    </w:p>
    <w:p w14:paraId="2F09C215" w14:textId="23E4F031" w:rsidR="00D265CA" w:rsidRDefault="00D265CA" w:rsidP="00B557A9">
      <w:pPr>
        <w:ind w:left="567" w:hanging="567"/>
        <w:rPr>
          <w:rFonts w:ascii="Calibri" w:eastAsia="Calibri" w:hAnsi="Calibri" w:cs="Calibri"/>
        </w:rPr>
      </w:pPr>
      <w:r>
        <w:rPr>
          <w:rFonts w:ascii="Calibri" w:eastAsia="Calibri" w:hAnsi="Calibri" w:cs="Calibri"/>
        </w:rPr>
        <w:t xml:space="preserve">E. </w:t>
      </w:r>
      <w:proofErr w:type="spellStart"/>
      <w:r w:rsidRPr="00D265CA">
        <w:rPr>
          <w:rFonts w:ascii="Calibri" w:eastAsia="Calibri" w:hAnsi="Calibri" w:cs="Calibri"/>
        </w:rPr>
        <w:t>Aidarkhanova</w:t>
      </w:r>
      <w:proofErr w:type="spellEnd"/>
      <w:r>
        <w:rPr>
          <w:rFonts w:ascii="Calibri" w:eastAsia="Calibri" w:hAnsi="Calibri" w:cs="Calibri"/>
        </w:rPr>
        <w:t xml:space="preserve">. 2023, June 12. Who </w:t>
      </w:r>
      <w:r w:rsidR="00985731">
        <w:rPr>
          <w:rFonts w:ascii="Calibri" w:eastAsia="Calibri" w:hAnsi="Calibri" w:cs="Calibri"/>
        </w:rPr>
        <w:t>B</w:t>
      </w:r>
      <w:r>
        <w:rPr>
          <w:rFonts w:ascii="Calibri" w:eastAsia="Calibri" w:hAnsi="Calibri" w:cs="Calibri"/>
        </w:rPr>
        <w:t xml:space="preserve">enefits from the Eurasian Economic Union? </w:t>
      </w:r>
      <w:r w:rsidRPr="00953E70">
        <w:rPr>
          <w:rFonts w:ascii="Calibri" w:eastAsia="Calibri" w:hAnsi="Calibri" w:cs="Calibri"/>
          <w:i/>
          <w:iCs/>
        </w:rPr>
        <w:t>The Diplomat</w:t>
      </w:r>
      <w:r>
        <w:rPr>
          <w:rFonts w:ascii="Calibri" w:eastAsia="Calibri" w:hAnsi="Calibri" w:cs="Calibri"/>
        </w:rPr>
        <w:t xml:space="preserve">. Retrieved from </w:t>
      </w:r>
      <w:r w:rsidRPr="00D265CA">
        <w:rPr>
          <w:rFonts w:ascii="Calibri" w:eastAsia="Calibri" w:hAnsi="Calibri" w:cs="Calibri"/>
        </w:rPr>
        <w:t>https://thediplomat.com/2023/06/who-benefits-from-the-eurasian-economic-union</w:t>
      </w:r>
      <w:r>
        <w:rPr>
          <w:rFonts w:ascii="Calibri" w:eastAsia="Calibri" w:hAnsi="Calibri" w:cs="Calibri"/>
        </w:rPr>
        <w:t xml:space="preserve">. </w:t>
      </w:r>
    </w:p>
    <w:p w14:paraId="5F86C92E" w14:textId="03CEC936" w:rsidR="00B557A9" w:rsidRDefault="00B557A9" w:rsidP="00B557A9">
      <w:pPr>
        <w:ind w:left="567" w:hanging="567"/>
        <w:rPr>
          <w:rFonts w:ascii="Calibri" w:eastAsia="Calibri" w:hAnsi="Calibri" w:cs="Calibri"/>
        </w:rPr>
      </w:pPr>
      <w:r>
        <w:rPr>
          <w:rFonts w:ascii="Calibri" w:eastAsia="Calibri" w:hAnsi="Calibri" w:cs="Calibri"/>
        </w:rPr>
        <w:t xml:space="preserve">P. </w:t>
      </w:r>
      <w:proofErr w:type="spellStart"/>
      <w:r>
        <w:rPr>
          <w:rFonts w:ascii="Calibri" w:eastAsia="Calibri" w:hAnsi="Calibri" w:cs="Calibri"/>
        </w:rPr>
        <w:t>Antràs</w:t>
      </w:r>
      <w:proofErr w:type="spellEnd"/>
      <w:r>
        <w:rPr>
          <w:rFonts w:ascii="Calibri" w:eastAsia="Calibri" w:hAnsi="Calibri" w:cs="Calibri"/>
        </w:rPr>
        <w:t xml:space="preserve"> and D. </w:t>
      </w:r>
      <w:proofErr w:type="spellStart"/>
      <w:r>
        <w:rPr>
          <w:rFonts w:ascii="Calibri" w:eastAsia="Calibri" w:hAnsi="Calibri" w:cs="Calibri"/>
        </w:rPr>
        <w:t>Chor</w:t>
      </w:r>
      <w:proofErr w:type="spellEnd"/>
      <w:r>
        <w:rPr>
          <w:rFonts w:ascii="Calibri" w:eastAsia="Calibri" w:hAnsi="Calibri" w:cs="Calibri"/>
        </w:rPr>
        <w:t xml:space="preserve">. 2013. Organizing the Global Value Chain. </w:t>
      </w:r>
      <w:proofErr w:type="spellStart"/>
      <w:r w:rsidRPr="00B42198">
        <w:rPr>
          <w:rFonts w:ascii="Calibri" w:eastAsia="Calibri" w:hAnsi="Calibri" w:cs="Calibri"/>
          <w:i/>
          <w:iCs/>
        </w:rPr>
        <w:t>Econometrica</w:t>
      </w:r>
      <w:proofErr w:type="spellEnd"/>
      <w:r w:rsidRPr="00EA439A">
        <w:rPr>
          <w:rFonts w:ascii="Calibri" w:eastAsia="Calibri" w:hAnsi="Calibri" w:cs="Calibri"/>
        </w:rPr>
        <w:t>. 81</w:t>
      </w:r>
      <w:r>
        <w:rPr>
          <w:rFonts w:ascii="Calibri" w:eastAsia="Calibri" w:hAnsi="Calibri" w:cs="Calibri"/>
        </w:rPr>
        <w:t xml:space="preserve">(6). pp. 2127–2204. </w:t>
      </w:r>
    </w:p>
    <w:p w14:paraId="23E85C33" w14:textId="77777777" w:rsidR="001C171D" w:rsidRPr="00960D12" w:rsidRDefault="001C171D" w:rsidP="001C171D">
      <w:pPr>
        <w:ind w:left="590" w:hanging="590"/>
        <w:rPr>
          <w:rFonts w:ascii="Calibri" w:eastAsia="Calibri" w:hAnsi="Calibri" w:cs="Calibri"/>
        </w:rPr>
      </w:pPr>
      <w:r>
        <w:t xml:space="preserve">P. S. </w:t>
      </w:r>
      <w:proofErr w:type="spellStart"/>
      <w:r w:rsidRPr="004E7652">
        <w:t>Armington</w:t>
      </w:r>
      <w:proofErr w:type="spellEnd"/>
      <w:r>
        <w:t>.</w:t>
      </w:r>
      <w:r w:rsidRPr="004E7652">
        <w:t xml:space="preserve"> 1969. A Theory of Demand for Products Distinguished by Place of Production. </w:t>
      </w:r>
      <w:r w:rsidRPr="00EC0D1E">
        <w:rPr>
          <w:i/>
          <w:iCs/>
        </w:rPr>
        <w:t>Staff Papers (International Monetary Fund</w:t>
      </w:r>
      <w:r>
        <w:rPr>
          <w:i/>
          <w:iCs/>
        </w:rPr>
        <w:t>).</w:t>
      </w:r>
      <w:r w:rsidRPr="004E7652">
        <w:t xml:space="preserve"> </w:t>
      </w:r>
      <w:r w:rsidRPr="00856950">
        <w:t>16</w:t>
      </w:r>
      <w:r w:rsidRPr="004E7652">
        <w:t>(1)</w:t>
      </w:r>
      <w:r>
        <w:t>.</w:t>
      </w:r>
      <w:r w:rsidRPr="004E7652">
        <w:t xml:space="preserve"> </w:t>
      </w:r>
      <w:r>
        <w:t xml:space="preserve">pp. </w:t>
      </w:r>
      <w:r w:rsidRPr="004E7652">
        <w:t>159–78.</w:t>
      </w:r>
    </w:p>
    <w:p w14:paraId="08422FEA" w14:textId="77777777" w:rsidR="00313E28" w:rsidRDefault="00313E28" w:rsidP="00313E28">
      <w:pPr>
        <w:ind w:left="590" w:hanging="590"/>
      </w:pPr>
      <w:r>
        <w:t xml:space="preserve">G. </w:t>
      </w:r>
      <w:proofErr w:type="spellStart"/>
      <w:r>
        <w:t>Azretbergenova</w:t>
      </w:r>
      <w:proofErr w:type="spellEnd"/>
      <w:r>
        <w:t xml:space="preserve"> and A. </w:t>
      </w:r>
      <w:proofErr w:type="spellStart"/>
      <w:r>
        <w:t>Syzdykova</w:t>
      </w:r>
      <w:proofErr w:type="spellEnd"/>
      <w:r>
        <w:t xml:space="preserve">. 2020. The Dependence of the Kazakhstan Economy on the Oil Sector and the Importance of Export Diversification. </w:t>
      </w:r>
      <w:r w:rsidRPr="003435C3">
        <w:rPr>
          <w:i/>
          <w:iCs/>
        </w:rPr>
        <w:t xml:space="preserve">International Journal of Energy Economics and Policy. </w:t>
      </w:r>
      <w:r>
        <w:t>10(6). pp. 157–163.</w:t>
      </w:r>
    </w:p>
    <w:p w14:paraId="42AA1483" w14:textId="174A2AF8" w:rsidR="00313E28" w:rsidRDefault="00313E28" w:rsidP="00313E28">
      <w:pPr>
        <w:ind w:left="590" w:hanging="590"/>
      </w:pPr>
      <w:r>
        <w:t xml:space="preserve">Asian Development Bank (ADB). 2018. </w:t>
      </w:r>
      <w:r w:rsidRPr="003435C3">
        <w:rPr>
          <w:i/>
          <w:iCs/>
        </w:rPr>
        <w:t>Kazakhstan: Accelerating Economic Diversification</w:t>
      </w:r>
      <w:r>
        <w:t xml:space="preserve">. Mandaluyong City, Philippines: Asian Development Bank. </w:t>
      </w:r>
    </w:p>
    <w:p w14:paraId="50E0D7EE" w14:textId="4ECBDD2B" w:rsidR="00B557A9" w:rsidRDefault="007A6654" w:rsidP="00B557A9">
      <w:pPr>
        <w:ind w:left="567" w:hanging="567"/>
        <w:rPr>
          <w:rFonts w:ascii="Calibri" w:eastAsia="Calibri" w:hAnsi="Calibri" w:cs="Calibri"/>
        </w:rPr>
      </w:pPr>
      <w:r>
        <w:rPr>
          <w:rFonts w:ascii="Calibri" w:eastAsia="Calibri" w:hAnsi="Calibri" w:cs="Calibri"/>
        </w:rPr>
        <w:t>ADB</w:t>
      </w:r>
      <w:r w:rsidR="00B557A9">
        <w:rPr>
          <w:rFonts w:ascii="Calibri" w:eastAsia="Calibri" w:hAnsi="Calibri" w:cs="Calibri"/>
        </w:rPr>
        <w:t xml:space="preserve">. 2021. </w:t>
      </w:r>
      <w:r w:rsidR="00B557A9" w:rsidRPr="007F7DC5">
        <w:rPr>
          <w:rFonts w:ascii="Calibri" w:eastAsia="Calibri" w:hAnsi="Calibri" w:cs="Calibri"/>
          <w:i/>
          <w:iCs/>
        </w:rPr>
        <w:t>Key Indica</w:t>
      </w:r>
      <w:r w:rsidR="00B557A9">
        <w:rPr>
          <w:rFonts w:ascii="Calibri" w:eastAsia="Calibri" w:hAnsi="Calibri" w:cs="Calibri"/>
          <w:i/>
          <w:iCs/>
        </w:rPr>
        <w:t>t</w:t>
      </w:r>
      <w:r w:rsidR="00B557A9" w:rsidRPr="007F7DC5">
        <w:rPr>
          <w:rFonts w:ascii="Calibri" w:eastAsia="Calibri" w:hAnsi="Calibri" w:cs="Calibri"/>
          <w:i/>
          <w:iCs/>
        </w:rPr>
        <w:t>ors for Asia and the Pacific</w:t>
      </w:r>
      <w:r w:rsidR="00B557A9">
        <w:rPr>
          <w:rFonts w:ascii="Calibri" w:eastAsia="Calibri" w:hAnsi="Calibri" w:cs="Calibri"/>
          <w:i/>
          <w:iCs/>
        </w:rPr>
        <w:t xml:space="preserve"> 2021</w:t>
      </w:r>
      <w:r w:rsidR="00B557A9">
        <w:rPr>
          <w:rFonts w:ascii="Calibri" w:eastAsia="Calibri" w:hAnsi="Calibri" w:cs="Calibri"/>
        </w:rPr>
        <w:t xml:space="preserve">. Manila, Philippines: Asian Development Bank. </w:t>
      </w:r>
    </w:p>
    <w:p w14:paraId="66B9DD4F" w14:textId="77777777" w:rsidR="001C171D" w:rsidRDefault="001C171D" w:rsidP="001C171D">
      <w:pPr>
        <w:ind w:left="596" w:hanging="596"/>
      </w:pPr>
      <w:r>
        <w:t xml:space="preserve">B. Balassa. 1965. Trade </w:t>
      </w:r>
      <w:proofErr w:type="spellStart"/>
      <w:r>
        <w:t>Liberalisation</w:t>
      </w:r>
      <w:proofErr w:type="spellEnd"/>
      <w:r>
        <w:t xml:space="preserve"> and “Revealed” Comparative Advantage. </w:t>
      </w:r>
      <w:r w:rsidRPr="001B7C60">
        <w:rPr>
          <w:i/>
          <w:iCs/>
        </w:rPr>
        <w:t>The Manchester School</w:t>
      </w:r>
      <w:r>
        <w:t xml:space="preserve">. </w:t>
      </w:r>
      <w:r w:rsidRPr="00E84654">
        <w:t>33</w:t>
      </w:r>
      <w:r>
        <w:t>(2). pp. 99–123.</w:t>
      </w:r>
    </w:p>
    <w:p w14:paraId="2324C8FE" w14:textId="77777777" w:rsidR="001C171D" w:rsidRPr="00CD47E9" w:rsidRDefault="001C171D" w:rsidP="001C171D">
      <w:pPr>
        <w:pStyle w:val="References"/>
        <w:rPr>
          <w:lang w:val="en-PH"/>
        </w:rPr>
      </w:pPr>
      <w:r w:rsidRPr="00CD47E9">
        <w:rPr>
          <w:lang w:val="en-PH"/>
        </w:rPr>
        <w:t xml:space="preserve">R. Banga. 2014. Linking into Global Value Chains Is Not Sufficient: Do You Export Domestic Value Added Contents? </w:t>
      </w:r>
      <w:r w:rsidRPr="00CD47E9">
        <w:rPr>
          <w:i/>
          <w:iCs/>
          <w:lang w:val="en-PH"/>
        </w:rPr>
        <w:t>Journal of Economic Integration</w:t>
      </w:r>
      <w:r w:rsidRPr="00047374">
        <w:rPr>
          <w:lang w:val="en-PH"/>
        </w:rPr>
        <w:t>. 29(2)</w:t>
      </w:r>
      <w:r>
        <w:rPr>
          <w:lang w:val="en-PH"/>
        </w:rPr>
        <w:t>.</w:t>
      </w:r>
      <w:r w:rsidRPr="00CD47E9">
        <w:rPr>
          <w:lang w:val="en-PH"/>
        </w:rPr>
        <w:t xml:space="preserve"> pp. 267–297.</w:t>
      </w:r>
    </w:p>
    <w:p w14:paraId="553F6CA6" w14:textId="77777777" w:rsidR="001C171D" w:rsidRPr="009135CC" w:rsidRDefault="001C171D" w:rsidP="001C171D">
      <w:pPr>
        <w:pStyle w:val="References"/>
        <w:rPr>
          <w:color w:val="000000" w:themeColor="text1"/>
        </w:rPr>
      </w:pPr>
      <w:r w:rsidRPr="00CD47E9">
        <w:rPr>
          <w:lang w:val="en-PH"/>
        </w:rPr>
        <w:t xml:space="preserve">D. </w:t>
      </w:r>
      <w:proofErr w:type="spellStart"/>
      <w:r w:rsidRPr="00CD47E9">
        <w:rPr>
          <w:lang w:val="en-PH"/>
        </w:rPr>
        <w:t>Bartelme</w:t>
      </w:r>
      <w:proofErr w:type="spellEnd"/>
      <w:r w:rsidRPr="00CD47E9">
        <w:rPr>
          <w:lang w:val="en-PH"/>
        </w:rPr>
        <w:t xml:space="preserve"> and Y. </w:t>
      </w:r>
      <w:proofErr w:type="spellStart"/>
      <w:r w:rsidRPr="00CD47E9">
        <w:rPr>
          <w:lang w:val="en-PH"/>
        </w:rPr>
        <w:t>Gorodnichenko</w:t>
      </w:r>
      <w:proofErr w:type="spellEnd"/>
      <w:r w:rsidRPr="00CD47E9">
        <w:rPr>
          <w:lang w:val="en-PH"/>
        </w:rPr>
        <w:t xml:space="preserve">. 2015. Linkages and Economic Development. </w:t>
      </w:r>
      <w:r w:rsidRPr="00CD47E9">
        <w:rPr>
          <w:i/>
          <w:iCs/>
          <w:lang w:val="en-PH"/>
        </w:rPr>
        <w:t>NBER Working Paper</w:t>
      </w:r>
      <w:r w:rsidRPr="00DC2E5E">
        <w:rPr>
          <w:lang w:val="en-PH"/>
        </w:rPr>
        <w:t>. No. 21251</w:t>
      </w:r>
      <w:r w:rsidRPr="009135CC">
        <w:rPr>
          <w:color w:val="000000" w:themeColor="text1"/>
          <w:lang w:val="en-PH"/>
        </w:rPr>
        <w:t>.</w:t>
      </w:r>
      <w:r w:rsidRPr="009135CC">
        <w:rPr>
          <w:color w:val="000000" w:themeColor="text1"/>
        </w:rPr>
        <w:t xml:space="preserve"> Cambridge, MA: National Bureau of Economic Research.</w:t>
      </w:r>
    </w:p>
    <w:p w14:paraId="26F31973" w14:textId="77777777" w:rsidR="001C171D" w:rsidRDefault="001C171D" w:rsidP="001C171D">
      <w:pPr>
        <w:ind w:left="590" w:hanging="590"/>
      </w:pPr>
      <w:r>
        <w:t xml:space="preserve">T. </w:t>
      </w:r>
      <w:proofErr w:type="spellStart"/>
      <w:r>
        <w:t>Bayoumi</w:t>
      </w:r>
      <w:proofErr w:type="spellEnd"/>
      <w:r>
        <w:t xml:space="preserve">, J. Lee, and S. Jayanthi. 2005. New Rates from New Weights. </w:t>
      </w:r>
      <w:r w:rsidRPr="00F44718">
        <w:rPr>
          <w:i/>
          <w:iCs/>
        </w:rPr>
        <w:t>IMF Working Paper WP/05/99</w:t>
      </w:r>
      <w:r>
        <w:t xml:space="preserve">. Washington, DC: International Monetary Fund. </w:t>
      </w:r>
    </w:p>
    <w:p w14:paraId="57241530" w14:textId="77777777" w:rsidR="001C171D" w:rsidRDefault="001C171D" w:rsidP="001C171D">
      <w:pPr>
        <w:ind w:left="590" w:hanging="590"/>
      </w:pPr>
      <w:r>
        <w:t xml:space="preserve">R. </w:t>
      </w:r>
      <w:proofErr w:type="spellStart"/>
      <w:r>
        <w:t>Bems</w:t>
      </w:r>
      <w:proofErr w:type="spellEnd"/>
      <w:r>
        <w:t xml:space="preserve"> and R. C. Johnson. 2017. Demand for Value Added and Value-Added Exchange Rates. </w:t>
      </w:r>
      <w:r w:rsidRPr="000A55B9">
        <w:rPr>
          <w:i/>
          <w:iCs/>
        </w:rPr>
        <w:t>American Economic Journal: Macroeconomics</w:t>
      </w:r>
      <w:r w:rsidRPr="000A55B9">
        <w:t>.</w:t>
      </w:r>
      <w:r>
        <w:t xml:space="preserve"> </w:t>
      </w:r>
      <w:r w:rsidRPr="00537F30">
        <w:t>9</w:t>
      </w:r>
      <w:r>
        <w:t>(4). pp. 45–90.</w:t>
      </w:r>
    </w:p>
    <w:p w14:paraId="4DA36C82" w14:textId="77777777" w:rsidR="00B557A9" w:rsidRDefault="00B557A9" w:rsidP="00B557A9">
      <w:pPr>
        <w:ind w:left="567" w:hanging="567"/>
        <w:rPr>
          <w:rFonts w:ascii="Calibri" w:eastAsia="Calibri" w:hAnsi="Calibri" w:cs="Calibri"/>
        </w:rPr>
      </w:pPr>
      <w:r>
        <w:rPr>
          <w:rFonts w:ascii="Calibri" w:eastAsia="Calibri" w:hAnsi="Calibri" w:cs="Calibri"/>
        </w:rPr>
        <w:t xml:space="preserve">A. </w:t>
      </w:r>
      <w:proofErr w:type="spellStart"/>
      <w:r w:rsidRPr="009B5097">
        <w:rPr>
          <w:rFonts w:ascii="Calibri" w:eastAsia="Calibri" w:hAnsi="Calibri" w:cs="Calibri"/>
        </w:rPr>
        <w:t>Borin</w:t>
      </w:r>
      <w:proofErr w:type="spellEnd"/>
      <w:r w:rsidRPr="009B5097">
        <w:rPr>
          <w:rFonts w:ascii="Calibri" w:eastAsia="Calibri" w:hAnsi="Calibri" w:cs="Calibri"/>
        </w:rPr>
        <w:t xml:space="preserve"> and M. </w:t>
      </w:r>
      <w:r w:rsidRPr="009B5097">
        <w:t>Mancini. 2019. Measuring What Matters in Global Value Chains and Value-</w:t>
      </w:r>
      <w:r w:rsidRPr="0077221F">
        <w:t>Added Trade.</w:t>
      </w:r>
      <w:r>
        <w:rPr>
          <w:rFonts w:ascii="Calibri" w:eastAsia="Calibri" w:hAnsi="Calibri" w:cs="Calibri"/>
        </w:rPr>
        <w:t xml:space="preserve"> </w:t>
      </w:r>
      <w:r w:rsidRPr="00CE7B24">
        <w:rPr>
          <w:rFonts w:ascii="Calibri" w:eastAsia="Calibri" w:hAnsi="Calibri" w:cs="Calibri"/>
          <w:i/>
          <w:iCs/>
        </w:rPr>
        <w:t>Policy Research Working Paper</w:t>
      </w:r>
      <w:r w:rsidRPr="000C1CEC">
        <w:rPr>
          <w:rFonts w:ascii="Calibri" w:eastAsia="Calibri" w:hAnsi="Calibri" w:cs="Calibri"/>
        </w:rPr>
        <w:t>. No. 8804</w:t>
      </w:r>
      <w:r>
        <w:rPr>
          <w:rFonts w:ascii="Calibri" w:eastAsia="Calibri" w:hAnsi="Calibri" w:cs="Calibri"/>
        </w:rPr>
        <w:t xml:space="preserve">. Washington, DC: World Bank. </w:t>
      </w:r>
    </w:p>
    <w:p w14:paraId="06A8B528" w14:textId="77777777" w:rsidR="001C171D" w:rsidRPr="009135CC" w:rsidRDefault="001C171D" w:rsidP="001C171D">
      <w:pPr>
        <w:pStyle w:val="References"/>
        <w:rPr>
          <w:color w:val="000000" w:themeColor="text1"/>
          <w:lang w:val="en-PH"/>
        </w:rPr>
      </w:pPr>
      <w:r w:rsidRPr="009135CC">
        <w:rPr>
          <w:color w:val="000000" w:themeColor="text1"/>
          <w:lang w:val="en-PH"/>
        </w:rPr>
        <w:t xml:space="preserve">A. B. Bernard, J. B. Jensen, S. J. Redding, and P. K. Schott. 2007. Firms in International Trade. </w:t>
      </w:r>
      <w:r w:rsidRPr="009135CC">
        <w:rPr>
          <w:i/>
          <w:iCs/>
          <w:color w:val="000000" w:themeColor="text1"/>
          <w:lang w:val="en-PH"/>
        </w:rPr>
        <w:t>Journal of Economic Perspectives</w:t>
      </w:r>
      <w:r w:rsidRPr="009135CC">
        <w:rPr>
          <w:color w:val="000000" w:themeColor="text1"/>
          <w:lang w:val="en-PH"/>
        </w:rPr>
        <w:t>. 21(3), pp. 105–130.</w:t>
      </w:r>
    </w:p>
    <w:p w14:paraId="21618028" w14:textId="77777777" w:rsidR="00B557A9" w:rsidRDefault="00B557A9" w:rsidP="00B557A9">
      <w:pPr>
        <w:ind w:left="567" w:hanging="567"/>
      </w:pPr>
      <w:r>
        <w:lastRenderedPageBreak/>
        <w:t xml:space="preserve">S. Chatterjee and A. Subramanian. 2020. India’s Export-Led Growth: Exemplar and Exception. </w:t>
      </w:r>
      <w:r w:rsidRPr="00A23D82">
        <w:rPr>
          <w:i/>
          <w:iCs/>
        </w:rPr>
        <w:t>Ashoka Centre for Economic Policy Working Paper No. 1</w:t>
      </w:r>
      <w:r>
        <w:t>. Sonipat, India: Ashoka University.</w:t>
      </w:r>
    </w:p>
    <w:p w14:paraId="5D101028" w14:textId="77777777" w:rsidR="001C171D" w:rsidRDefault="001C171D" w:rsidP="001C171D">
      <w:pPr>
        <w:ind w:left="590" w:hanging="590"/>
      </w:pPr>
      <w:r>
        <w:t xml:space="preserve">M. D. Chinn. 2006. A Primer on Real Effective Exchange Rates: Determinants, Overvaluation, Trade Flows and Competitive Devaluation. </w:t>
      </w:r>
      <w:r w:rsidRPr="0098640E">
        <w:rPr>
          <w:i/>
          <w:iCs/>
        </w:rPr>
        <w:t>Open Economies Review</w:t>
      </w:r>
      <w:r>
        <w:t xml:space="preserve">. </w:t>
      </w:r>
      <w:r w:rsidRPr="00537F30">
        <w:t>51</w:t>
      </w:r>
      <w:r>
        <w:t>. pp. 115–43.</w:t>
      </w:r>
    </w:p>
    <w:p w14:paraId="5AECA899" w14:textId="77777777" w:rsidR="00C3522D" w:rsidRDefault="00C3522D" w:rsidP="00C3522D">
      <w:pPr>
        <w:pStyle w:val="References"/>
        <w:rPr>
          <w:color w:val="000000" w:themeColor="text1"/>
        </w:rPr>
      </w:pPr>
      <w:r w:rsidRPr="009135CC">
        <w:rPr>
          <w:color w:val="000000" w:themeColor="text1"/>
          <w:lang w:val="en-PH"/>
        </w:rPr>
        <w:t xml:space="preserve">D. Dollar, B. Khan, and  P. Pei. </w:t>
      </w:r>
      <w:r>
        <w:rPr>
          <w:color w:val="000000" w:themeColor="text1"/>
          <w:lang w:val="en-PH"/>
        </w:rPr>
        <w:t xml:space="preserve">2019. </w:t>
      </w:r>
      <w:r w:rsidRPr="009135CC">
        <w:rPr>
          <w:color w:val="000000" w:themeColor="text1"/>
          <w:lang w:val="en-PH"/>
        </w:rPr>
        <w:t xml:space="preserve">Should </w:t>
      </w:r>
      <w:r>
        <w:rPr>
          <w:color w:val="000000" w:themeColor="text1"/>
          <w:lang w:val="en-PH"/>
        </w:rPr>
        <w:t>H</w:t>
      </w:r>
      <w:r w:rsidRPr="009135CC">
        <w:rPr>
          <w:color w:val="000000" w:themeColor="text1"/>
          <w:lang w:val="en-PH"/>
        </w:rPr>
        <w:t xml:space="preserve">igh </w:t>
      </w:r>
      <w:r>
        <w:rPr>
          <w:color w:val="000000" w:themeColor="text1"/>
          <w:lang w:val="en-PH"/>
        </w:rPr>
        <w:t>D</w:t>
      </w:r>
      <w:r w:rsidRPr="009135CC">
        <w:rPr>
          <w:color w:val="000000" w:themeColor="text1"/>
          <w:lang w:val="en-PH"/>
        </w:rPr>
        <w:t xml:space="preserve">omestic </w:t>
      </w:r>
      <w:r>
        <w:rPr>
          <w:color w:val="000000" w:themeColor="text1"/>
          <w:lang w:val="en-PH"/>
        </w:rPr>
        <w:t>V</w:t>
      </w:r>
      <w:r w:rsidRPr="009135CC">
        <w:rPr>
          <w:color w:val="000000" w:themeColor="text1"/>
          <w:lang w:val="en-PH"/>
        </w:rPr>
        <w:t xml:space="preserve">alue </w:t>
      </w:r>
      <w:r>
        <w:rPr>
          <w:color w:val="000000" w:themeColor="text1"/>
          <w:lang w:val="en-PH"/>
        </w:rPr>
        <w:t>A</w:t>
      </w:r>
      <w:r w:rsidRPr="009135CC">
        <w:rPr>
          <w:color w:val="000000" w:themeColor="text1"/>
          <w:lang w:val="en-PH"/>
        </w:rPr>
        <w:t xml:space="preserve">dded in </w:t>
      </w:r>
      <w:r>
        <w:rPr>
          <w:color w:val="000000" w:themeColor="text1"/>
          <w:lang w:val="en-PH"/>
        </w:rPr>
        <w:t>E</w:t>
      </w:r>
      <w:r w:rsidRPr="009135CC">
        <w:rPr>
          <w:color w:val="000000" w:themeColor="text1"/>
          <w:lang w:val="en-PH"/>
        </w:rPr>
        <w:t xml:space="preserve">xports </w:t>
      </w:r>
      <w:r>
        <w:rPr>
          <w:color w:val="000000" w:themeColor="text1"/>
          <w:lang w:val="en-PH"/>
        </w:rPr>
        <w:t>B</w:t>
      </w:r>
      <w:r w:rsidRPr="009135CC">
        <w:rPr>
          <w:color w:val="000000" w:themeColor="text1"/>
          <w:lang w:val="en-PH"/>
        </w:rPr>
        <w:t xml:space="preserve">e an </w:t>
      </w:r>
      <w:r>
        <w:rPr>
          <w:color w:val="000000" w:themeColor="text1"/>
          <w:lang w:val="en-PH"/>
        </w:rPr>
        <w:t>O</w:t>
      </w:r>
      <w:r w:rsidRPr="009135CC">
        <w:rPr>
          <w:color w:val="000000" w:themeColor="text1"/>
          <w:lang w:val="en-PH"/>
        </w:rPr>
        <w:t xml:space="preserve">bjective of </w:t>
      </w:r>
      <w:r>
        <w:rPr>
          <w:color w:val="000000" w:themeColor="text1"/>
          <w:lang w:val="en-PH"/>
        </w:rPr>
        <w:t>P</w:t>
      </w:r>
      <w:r w:rsidRPr="009135CC">
        <w:rPr>
          <w:color w:val="000000" w:themeColor="text1"/>
          <w:lang w:val="en-PH"/>
        </w:rPr>
        <w:t xml:space="preserve">olicy? In World Bank and World Trade Organization. </w:t>
      </w:r>
      <w:r w:rsidRPr="009135CC">
        <w:rPr>
          <w:rFonts w:eastAsia="Times New Roman"/>
          <w:i/>
          <w:iCs/>
          <w:color w:val="000000" w:themeColor="text1"/>
          <w:lang w:val="en-PH"/>
        </w:rPr>
        <w:t xml:space="preserve">Global Value Chain Development Report 2019: Technological Innovation, Supply Chain Trade, and Workers in a Globalized World. </w:t>
      </w:r>
      <w:r w:rsidRPr="009135CC">
        <w:rPr>
          <w:color w:val="000000" w:themeColor="text1"/>
        </w:rPr>
        <w:t>Washington, DC: World Bank.</w:t>
      </w:r>
    </w:p>
    <w:p w14:paraId="6C9E2B22" w14:textId="2D7D61FF" w:rsidR="009013FF" w:rsidRPr="009135CC" w:rsidRDefault="009013FF" w:rsidP="00C3522D">
      <w:pPr>
        <w:pStyle w:val="References"/>
        <w:rPr>
          <w:rFonts w:eastAsia="Times New Roman"/>
          <w:color w:val="000000" w:themeColor="text1"/>
          <w:lang w:val="en-PH"/>
        </w:rPr>
      </w:pPr>
      <w:r w:rsidRPr="00AC486C">
        <w:rPr>
          <w:i/>
          <w:iCs/>
          <w:color w:val="000000" w:themeColor="text1"/>
        </w:rPr>
        <w:t>The Economist</w:t>
      </w:r>
      <w:r>
        <w:rPr>
          <w:color w:val="000000" w:themeColor="text1"/>
        </w:rPr>
        <w:t xml:space="preserve">. 2023, December 21. 2022 Has Been a Year of Brutal Inflation. </w:t>
      </w:r>
      <w:r w:rsidRPr="00B631F8">
        <w:rPr>
          <w:i/>
          <w:iCs/>
          <w:color w:val="000000" w:themeColor="text1"/>
        </w:rPr>
        <w:t>The Economist</w:t>
      </w:r>
      <w:r>
        <w:rPr>
          <w:color w:val="000000" w:themeColor="text1"/>
        </w:rPr>
        <w:t xml:space="preserve">. Retrieved from </w:t>
      </w:r>
      <w:r w:rsidRPr="009013FF">
        <w:rPr>
          <w:color w:val="000000" w:themeColor="text1"/>
        </w:rPr>
        <w:t>https://www.economist.com/finance-and-economics/2022/12/21/2022-has-been-a-year-of-brutal-inflation</w:t>
      </w:r>
      <w:r>
        <w:rPr>
          <w:color w:val="000000" w:themeColor="text1"/>
        </w:rPr>
        <w:t>.</w:t>
      </w:r>
    </w:p>
    <w:p w14:paraId="293A6A03" w14:textId="77777777" w:rsidR="001C171D" w:rsidRDefault="001C171D" w:rsidP="001C171D">
      <w:pPr>
        <w:ind w:left="567" w:hanging="567"/>
        <w:rPr>
          <w:rFonts w:ascii="Calibri" w:eastAsia="Calibri" w:hAnsi="Calibri" w:cs="Calibri"/>
        </w:rPr>
      </w:pPr>
      <w:r>
        <w:rPr>
          <w:rFonts w:ascii="Calibri" w:eastAsia="Calibri" w:hAnsi="Calibri" w:cs="Calibri"/>
        </w:rPr>
        <w:t xml:space="preserve">H. </w:t>
      </w:r>
      <w:proofErr w:type="spellStart"/>
      <w:r>
        <w:rPr>
          <w:rFonts w:ascii="Calibri" w:eastAsia="Calibri" w:hAnsi="Calibri" w:cs="Calibri"/>
        </w:rPr>
        <w:t>Escaith</w:t>
      </w:r>
      <w:proofErr w:type="spellEnd"/>
      <w:r>
        <w:rPr>
          <w:rFonts w:ascii="Calibri" w:eastAsia="Calibri" w:hAnsi="Calibri" w:cs="Calibri"/>
        </w:rPr>
        <w:t xml:space="preserve"> and S. Inomata. 2013. Geometry of Global Value Chains in East Asia: The Role of Industrial Networks and Trade Policies. In D. K. Elms and P. Low (eds.), </w:t>
      </w:r>
      <w:r w:rsidRPr="002D2906">
        <w:rPr>
          <w:rFonts w:ascii="Calibri" w:eastAsia="Calibri" w:hAnsi="Calibri" w:cs="Calibri"/>
          <w:i/>
          <w:iCs/>
        </w:rPr>
        <w:t>Global Value Chains in a Changing World</w:t>
      </w:r>
      <w:r>
        <w:rPr>
          <w:rFonts w:ascii="Calibri" w:eastAsia="Calibri" w:hAnsi="Calibri" w:cs="Calibri"/>
        </w:rPr>
        <w:t xml:space="preserve"> (pp. 135–157). Geneva, Switzerland: World Trade Organization. </w:t>
      </w:r>
    </w:p>
    <w:p w14:paraId="3C6A622D" w14:textId="77777777" w:rsidR="006F2B7D" w:rsidRDefault="006F2B7D" w:rsidP="006F2B7D">
      <w:pPr>
        <w:pStyle w:val="References"/>
      </w:pPr>
      <w:r>
        <w:t xml:space="preserve">European Commission. 2008. </w:t>
      </w:r>
      <w:r w:rsidRPr="00806E9A">
        <w:rPr>
          <w:i/>
          <w:iCs/>
        </w:rPr>
        <w:t>Eurostat Manual of Supply, Use and Input-Output Tables</w:t>
      </w:r>
      <w:r>
        <w:t>. Luxembourg: European Commission. Retrieved from https://ec.europa.eu/eurostat/web/products-manuals-and-guidelines/-/KS-RA-07-013.</w:t>
      </w:r>
    </w:p>
    <w:p w14:paraId="0D0352CE" w14:textId="77777777" w:rsidR="008D173F" w:rsidRDefault="008D173F" w:rsidP="008D173F">
      <w:pPr>
        <w:ind w:left="590" w:hanging="590"/>
      </w:pPr>
      <w:r>
        <w:t xml:space="preserve">D. </w:t>
      </w:r>
      <w:proofErr w:type="spellStart"/>
      <w:r>
        <w:t>Fickling</w:t>
      </w:r>
      <w:proofErr w:type="spellEnd"/>
      <w:r>
        <w:t xml:space="preserve">. 2022, September 29. Peak Oil Has Finally Arrived. No, Really. </w:t>
      </w:r>
      <w:r>
        <w:rPr>
          <w:i/>
          <w:iCs/>
        </w:rPr>
        <w:t>Bloomberg</w:t>
      </w:r>
      <w:r>
        <w:t xml:space="preserve">. </w:t>
      </w:r>
      <w:r w:rsidRPr="00255A71">
        <w:t xml:space="preserve">https://www.bloomberg.com/opinion/articles/2022-09-28/the-oil-peak-is-here-as-steep-rate-hikes-curb-consumption </w:t>
      </w:r>
      <w:r>
        <w:t>(accessed 27 June 2023).</w:t>
      </w:r>
    </w:p>
    <w:p w14:paraId="567C160E" w14:textId="77777777" w:rsidR="001C171D" w:rsidRDefault="001C171D" w:rsidP="001C171D">
      <w:pPr>
        <w:pStyle w:val="References"/>
      </w:pPr>
      <w:r>
        <w:t xml:space="preserve">J. A. Frankel. 1997. </w:t>
      </w:r>
      <w:r w:rsidRPr="00A96289">
        <w:rPr>
          <w:i/>
          <w:iCs/>
        </w:rPr>
        <w:t>Regional Trading Blocs in the World Economic System</w:t>
      </w:r>
      <w:r>
        <w:t>. Washington, DC: Peterson Institute for International Economics.</w:t>
      </w:r>
    </w:p>
    <w:p w14:paraId="2EDFF0E3" w14:textId="77777777" w:rsidR="00B557A9" w:rsidRDefault="00B557A9" w:rsidP="00B557A9">
      <w:pPr>
        <w:ind w:left="567" w:hanging="567"/>
      </w:pPr>
      <w:r>
        <w:t xml:space="preserve">J. A. Frankel and D. Romer. 1999. Does Trade Cause Growth? </w:t>
      </w:r>
      <w:r w:rsidRPr="0011123B">
        <w:rPr>
          <w:i/>
          <w:iCs/>
        </w:rPr>
        <w:t>American Economic Review</w:t>
      </w:r>
      <w:r>
        <w:t xml:space="preserve">. 89(3). pp. 379–399. </w:t>
      </w:r>
    </w:p>
    <w:p w14:paraId="14BCCB34" w14:textId="77777777" w:rsidR="001C171D" w:rsidRDefault="001C171D" w:rsidP="001C171D">
      <w:pPr>
        <w:pStyle w:val="References"/>
      </w:pPr>
      <w:r>
        <w:t xml:space="preserve">S. </w:t>
      </w:r>
      <w:proofErr w:type="spellStart"/>
      <w:r>
        <w:t>Giglioli</w:t>
      </w:r>
      <w:proofErr w:type="spellEnd"/>
      <w:r>
        <w:t xml:space="preserve">, G. Giovannetti, E. </w:t>
      </w:r>
      <w:proofErr w:type="spellStart"/>
      <w:r>
        <w:t>Marvasi</w:t>
      </w:r>
      <w:proofErr w:type="spellEnd"/>
      <w:r>
        <w:t xml:space="preserve">, and A. </w:t>
      </w:r>
      <w:proofErr w:type="spellStart"/>
      <w:r>
        <w:t>Vivoli</w:t>
      </w:r>
      <w:proofErr w:type="spellEnd"/>
      <w:r>
        <w:t xml:space="preserve">. 2021. The Resilience of Global Value Chains During the Covid-19 Pandemic: The Case of Italy. </w:t>
      </w:r>
      <w:proofErr w:type="spellStart"/>
      <w:r w:rsidRPr="00B70D6E">
        <w:rPr>
          <w:i/>
          <w:iCs/>
        </w:rPr>
        <w:t>UniFI</w:t>
      </w:r>
      <w:proofErr w:type="spellEnd"/>
      <w:r>
        <w:t xml:space="preserve"> </w:t>
      </w:r>
      <w:r w:rsidRPr="00C62A65">
        <w:rPr>
          <w:i/>
          <w:iCs/>
        </w:rPr>
        <w:t>DISEI Working Paper No. 07/2021</w:t>
      </w:r>
      <w:r>
        <w:t xml:space="preserve">. Florence, Italy: </w:t>
      </w:r>
      <w:proofErr w:type="spellStart"/>
      <w:r>
        <w:t>Università</w:t>
      </w:r>
      <w:proofErr w:type="spellEnd"/>
      <w:r>
        <w:t xml:space="preserve"> </w:t>
      </w:r>
      <w:proofErr w:type="spellStart"/>
      <w:r>
        <w:t>degli</w:t>
      </w:r>
      <w:proofErr w:type="spellEnd"/>
      <w:r>
        <w:t xml:space="preserve"> </w:t>
      </w:r>
      <w:proofErr w:type="spellStart"/>
      <w:r>
        <w:t>Studi</w:t>
      </w:r>
      <w:proofErr w:type="spellEnd"/>
      <w:r>
        <w:t xml:space="preserve"> Firenze </w:t>
      </w:r>
      <w:proofErr w:type="spellStart"/>
      <w:r>
        <w:t>Dipartimento</w:t>
      </w:r>
      <w:proofErr w:type="spellEnd"/>
      <w:r>
        <w:t xml:space="preserve"> di </w:t>
      </w:r>
      <w:proofErr w:type="spellStart"/>
      <w:r>
        <w:t>Scienze</w:t>
      </w:r>
      <w:proofErr w:type="spellEnd"/>
      <w:r>
        <w:t xml:space="preserve"> per </w:t>
      </w:r>
      <w:proofErr w:type="spellStart"/>
      <w:r>
        <w:t>L’Economia</w:t>
      </w:r>
      <w:proofErr w:type="spellEnd"/>
      <w:r>
        <w:t xml:space="preserve"> e </w:t>
      </w:r>
      <w:proofErr w:type="spellStart"/>
      <w:r>
        <w:t>L’Impresa</w:t>
      </w:r>
      <w:proofErr w:type="spellEnd"/>
      <w:r>
        <w:t>.</w:t>
      </w:r>
    </w:p>
    <w:p w14:paraId="7D583309" w14:textId="77777777" w:rsidR="001C171D" w:rsidRDefault="001C171D" w:rsidP="001C171D">
      <w:pPr>
        <w:ind w:left="567" w:hanging="567"/>
        <w:rPr>
          <w:rFonts w:ascii="Calibri" w:eastAsia="Calibri" w:hAnsi="Calibri" w:cs="Calibri"/>
        </w:rPr>
      </w:pPr>
      <w:r>
        <w:rPr>
          <w:rFonts w:ascii="Calibri" w:eastAsia="Calibri" w:hAnsi="Calibri" w:cs="Calibri"/>
        </w:rPr>
        <w:t xml:space="preserve">D. Hummels, J. Ishii, and K. M. Yi. 2001. The Nature and Growth of Vertical Specialization in World Trade. </w:t>
      </w:r>
      <w:r w:rsidRPr="001B4235">
        <w:rPr>
          <w:rFonts w:ascii="Calibri" w:eastAsia="Calibri" w:hAnsi="Calibri" w:cs="Calibri"/>
          <w:i/>
          <w:iCs/>
        </w:rPr>
        <w:t>Journal of International Economics</w:t>
      </w:r>
      <w:r>
        <w:rPr>
          <w:rFonts w:ascii="Calibri" w:eastAsia="Calibri" w:hAnsi="Calibri" w:cs="Calibri"/>
        </w:rPr>
        <w:t xml:space="preserve">. </w:t>
      </w:r>
      <w:r w:rsidRPr="00867677">
        <w:rPr>
          <w:rFonts w:ascii="Calibri" w:eastAsia="Calibri" w:hAnsi="Calibri" w:cs="Calibri"/>
        </w:rPr>
        <w:t>54</w:t>
      </w:r>
      <w:r>
        <w:rPr>
          <w:rFonts w:ascii="Calibri" w:eastAsia="Calibri" w:hAnsi="Calibri" w:cs="Calibri"/>
        </w:rPr>
        <w:t>. pp. 75–96.</w:t>
      </w:r>
    </w:p>
    <w:p w14:paraId="23F404FB" w14:textId="77777777" w:rsidR="001C171D" w:rsidRDefault="001C171D" w:rsidP="001C171D">
      <w:pPr>
        <w:ind w:left="567" w:hanging="567"/>
        <w:rPr>
          <w:rFonts w:ascii="Calibri" w:eastAsia="Calibri" w:hAnsi="Calibri" w:cs="Calibri"/>
        </w:rPr>
      </w:pPr>
      <w:r>
        <w:rPr>
          <w:rFonts w:ascii="Calibri" w:eastAsia="Calibri" w:hAnsi="Calibri" w:cs="Calibri"/>
        </w:rPr>
        <w:lastRenderedPageBreak/>
        <w:t xml:space="preserve">S. Inomata. 2017. Analytical Frameworks for Global Value Chains: An Overview. In World Bank, </w:t>
      </w:r>
      <w:r w:rsidRPr="00CE19F3">
        <w:rPr>
          <w:rFonts w:ascii="Calibri" w:eastAsia="Calibri" w:hAnsi="Calibri" w:cs="Calibri"/>
          <w:i/>
          <w:iCs/>
        </w:rPr>
        <w:t>Global Value Chain Development Report 2017: Measuring and Analyzing the Impact of GVCs on Economic Development</w:t>
      </w:r>
      <w:r>
        <w:rPr>
          <w:rFonts w:ascii="Calibri" w:eastAsia="Calibri" w:hAnsi="Calibri" w:cs="Calibri"/>
          <w:i/>
          <w:iCs/>
        </w:rPr>
        <w:t>.</w:t>
      </w:r>
      <w:r>
        <w:rPr>
          <w:rFonts w:ascii="Calibri" w:eastAsia="Calibri" w:hAnsi="Calibri" w:cs="Calibri"/>
        </w:rPr>
        <w:t xml:space="preserve"> pp. 15–35. Washington, DC: World Bank.</w:t>
      </w:r>
    </w:p>
    <w:p w14:paraId="65027EBF" w14:textId="4C02628E" w:rsidR="001C171D" w:rsidRPr="00B23498" w:rsidRDefault="000D17C9" w:rsidP="001C171D">
      <w:pPr>
        <w:pStyle w:val="References"/>
      </w:pPr>
      <w:r>
        <w:rPr>
          <w:color w:val="000000" w:themeColor="text1"/>
        </w:rPr>
        <w:t>IMF (</w:t>
      </w:r>
      <w:r w:rsidR="001C171D" w:rsidRPr="009721D6">
        <w:rPr>
          <w:color w:val="000000" w:themeColor="text1"/>
        </w:rPr>
        <w:t>International Monetary Fund). 20</w:t>
      </w:r>
      <w:r w:rsidR="001C171D">
        <w:rPr>
          <w:color w:val="000000" w:themeColor="text1"/>
        </w:rPr>
        <w:t>19</w:t>
      </w:r>
      <w:r w:rsidR="001C171D" w:rsidRPr="009721D6">
        <w:rPr>
          <w:color w:val="000000" w:themeColor="text1"/>
        </w:rPr>
        <w:t xml:space="preserve">. </w:t>
      </w:r>
      <w:r w:rsidR="001C171D" w:rsidRPr="009721D6">
        <w:rPr>
          <w:i/>
          <w:iCs/>
          <w:color w:val="000000" w:themeColor="text1"/>
        </w:rPr>
        <w:t xml:space="preserve">World Economic Outlook: </w:t>
      </w:r>
      <w:r w:rsidR="001C171D">
        <w:rPr>
          <w:i/>
          <w:iCs/>
          <w:color w:val="000000" w:themeColor="text1"/>
        </w:rPr>
        <w:t>Global Manufacturing Downturn, Rising Trade Barriers</w:t>
      </w:r>
      <w:r w:rsidR="001C171D" w:rsidRPr="009721D6">
        <w:rPr>
          <w:color w:val="000000" w:themeColor="text1"/>
        </w:rPr>
        <w:t>. Washington, DC: International Monetary Fund.</w:t>
      </w:r>
    </w:p>
    <w:p w14:paraId="1BE2E581" w14:textId="77777777" w:rsidR="001C171D" w:rsidRDefault="001C171D" w:rsidP="001C171D">
      <w:pPr>
        <w:ind w:left="590" w:hanging="590"/>
      </w:pPr>
      <w:r>
        <w:t xml:space="preserve">O. </w:t>
      </w:r>
      <w:proofErr w:type="spellStart"/>
      <w:r>
        <w:t>Itskhoki</w:t>
      </w:r>
      <w:proofErr w:type="spellEnd"/>
      <w:r>
        <w:t xml:space="preserve">. 2020. The Story of the Real Exchange Rate. </w:t>
      </w:r>
      <w:r w:rsidRPr="008C74BB">
        <w:rPr>
          <w:i/>
          <w:iCs/>
        </w:rPr>
        <w:t>NBER Working Paper No. 28225</w:t>
      </w:r>
      <w:r>
        <w:t>. Cambridge, MA: National Bureau of Economic Research.</w:t>
      </w:r>
    </w:p>
    <w:p w14:paraId="2E9D4A9C" w14:textId="77777777" w:rsidR="008943E5" w:rsidRPr="009135CC" w:rsidRDefault="008943E5" w:rsidP="008943E5">
      <w:pPr>
        <w:pStyle w:val="References"/>
        <w:rPr>
          <w:color w:val="000000" w:themeColor="text1"/>
          <w:lang w:val="en-PH"/>
        </w:rPr>
      </w:pPr>
      <w:r w:rsidRPr="009135CC">
        <w:rPr>
          <w:color w:val="000000" w:themeColor="text1"/>
          <w:lang w:val="en-PH"/>
        </w:rPr>
        <w:t xml:space="preserve">C. I. Jones. 2011. Intermediate Goods and Weak Links in the Theory of Economic Development. </w:t>
      </w:r>
      <w:r w:rsidRPr="009135CC">
        <w:rPr>
          <w:i/>
          <w:iCs/>
          <w:color w:val="000000" w:themeColor="text1"/>
          <w:lang w:val="en-PH"/>
        </w:rPr>
        <w:t>American Economic Journal: Macroeconomics</w:t>
      </w:r>
      <w:r w:rsidRPr="009135CC">
        <w:rPr>
          <w:color w:val="000000" w:themeColor="text1"/>
          <w:lang w:val="en-PH"/>
        </w:rPr>
        <w:t>.</w:t>
      </w:r>
      <w:r w:rsidRPr="009135CC">
        <w:rPr>
          <w:i/>
          <w:iCs/>
          <w:color w:val="000000" w:themeColor="text1"/>
          <w:lang w:val="en-PH"/>
        </w:rPr>
        <w:t xml:space="preserve"> </w:t>
      </w:r>
      <w:r w:rsidRPr="009135CC">
        <w:rPr>
          <w:color w:val="000000" w:themeColor="text1"/>
          <w:lang w:val="en-PH"/>
        </w:rPr>
        <w:t>3(2). pp. 1–28.</w:t>
      </w:r>
    </w:p>
    <w:p w14:paraId="6344110C" w14:textId="77777777" w:rsidR="008943E5" w:rsidRPr="009135CC" w:rsidRDefault="008943E5" w:rsidP="008943E5">
      <w:pPr>
        <w:pStyle w:val="References"/>
        <w:rPr>
          <w:color w:val="000000" w:themeColor="text1"/>
          <w:lang w:val="en-PH"/>
        </w:rPr>
      </w:pPr>
      <w:r w:rsidRPr="009135CC">
        <w:rPr>
          <w:color w:val="000000" w:themeColor="text1"/>
          <w:lang w:val="en-PH"/>
        </w:rPr>
        <w:t xml:space="preserve">Kearney. 2021. </w:t>
      </w:r>
      <w:r w:rsidRPr="009135CC">
        <w:rPr>
          <w:i/>
          <w:iCs/>
          <w:color w:val="000000" w:themeColor="text1"/>
          <w:lang w:val="en-PH"/>
        </w:rPr>
        <w:t>Global Pandemic Roils 2020 Reshoring Index, Shifting Focus from Reshoring to Right-Shoring</w:t>
      </w:r>
      <w:r w:rsidRPr="009135CC">
        <w:rPr>
          <w:color w:val="000000" w:themeColor="text1"/>
          <w:lang w:val="en-PH"/>
        </w:rPr>
        <w:t xml:space="preserve">. Chicago, IL: Kearney. </w:t>
      </w:r>
    </w:p>
    <w:p w14:paraId="55844EC7" w14:textId="77777777" w:rsidR="001C171D" w:rsidRDefault="001C171D" w:rsidP="001C171D">
      <w:pPr>
        <w:keepNext/>
        <w:ind w:left="567" w:hanging="567"/>
        <w:rPr>
          <w:rFonts w:ascii="Calibri" w:eastAsia="Calibri" w:hAnsi="Calibri" w:cs="Calibri"/>
        </w:rPr>
      </w:pPr>
      <w:r>
        <w:rPr>
          <w:rFonts w:ascii="Calibri" w:eastAsia="Calibri" w:hAnsi="Calibri" w:cs="Calibri"/>
        </w:rPr>
        <w:t xml:space="preserve">R. Koopman, Z. Wang, and S. Wei. 2014. Tracing Value-Added and Double Counting in Gross Exports. </w:t>
      </w:r>
      <w:r w:rsidRPr="004E06B0">
        <w:rPr>
          <w:rFonts w:ascii="Calibri" w:eastAsia="Calibri" w:hAnsi="Calibri" w:cs="Calibri"/>
          <w:i/>
          <w:iCs/>
        </w:rPr>
        <w:t>American Economic Review</w:t>
      </w:r>
      <w:r>
        <w:rPr>
          <w:rFonts w:ascii="Calibri" w:eastAsia="Calibri" w:hAnsi="Calibri" w:cs="Calibri"/>
        </w:rPr>
        <w:t xml:space="preserve">. </w:t>
      </w:r>
      <w:r w:rsidRPr="00C14603">
        <w:rPr>
          <w:rFonts w:ascii="Calibri" w:eastAsia="Calibri" w:hAnsi="Calibri" w:cs="Calibri"/>
        </w:rPr>
        <w:t>104</w:t>
      </w:r>
      <w:r w:rsidRPr="00DF639A">
        <w:rPr>
          <w:rFonts w:ascii="Calibri" w:eastAsia="Calibri" w:hAnsi="Calibri" w:cs="Calibri"/>
        </w:rPr>
        <w:t>(2)</w:t>
      </w:r>
      <w:r>
        <w:rPr>
          <w:rFonts w:ascii="Calibri" w:eastAsia="Calibri" w:hAnsi="Calibri" w:cs="Calibri"/>
        </w:rPr>
        <w:t>. pp. 459–494.</w:t>
      </w:r>
    </w:p>
    <w:p w14:paraId="1387487F" w14:textId="3727EFFF" w:rsidR="00CA30DF" w:rsidRDefault="00CA30DF" w:rsidP="001C171D">
      <w:pPr>
        <w:keepNext/>
        <w:ind w:left="567" w:hanging="567"/>
        <w:rPr>
          <w:rFonts w:ascii="Calibri" w:eastAsia="Calibri" w:hAnsi="Calibri" w:cs="Calibri"/>
        </w:rPr>
      </w:pPr>
      <w:r>
        <w:rPr>
          <w:rFonts w:ascii="Calibri" w:eastAsia="Calibri" w:hAnsi="Calibri" w:cs="Calibri"/>
        </w:rPr>
        <w:t xml:space="preserve">A. </w:t>
      </w:r>
      <w:proofErr w:type="spellStart"/>
      <w:r>
        <w:rPr>
          <w:rFonts w:ascii="Calibri" w:eastAsia="Calibri" w:hAnsi="Calibri" w:cs="Calibri"/>
        </w:rPr>
        <w:t>Kumenov</w:t>
      </w:r>
      <w:proofErr w:type="spellEnd"/>
      <w:r>
        <w:rPr>
          <w:rFonts w:ascii="Calibri" w:eastAsia="Calibri" w:hAnsi="Calibri" w:cs="Calibri"/>
        </w:rPr>
        <w:t xml:space="preserve">. 2018, September 6. Kazakhstan: </w:t>
      </w:r>
      <w:r w:rsidR="00DB22EA">
        <w:rPr>
          <w:rFonts w:ascii="Calibri" w:eastAsia="Calibri" w:hAnsi="Calibri" w:cs="Calibri"/>
        </w:rPr>
        <w:t>D</w:t>
      </w:r>
      <w:r>
        <w:rPr>
          <w:rFonts w:ascii="Calibri" w:eastAsia="Calibri" w:hAnsi="Calibri" w:cs="Calibri"/>
        </w:rPr>
        <w:t xml:space="preserve">evaluation </w:t>
      </w:r>
      <w:r w:rsidR="00DB22EA">
        <w:rPr>
          <w:rFonts w:ascii="Calibri" w:eastAsia="Calibri" w:hAnsi="Calibri" w:cs="Calibri"/>
        </w:rPr>
        <w:t>D</w:t>
      </w:r>
      <w:r>
        <w:rPr>
          <w:rFonts w:ascii="Calibri" w:eastAsia="Calibri" w:hAnsi="Calibri" w:cs="Calibri"/>
        </w:rPr>
        <w:t xml:space="preserve">eflates a </w:t>
      </w:r>
      <w:r w:rsidR="00DB22EA">
        <w:rPr>
          <w:rFonts w:ascii="Calibri" w:eastAsia="Calibri" w:hAnsi="Calibri" w:cs="Calibri"/>
        </w:rPr>
        <w:t>D</w:t>
      </w:r>
      <w:r>
        <w:rPr>
          <w:rFonts w:ascii="Calibri" w:eastAsia="Calibri" w:hAnsi="Calibri" w:cs="Calibri"/>
        </w:rPr>
        <w:t xml:space="preserve">ispirited </w:t>
      </w:r>
      <w:r w:rsidR="00DB22EA">
        <w:rPr>
          <w:rFonts w:ascii="Calibri" w:eastAsia="Calibri" w:hAnsi="Calibri" w:cs="Calibri"/>
        </w:rPr>
        <w:t>P</w:t>
      </w:r>
      <w:r>
        <w:rPr>
          <w:rFonts w:ascii="Calibri" w:eastAsia="Calibri" w:hAnsi="Calibri" w:cs="Calibri"/>
        </w:rPr>
        <w:t xml:space="preserve">opulation. </w:t>
      </w:r>
      <w:proofErr w:type="spellStart"/>
      <w:r w:rsidRPr="00CA30DF">
        <w:rPr>
          <w:rFonts w:ascii="Calibri" w:eastAsia="Calibri" w:hAnsi="Calibri" w:cs="Calibri"/>
          <w:i/>
          <w:iCs/>
        </w:rPr>
        <w:t>Eurasianet</w:t>
      </w:r>
      <w:proofErr w:type="spellEnd"/>
      <w:r>
        <w:rPr>
          <w:rFonts w:ascii="Calibri" w:eastAsia="Calibri" w:hAnsi="Calibri" w:cs="Calibri"/>
        </w:rPr>
        <w:t xml:space="preserve">. Retrieved from </w:t>
      </w:r>
      <w:r w:rsidRPr="00CA30DF">
        <w:rPr>
          <w:rFonts w:ascii="Calibri" w:eastAsia="Calibri" w:hAnsi="Calibri" w:cs="Calibri"/>
        </w:rPr>
        <w:t>https://eurasianet.org/kazakhstan-devaluation-deflates-a-dispirited-population</w:t>
      </w:r>
      <w:r>
        <w:rPr>
          <w:rFonts w:ascii="Calibri" w:eastAsia="Calibri" w:hAnsi="Calibri" w:cs="Calibri"/>
        </w:rPr>
        <w:t>.</w:t>
      </w:r>
    </w:p>
    <w:p w14:paraId="22F74A9B" w14:textId="77777777" w:rsidR="004F05EE" w:rsidRDefault="004F05EE" w:rsidP="004F05EE">
      <w:pPr>
        <w:pStyle w:val="References"/>
      </w:pPr>
      <w:r>
        <w:t xml:space="preserve">N. </w:t>
      </w:r>
      <w:proofErr w:type="spellStart"/>
      <w:r w:rsidRPr="00E1476D">
        <w:t>Limão</w:t>
      </w:r>
      <w:proofErr w:type="spellEnd"/>
      <w:r w:rsidRPr="00E1476D">
        <w:t xml:space="preserve">. 2016. Preferential Trade Agreements. </w:t>
      </w:r>
      <w:r w:rsidRPr="00E1476D">
        <w:rPr>
          <w:i/>
          <w:iCs/>
        </w:rPr>
        <w:t>NBER Working Paper</w:t>
      </w:r>
      <w:r w:rsidRPr="00A63F9B">
        <w:rPr>
          <w:i/>
          <w:iCs/>
        </w:rPr>
        <w:t xml:space="preserve"> No. 22138</w:t>
      </w:r>
      <w:r w:rsidRPr="00E1476D">
        <w:t>. Cambridge, MA: National Bureau of Economic Research.</w:t>
      </w:r>
    </w:p>
    <w:p w14:paraId="6CA9B659" w14:textId="77777777" w:rsidR="00B557A9" w:rsidRDefault="00B557A9" w:rsidP="00B557A9">
      <w:pPr>
        <w:ind w:left="567" w:hanging="567"/>
      </w:pPr>
      <w:r>
        <w:t xml:space="preserve">B. McCaig and N. </w:t>
      </w:r>
      <w:proofErr w:type="spellStart"/>
      <w:r>
        <w:t>Pavcnik</w:t>
      </w:r>
      <w:proofErr w:type="spellEnd"/>
      <w:r>
        <w:t xml:space="preserve">. 2018. </w:t>
      </w:r>
      <w:r w:rsidRPr="00350C7C">
        <w:t>Export Markets and Labor Allocation in a Low-Income Country</w:t>
      </w:r>
      <w:r>
        <w:t xml:space="preserve">. </w:t>
      </w:r>
      <w:r w:rsidRPr="00CA44FD">
        <w:rPr>
          <w:i/>
          <w:iCs/>
        </w:rPr>
        <w:t>American Economic Review</w:t>
      </w:r>
      <w:r>
        <w:t xml:space="preserve">. 108(7). </w:t>
      </w:r>
      <w:r w:rsidRPr="00350C7C">
        <w:t>pp. 1899</w:t>
      </w:r>
      <w:r>
        <w:t>–</w:t>
      </w:r>
      <w:r w:rsidRPr="00350C7C">
        <w:t>1941</w:t>
      </w:r>
      <w:r>
        <w:t>.</w:t>
      </w:r>
    </w:p>
    <w:p w14:paraId="4ECFDF47" w14:textId="56074B69" w:rsidR="00B3247D" w:rsidRPr="00CD47E9" w:rsidRDefault="00B3247D" w:rsidP="00B3247D">
      <w:pPr>
        <w:pStyle w:val="References"/>
        <w:rPr>
          <w:rFonts w:eastAsia="Ideal Sans Light"/>
        </w:rPr>
      </w:pPr>
      <w:r w:rsidRPr="00CD47E9">
        <w:rPr>
          <w:rFonts w:eastAsia="Ideal Sans Light"/>
        </w:rPr>
        <w:t xml:space="preserve">V. Mercer-Blackman, A. Foronda, and M. J. </w:t>
      </w:r>
      <w:proofErr w:type="spellStart"/>
      <w:r w:rsidRPr="00CD47E9">
        <w:rPr>
          <w:rFonts w:eastAsia="Ideal Sans Light"/>
        </w:rPr>
        <w:t>Mariasingham</w:t>
      </w:r>
      <w:proofErr w:type="spellEnd"/>
      <w:r w:rsidRPr="00CD47E9">
        <w:rPr>
          <w:rFonts w:eastAsia="Ideal Sans Light"/>
        </w:rPr>
        <w:t xml:space="preserve">. 2017. Using Input–Output Analysis Framework to Explain Economic Diversification and Structural Transformation in Bangladesh. </w:t>
      </w:r>
      <w:r w:rsidRPr="00CD47E9">
        <w:rPr>
          <w:rFonts w:eastAsia="Ideal Sans Light"/>
          <w:i/>
          <w:iCs/>
        </w:rPr>
        <w:t>ADB Economics Working Paper</w:t>
      </w:r>
      <w:r w:rsidRPr="00165070">
        <w:rPr>
          <w:rFonts w:eastAsia="Ideal Sans Light"/>
        </w:rPr>
        <w:t>. No. 513</w:t>
      </w:r>
      <w:r w:rsidRPr="00CD47E9">
        <w:rPr>
          <w:rFonts w:eastAsia="Ideal Sans Light"/>
        </w:rPr>
        <w:t xml:space="preserve">. </w:t>
      </w:r>
      <w:r w:rsidR="00C520F6">
        <w:rPr>
          <w:rFonts w:eastAsia="Ideal Sans Light"/>
        </w:rPr>
        <w:t>Manila</w:t>
      </w:r>
      <w:r w:rsidRPr="00CD47E9">
        <w:rPr>
          <w:rFonts w:eastAsia="Ideal Sans Light"/>
        </w:rPr>
        <w:t xml:space="preserve">, Philippines: Asian Development Bank. </w:t>
      </w:r>
    </w:p>
    <w:p w14:paraId="4995E00D" w14:textId="61EE4806" w:rsidR="001C171D" w:rsidRDefault="001C171D" w:rsidP="001C171D">
      <w:pPr>
        <w:pStyle w:val="References"/>
      </w:pPr>
      <w:r>
        <w:t xml:space="preserve">METI (Japan Ministry of Economy, Trade and Industry). 2011. </w:t>
      </w:r>
      <w:r>
        <w:rPr>
          <w:i/>
          <w:iCs/>
        </w:rPr>
        <w:t>White Paper on International Economy and Trade,</w:t>
      </w:r>
      <w:r>
        <w:t xml:space="preserve"> </w:t>
      </w:r>
      <w:r w:rsidRPr="00FC5DAE">
        <w:rPr>
          <w:i/>
          <w:iCs/>
        </w:rPr>
        <w:t>Supplementary Notes</w:t>
      </w:r>
      <w:r>
        <w:t xml:space="preserve">. Retrieved from </w:t>
      </w:r>
      <w:r w:rsidRPr="00303E94">
        <w:t>https://www.meti.go.jp/english/report/data/gWT2011fe.html</w:t>
      </w:r>
      <w:r>
        <w:t xml:space="preserve">. </w:t>
      </w:r>
    </w:p>
    <w:p w14:paraId="3C21A146" w14:textId="63F05333" w:rsidR="00534797" w:rsidRDefault="00534797" w:rsidP="00D933A8">
      <w:pPr>
        <w:pStyle w:val="References"/>
        <w:rPr>
          <w:color w:val="000000" w:themeColor="text1"/>
          <w:lang w:val="en-PH"/>
        </w:rPr>
      </w:pPr>
      <w:r>
        <w:rPr>
          <w:color w:val="000000" w:themeColor="text1"/>
          <w:lang w:val="en-PH"/>
        </w:rPr>
        <w:t xml:space="preserve">G. Mostafa and M. Mahmood. 2018. Eurasian Economic Union: </w:t>
      </w:r>
      <w:r w:rsidR="00E819F8">
        <w:rPr>
          <w:color w:val="000000" w:themeColor="text1"/>
          <w:lang w:val="en-PH"/>
        </w:rPr>
        <w:t>E</w:t>
      </w:r>
      <w:r>
        <w:rPr>
          <w:color w:val="000000" w:themeColor="text1"/>
          <w:lang w:val="en-PH"/>
        </w:rPr>
        <w:t xml:space="preserve">volution, </w:t>
      </w:r>
      <w:r w:rsidR="00E819F8">
        <w:rPr>
          <w:color w:val="000000" w:themeColor="text1"/>
          <w:lang w:val="en-PH"/>
        </w:rPr>
        <w:t>C</w:t>
      </w:r>
      <w:r>
        <w:rPr>
          <w:color w:val="000000" w:themeColor="text1"/>
          <w:lang w:val="en-PH"/>
        </w:rPr>
        <w:t xml:space="preserve">hallenges and </w:t>
      </w:r>
      <w:r w:rsidR="00E819F8">
        <w:rPr>
          <w:color w:val="000000" w:themeColor="text1"/>
          <w:lang w:val="en-PH"/>
        </w:rPr>
        <w:t>P</w:t>
      </w:r>
      <w:r>
        <w:rPr>
          <w:color w:val="000000" w:themeColor="text1"/>
          <w:lang w:val="en-PH"/>
        </w:rPr>
        <w:t xml:space="preserve">ossible </w:t>
      </w:r>
      <w:r w:rsidR="00E819F8">
        <w:rPr>
          <w:color w:val="000000" w:themeColor="text1"/>
          <w:lang w:val="en-PH"/>
        </w:rPr>
        <w:t>F</w:t>
      </w:r>
      <w:r>
        <w:rPr>
          <w:color w:val="000000" w:themeColor="text1"/>
          <w:lang w:val="en-PH"/>
        </w:rPr>
        <w:t xml:space="preserve">uture </w:t>
      </w:r>
      <w:r w:rsidR="00E819F8">
        <w:rPr>
          <w:color w:val="000000" w:themeColor="text1"/>
          <w:lang w:val="en-PH"/>
        </w:rPr>
        <w:t>D</w:t>
      </w:r>
      <w:r>
        <w:rPr>
          <w:color w:val="000000" w:themeColor="text1"/>
          <w:lang w:val="en-PH"/>
        </w:rPr>
        <w:t xml:space="preserve">irections. </w:t>
      </w:r>
      <w:r w:rsidRPr="00534797">
        <w:rPr>
          <w:i/>
          <w:iCs/>
          <w:color w:val="000000" w:themeColor="text1"/>
          <w:lang w:val="en-PH"/>
        </w:rPr>
        <w:t>Journal of Eurasian Studies</w:t>
      </w:r>
      <w:r>
        <w:rPr>
          <w:color w:val="000000" w:themeColor="text1"/>
          <w:lang w:val="en-PH"/>
        </w:rPr>
        <w:t>. 9. pp. 163–172.</w:t>
      </w:r>
    </w:p>
    <w:p w14:paraId="7AE4279C" w14:textId="77777777" w:rsidR="001C171D" w:rsidRDefault="001C171D" w:rsidP="001C171D">
      <w:pPr>
        <w:ind w:left="590" w:hanging="590"/>
      </w:pPr>
      <w:r>
        <w:t xml:space="preserve">S. Patel, Z. Wang, and S. Wei. 2019. Global Value Chains and Effective Exchange Rates at the Country-Sector Level. </w:t>
      </w:r>
      <w:r w:rsidRPr="00A113DF">
        <w:rPr>
          <w:i/>
          <w:iCs/>
        </w:rPr>
        <w:t>Journal of Money, Credit, and Banking</w:t>
      </w:r>
      <w:r>
        <w:t xml:space="preserve">. </w:t>
      </w:r>
      <w:r w:rsidRPr="00B74FEB">
        <w:t>51</w:t>
      </w:r>
      <w:r>
        <w:t>(1). pp. 7–42.</w:t>
      </w:r>
    </w:p>
    <w:p w14:paraId="02F6E389" w14:textId="77777777" w:rsidR="00313E28" w:rsidRDefault="00313E28" w:rsidP="00313E28">
      <w:pPr>
        <w:ind w:left="590" w:hanging="590"/>
      </w:pPr>
      <w:r>
        <w:t xml:space="preserve">Z. Pavlović. 2003. </w:t>
      </w:r>
      <w:r w:rsidRPr="003435C3">
        <w:rPr>
          <w:i/>
          <w:iCs/>
        </w:rPr>
        <w:t>Kazakhstan</w:t>
      </w:r>
      <w:r>
        <w:t>. New York, NY: Chelsea House.</w:t>
      </w:r>
    </w:p>
    <w:p w14:paraId="3A0FB0BE" w14:textId="77777777" w:rsidR="00D3210D" w:rsidRDefault="00D3210D" w:rsidP="00D3210D">
      <w:pPr>
        <w:ind w:left="590" w:hanging="590"/>
      </w:pPr>
      <w:r>
        <w:lastRenderedPageBreak/>
        <w:t xml:space="preserve">R. </w:t>
      </w:r>
      <w:r w:rsidRPr="003435C3">
        <w:t>Pomfret</w:t>
      </w:r>
      <w:r>
        <w:t>.</w:t>
      </w:r>
      <w:r w:rsidRPr="003435C3">
        <w:t xml:space="preserve"> 2019. </w:t>
      </w:r>
      <w:r w:rsidRPr="003435C3">
        <w:rPr>
          <w:i/>
          <w:iCs/>
        </w:rPr>
        <w:t xml:space="preserve">The Central Asian </w:t>
      </w:r>
      <w:r>
        <w:rPr>
          <w:i/>
          <w:iCs/>
        </w:rPr>
        <w:t>E</w:t>
      </w:r>
      <w:r w:rsidRPr="003435C3">
        <w:rPr>
          <w:i/>
          <w:iCs/>
        </w:rPr>
        <w:t xml:space="preserve">conomies in the </w:t>
      </w:r>
      <w:r>
        <w:rPr>
          <w:i/>
          <w:iCs/>
        </w:rPr>
        <w:t>T</w:t>
      </w:r>
      <w:r w:rsidRPr="003435C3">
        <w:rPr>
          <w:i/>
          <w:iCs/>
        </w:rPr>
        <w:t>wenty-</w:t>
      </w:r>
      <w:r>
        <w:rPr>
          <w:i/>
          <w:iCs/>
        </w:rPr>
        <w:t>F</w:t>
      </w:r>
      <w:r w:rsidRPr="003435C3">
        <w:rPr>
          <w:i/>
          <w:iCs/>
        </w:rPr>
        <w:t xml:space="preserve">irst </w:t>
      </w:r>
      <w:r>
        <w:rPr>
          <w:i/>
          <w:iCs/>
        </w:rPr>
        <w:t>C</w:t>
      </w:r>
      <w:r w:rsidRPr="003435C3">
        <w:rPr>
          <w:i/>
          <w:iCs/>
        </w:rPr>
        <w:t xml:space="preserve">entury: </w:t>
      </w:r>
      <w:r>
        <w:rPr>
          <w:i/>
          <w:iCs/>
        </w:rPr>
        <w:t>P</w:t>
      </w:r>
      <w:r w:rsidRPr="003435C3">
        <w:rPr>
          <w:i/>
          <w:iCs/>
        </w:rPr>
        <w:t xml:space="preserve">aving a </w:t>
      </w:r>
      <w:r>
        <w:rPr>
          <w:i/>
          <w:iCs/>
        </w:rPr>
        <w:t>N</w:t>
      </w:r>
      <w:r w:rsidRPr="003435C3">
        <w:rPr>
          <w:i/>
          <w:iCs/>
        </w:rPr>
        <w:t xml:space="preserve">ew </w:t>
      </w:r>
      <w:r>
        <w:rPr>
          <w:i/>
          <w:iCs/>
        </w:rPr>
        <w:t>S</w:t>
      </w:r>
      <w:r w:rsidRPr="003435C3">
        <w:rPr>
          <w:i/>
          <w:iCs/>
        </w:rPr>
        <w:t xml:space="preserve">ilk </w:t>
      </w:r>
      <w:r>
        <w:rPr>
          <w:i/>
          <w:iCs/>
        </w:rPr>
        <w:t>R</w:t>
      </w:r>
      <w:r w:rsidRPr="003435C3">
        <w:rPr>
          <w:i/>
          <w:iCs/>
        </w:rPr>
        <w:t>oad</w:t>
      </w:r>
      <w:r w:rsidRPr="003435C3">
        <w:t>. Princeton, NJ: Princeton University Press.</w:t>
      </w:r>
    </w:p>
    <w:p w14:paraId="100CD99E" w14:textId="3A8095FB" w:rsidR="001667D1" w:rsidRDefault="001667D1" w:rsidP="00B557A9">
      <w:pPr>
        <w:ind w:left="567" w:hanging="567"/>
      </w:pPr>
      <w:r>
        <w:t xml:space="preserve">S. </w:t>
      </w:r>
      <w:proofErr w:type="spellStart"/>
      <w:r>
        <w:t>Sakenova</w:t>
      </w:r>
      <w:proofErr w:type="spellEnd"/>
      <w:r>
        <w:t xml:space="preserve">. 2023, April 27. Kazakhstan </w:t>
      </w:r>
      <w:r w:rsidR="008A38B3">
        <w:t>S</w:t>
      </w:r>
      <w:r>
        <w:t xml:space="preserve">ees </w:t>
      </w:r>
      <w:r w:rsidR="008A38B3">
        <w:t>B</w:t>
      </w:r>
      <w:r>
        <w:t xml:space="preserve">ooming </w:t>
      </w:r>
      <w:r w:rsidR="008A38B3">
        <w:t>T</w:t>
      </w:r>
      <w:r>
        <w:t xml:space="preserve">rade and </w:t>
      </w:r>
      <w:r w:rsidR="008A38B3">
        <w:t>I</w:t>
      </w:r>
      <w:r>
        <w:t xml:space="preserve">nvestment </w:t>
      </w:r>
      <w:r w:rsidR="008A38B3">
        <w:t>R</w:t>
      </w:r>
      <w:r>
        <w:t xml:space="preserve">elations with Italy. </w:t>
      </w:r>
      <w:r w:rsidRPr="007A652D">
        <w:rPr>
          <w:i/>
          <w:iCs/>
        </w:rPr>
        <w:t>The Astana Times</w:t>
      </w:r>
      <w:r>
        <w:t xml:space="preserve">. Retrieved from </w:t>
      </w:r>
      <w:r w:rsidRPr="001667D1">
        <w:t>https://astanatimes.com/2023/04/kazakhstan-sees-booming-trade-and-investment-relations-with-italy</w:t>
      </w:r>
      <w:r>
        <w:t>.</w:t>
      </w:r>
    </w:p>
    <w:p w14:paraId="3FB9041C" w14:textId="0DF8777E" w:rsidR="00B557A9" w:rsidRDefault="00B557A9" w:rsidP="00B557A9">
      <w:pPr>
        <w:ind w:left="567" w:hanging="567"/>
      </w:pPr>
      <w:r>
        <w:t xml:space="preserve">W. F. </w:t>
      </w:r>
      <w:proofErr w:type="spellStart"/>
      <w:r>
        <w:t>Shughart</w:t>
      </w:r>
      <w:proofErr w:type="spellEnd"/>
      <w:r>
        <w:t>.</w:t>
      </w:r>
      <w:r w:rsidRPr="00601F5B">
        <w:t xml:space="preserve"> </w:t>
      </w:r>
      <w:r>
        <w:t xml:space="preserve">2008. Industrial Concentration. In D. R. Henderson (Ed.), </w:t>
      </w:r>
      <w:r w:rsidRPr="003B1B51">
        <w:rPr>
          <w:i/>
          <w:iCs/>
        </w:rPr>
        <w:t>Concise Encyclopedia of Economics</w:t>
      </w:r>
      <w:r w:rsidRPr="003B1B51">
        <w:t>,</w:t>
      </w:r>
      <w:r>
        <w:t xml:space="preserve"> </w:t>
      </w:r>
      <w:r w:rsidRPr="003B1B51">
        <w:t>2nd ed. Indianapolis</w:t>
      </w:r>
      <w:r>
        <w:t>, IN</w:t>
      </w:r>
      <w:r w:rsidRPr="003B1B51">
        <w:t>: Library of Economics and Liberty.</w:t>
      </w:r>
    </w:p>
    <w:p w14:paraId="14DCDDA7" w14:textId="77777777" w:rsidR="00B557A9" w:rsidRDefault="00B557A9" w:rsidP="00B557A9">
      <w:pPr>
        <w:ind w:left="567" w:hanging="567"/>
      </w:pPr>
      <w:r>
        <w:t xml:space="preserve">J. E. Stiglitz. 1996. Some Lessons from the East Asian Miracle. </w:t>
      </w:r>
      <w:r>
        <w:rPr>
          <w:i/>
          <w:iCs/>
        </w:rPr>
        <w:t>The World Bank Research Observer</w:t>
      </w:r>
      <w:r w:rsidRPr="00EA439A">
        <w:t>. 11</w:t>
      </w:r>
      <w:r>
        <w:t xml:space="preserve">(2). pp. 151–77. </w:t>
      </w:r>
    </w:p>
    <w:p w14:paraId="56A540CA" w14:textId="57DC4E95" w:rsidR="00874C5F" w:rsidRPr="00874C5F" w:rsidRDefault="00874C5F" w:rsidP="00B557A9">
      <w:pPr>
        <w:ind w:left="567" w:hanging="567"/>
      </w:pPr>
      <w:r>
        <w:t xml:space="preserve">C. Tan. 2023, July 3. </w:t>
      </w:r>
      <w:r w:rsidRPr="00874C5F">
        <w:t xml:space="preserve">China </w:t>
      </w:r>
      <w:r>
        <w:t>S</w:t>
      </w:r>
      <w:r w:rsidRPr="00874C5F">
        <w:t xml:space="preserve">laps </w:t>
      </w:r>
      <w:r>
        <w:t>E</w:t>
      </w:r>
      <w:r w:rsidRPr="00874C5F">
        <w:t xml:space="preserve">xport </w:t>
      </w:r>
      <w:r>
        <w:t>C</w:t>
      </w:r>
      <w:r w:rsidRPr="00874C5F">
        <w:t xml:space="preserve">urbs on </w:t>
      </w:r>
      <w:r>
        <w:t>C</w:t>
      </w:r>
      <w:r w:rsidRPr="00874C5F">
        <w:t xml:space="preserve">hipmaking </w:t>
      </w:r>
      <w:r>
        <w:t>M</w:t>
      </w:r>
      <w:r w:rsidRPr="00874C5F">
        <w:t xml:space="preserve">etals in </w:t>
      </w:r>
      <w:r>
        <w:t>T</w:t>
      </w:r>
      <w:r w:rsidRPr="00874C5F">
        <w:t xml:space="preserve">ech </w:t>
      </w:r>
      <w:r>
        <w:t>W</w:t>
      </w:r>
      <w:r w:rsidRPr="00874C5F">
        <w:t xml:space="preserve">ar </w:t>
      </w:r>
      <w:r>
        <w:t>W</w:t>
      </w:r>
      <w:r w:rsidRPr="00874C5F">
        <w:t>arning to U.S., Europe</w:t>
      </w:r>
      <w:r>
        <w:t xml:space="preserve">. </w:t>
      </w:r>
      <w:r w:rsidRPr="00874C5F">
        <w:rPr>
          <w:i/>
          <w:iCs/>
        </w:rPr>
        <w:t>CNBC</w:t>
      </w:r>
      <w:r>
        <w:t xml:space="preserve">. Retrieved from </w:t>
      </w:r>
      <w:r w:rsidRPr="00874C5F">
        <w:t>https://www.cnbc.com/2023/07/04/china-imposes-export-curbs-on-chipmaking-metals-in-tech-war-with-the-us.html</w:t>
      </w:r>
      <w:r w:rsidR="00363F99">
        <w:t xml:space="preserve"> (accessed 21 July 2023)</w:t>
      </w:r>
      <w:r>
        <w:t xml:space="preserve">. </w:t>
      </w:r>
    </w:p>
    <w:p w14:paraId="706ACA12" w14:textId="1540AEFA" w:rsidR="00A817F8" w:rsidRDefault="00A817F8" w:rsidP="00A817F8">
      <w:pPr>
        <w:pStyle w:val="References"/>
      </w:pPr>
      <w:r w:rsidRPr="00DC0383">
        <w:t xml:space="preserve">M. P. Timmer, E. </w:t>
      </w:r>
      <w:proofErr w:type="spellStart"/>
      <w:r w:rsidRPr="00DC0383">
        <w:t>Dietzenbacher</w:t>
      </w:r>
      <w:proofErr w:type="spellEnd"/>
      <w:r w:rsidRPr="00DC0383">
        <w:t xml:space="preserve">, B. Los, R. </w:t>
      </w:r>
      <w:proofErr w:type="spellStart"/>
      <w:r w:rsidRPr="00DC0383">
        <w:t>Stehrer</w:t>
      </w:r>
      <w:proofErr w:type="spellEnd"/>
      <w:r w:rsidRPr="00DC0383">
        <w:t xml:space="preserve">, and G. J. de Vries. 2015. An Illustrated User Guide to the World Input-Output Database: The Case of Global Automotive Production. </w:t>
      </w:r>
      <w:r w:rsidRPr="00C4761F">
        <w:rPr>
          <w:i/>
          <w:iCs/>
        </w:rPr>
        <w:t>Review of International Economics</w:t>
      </w:r>
      <w:r w:rsidRPr="00C4761F">
        <w:t>.</w:t>
      </w:r>
      <w:r w:rsidRPr="00DC0383">
        <w:t xml:space="preserve"> 23(3)</w:t>
      </w:r>
      <w:r>
        <w:t>.</w:t>
      </w:r>
      <w:r w:rsidRPr="00DC0383">
        <w:t xml:space="preserve"> pp. 575–605.</w:t>
      </w:r>
    </w:p>
    <w:p w14:paraId="656B4ECF" w14:textId="77777777" w:rsidR="00B557A9" w:rsidRDefault="00B557A9" w:rsidP="00B557A9">
      <w:pPr>
        <w:ind w:left="567" w:hanging="567"/>
      </w:pPr>
      <w:r>
        <w:t xml:space="preserve">M. P. Thomas. 2019. Impact of Services Trade on Economic Growth and Current Account Balance: Evidence from India. </w:t>
      </w:r>
      <w:r w:rsidRPr="00A0205E">
        <w:rPr>
          <w:i/>
          <w:iCs/>
        </w:rPr>
        <w:t>Journal of International Trade and Economic Development</w:t>
      </w:r>
      <w:r w:rsidRPr="00EA439A">
        <w:t>. 28</w:t>
      </w:r>
      <w:r>
        <w:t xml:space="preserve">(3). pp. 331–347. </w:t>
      </w:r>
    </w:p>
    <w:p w14:paraId="6AAA4B6E" w14:textId="5D513E88" w:rsidR="00751346" w:rsidRDefault="00751346" w:rsidP="001C171D">
      <w:pPr>
        <w:ind w:left="590" w:hanging="590"/>
        <w:rPr>
          <w:rFonts w:ascii="Calibri" w:eastAsia="Calibri" w:hAnsi="Calibri" w:cs="Calibri"/>
        </w:rPr>
      </w:pPr>
      <w:r>
        <w:rPr>
          <w:rFonts w:ascii="Calibri" w:eastAsia="Calibri" w:hAnsi="Calibri" w:cs="Calibri"/>
        </w:rPr>
        <w:t xml:space="preserve">E. Vinokurov. 2017. Eurasian Economic Union: current state and preliminary results. </w:t>
      </w:r>
      <w:r w:rsidRPr="00751346">
        <w:rPr>
          <w:rFonts w:ascii="Calibri" w:eastAsia="Calibri" w:hAnsi="Calibri" w:cs="Calibri"/>
          <w:i/>
          <w:iCs/>
        </w:rPr>
        <w:t>Russian Journal of Economics</w:t>
      </w:r>
      <w:r>
        <w:rPr>
          <w:rFonts w:ascii="Calibri" w:eastAsia="Calibri" w:hAnsi="Calibri" w:cs="Calibri"/>
        </w:rPr>
        <w:t>. 3(1). pp. 54–70.</w:t>
      </w:r>
    </w:p>
    <w:p w14:paraId="4081587B" w14:textId="24D3C145" w:rsidR="00F030DD" w:rsidRDefault="00F030DD" w:rsidP="001C171D">
      <w:pPr>
        <w:ind w:left="590" w:hanging="590"/>
        <w:rPr>
          <w:rFonts w:ascii="Calibri" w:eastAsia="Calibri" w:hAnsi="Calibri" w:cs="Calibri"/>
        </w:rPr>
      </w:pPr>
      <w:r>
        <w:rPr>
          <w:rFonts w:ascii="Calibri" w:eastAsia="Calibri" w:hAnsi="Calibri" w:cs="Calibri"/>
        </w:rPr>
        <w:t xml:space="preserve">P. Wang. 2023, June 7. </w:t>
      </w:r>
      <w:r w:rsidRPr="00F030DD">
        <w:rPr>
          <w:rFonts w:ascii="Calibri" w:eastAsia="Calibri" w:hAnsi="Calibri" w:cs="Calibri"/>
        </w:rPr>
        <w:t xml:space="preserve">China </w:t>
      </w:r>
      <w:r w:rsidR="005257A4">
        <w:rPr>
          <w:rFonts w:ascii="Calibri" w:eastAsia="Calibri" w:hAnsi="Calibri" w:cs="Calibri"/>
        </w:rPr>
        <w:t>S</w:t>
      </w:r>
      <w:r w:rsidRPr="00F030DD">
        <w:rPr>
          <w:rFonts w:ascii="Calibri" w:eastAsia="Calibri" w:hAnsi="Calibri" w:cs="Calibri"/>
        </w:rPr>
        <w:t xml:space="preserve">ees </w:t>
      </w:r>
      <w:r w:rsidR="005257A4">
        <w:rPr>
          <w:rFonts w:ascii="Calibri" w:eastAsia="Calibri" w:hAnsi="Calibri" w:cs="Calibri"/>
        </w:rPr>
        <w:t>B</w:t>
      </w:r>
      <w:r w:rsidRPr="00F030DD">
        <w:rPr>
          <w:rFonts w:ascii="Calibri" w:eastAsia="Calibri" w:hAnsi="Calibri" w:cs="Calibri"/>
        </w:rPr>
        <w:t xml:space="preserve">iggest </w:t>
      </w:r>
      <w:r w:rsidR="005257A4">
        <w:rPr>
          <w:rFonts w:ascii="Calibri" w:eastAsia="Calibri" w:hAnsi="Calibri" w:cs="Calibri"/>
        </w:rPr>
        <w:t>T</w:t>
      </w:r>
      <w:r w:rsidRPr="00F030DD">
        <w:rPr>
          <w:rFonts w:ascii="Calibri" w:eastAsia="Calibri" w:hAnsi="Calibri" w:cs="Calibri"/>
        </w:rPr>
        <w:t xml:space="preserve">rade </w:t>
      </w:r>
      <w:r w:rsidR="005257A4">
        <w:rPr>
          <w:rFonts w:ascii="Calibri" w:eastAsia="Calibri" w:hAnsi="Calibri" w:cs="Calibri"/>
        </w:rPr>
        <w:t>I</w:t>
      </w:r>
      <w:r w:rsidRPr="00F030DD">
        <w:rPr>
          <w:rFonts w:ascii="Calibri" w:eastAsia="Calibri" w:hAnsi="Calibri" w:cs="Calibri"/>
        </w:rPr>
        <w:t xml:space="preserve">ncrease with Russia in 2023, Chinese </w:t>
      </w:r>
      <w:r w:rsidR="005257A4">
        <w:rPr>
          <w:rFonts w:ascii="Calibri" w:eastAsia="Calibri" w:hAnsi="Calibri" w:cs="Calibri"/>
        </w:rPr>
        <w:t>C</w:t>
      </w:r>
      <w:r w:rsidRPr="00F030DD">
        <w:rPr>
          <w:rFonts w:ascii="Calibri" w:eastAsia="Calibri" w:hAnsi="Calibri" w:cs="Calibri"/>
        </w:rPr>
        <w:t xml:space="preserve">ustoms </w:t>
      </w:r>
      <w:r w:rsidR="005257A4">
        <w:rPr>
          <w:rFonts w:ascii="Calibri" w:eastAsia="Calibri" w:hAnsi="Calibri" w:cs="Calibri"/>
        </w:rPr>
        <w:t>D</w:t>
      </w:r>
      <w:r w:rsidRPr="00F030DD">
        <w:rPr>
          <w:rFonts w:ascii="Calibri" w:eastAsia="Calibri" w:hAnsi="Calibri" w:cs="Calibri"/>
        </w:rPr>
        <w:t xml:space="preserve">ata </w:t>
      </w:r>
      <w:r w:rsidR="005257A4">
        <w:rPr>
          <w:rFonts w:ascii="Calibri" w:eastAsia="Calibri" w:hAnsi="Calibri" w:cs="Calibri"/>
        </w:rPr>
        <w:t>S</w:t>
      </w:r>
      <w:r w:rsidRPr="00F030DD">
        <w:rPr>
          <w:rFonts w:ascii="Calibri" w:eastAsia="Calibri" w:hAnsi="Calibri" w:cs="Calibri"/>
        </w:rPr>
        <w:t>hows</w:t>
      </w:r>
      <w:r>
        <w:rPr>
          <w:rFonts w:ascii="Calibri" w:eastAsia="Calibri" w:hAnsi="Calibri" w:cs="Calibri"/>
        </w:rPr>
        <w:t xml:space="preserve">. </w:t>
      </w:r>
      <w:r w:rsidRPr="00F030DD">
        <w:rPr>
          <w:rFonts w:ascii="Calibri" w:eastAsia="Calibri" w:hAnsi="Calibri" w:cs="Calibri"/>
          <w:i/>
          <w:iCs/>
        </w:rPr>
        <w:t>CNN</w:t>
      </w:r>
      <w:r>
        <w:rPr>
          <w:rFonts w:ascii="Calibri" w:eastAsia="Calibri" w:hAnsi="Calibri" w:cs="Calibri"/>
        </w:rPr>
        <w:t xml:space="preserve">. Retrieved from </w:t>
      </w:r>
      <w:r w:rsidRPr="00F030DD">
        <w:rPr>
          <w:rFonts w:ascii="Calibri" w:eastAsia="Calibri" w:hAnsi="Calibri" w:cs="Calibri"/>
        </w:rPr>
        <w:t>https://edition.cnn.com/2023/06/07/business/china-russia-trade-increase-intl/index.html</w:t>
      </w:r>
      <w:r>
        <w:rPr>
          <w:rFonts w:ascii="Calibri" w:eastAsia="Calibri" w:hAnsi="Calibri" w:cs="Calibri"/>
        </w:rPr>
        <w:t xml:space="preserve"> (accessed 12 July 2023).</w:t>
      </w:r>
    </w:p>
    <w:p w14:paraId="7FC6F554" w14:textId="791BF48A" w:rsidR="001C171D" w:rsidRDefault="001C171D" w:rsidP="001C171D">
      <w:pPr>
        <w:ind w:left="590" w:hanging="590"/>
      </w:pPr>
      <w:r>
        <w:rPr>
          <w:rFonts w:ascii="Calibri" w:eastAsia="Calibri" w:hAnsi="Calibri" w:cs="Calibri"/>
        </w:rPr>
        <w:t xml:space="preserve">Z. Wang, S. Wei, X. Yu, and K. Zhu. 2017a. Measures of Participation in Global Value Chains and Global Business Cycles. </w:t>
      </w:r>
      <w:r w:rsidRPr="00E208F7">
        <w:rPr>
          <w:rFonts w:ascii="Calibri" w:eastAsia="Calibri" w:hAnsi="Calibri" w:cs="Calibri"/>
          <w:i/>
          <w:iCs/>
        </w:rPr>
        <w:t>NBER Working Paper</w:t>
      </w:r>
      <w:r w:rsidRPr="001066C5">
        <w:rPr>
          <w:rFonts w:ascii="Calibri" w:eastAsia="Calibri" w:hAnsi="Calibri" w:cs="Calibri"/>
        </w:rPr>
        <w:t>. No. 23222</w:t>
      </w:r>
      <w:r>
        <w:rPr>
          <w:rFonts w:ascii="Calibri" w:eastAsia="Calibri" w:hAnsi="Calibri" w:cs="Calibri"/>
        </w:rPr>
        <w:t>. Cambridge, MA: National Bureau of Economic Research.</w:t>
      </w:r>
    </w:p>
    <w:p w14:paraId="0EBE97DF" w14:textId="77777777" w:rsidR="001C171D" w:rsidRDefault="001C171D" w:rsidP="001C171D">
      <w:pPr>
        <w:ind w:left="590" w:hanging="590"/>
        <w:rPr>
          <w:rFonts w:ascii="Calibri" w:eastAsia="Calibri" w:hAnsi="Calibri" w:cs="Calibri"/>
        </w:rPr>
      </w:pPr>
      <w:r>
        <w:rPr>
          <w:rFonts w:ascii="Calibri" w:eastAsia="Calibri" w:hAnsi="Calibri" w:cs="Calibri"/>
        </w:rPr>
        <w:t xml:space="preserve">Z. Wang, S. Wei, X. Yu, and K. Zhu. 2017b. Characterizing Global Value Chains: Production Length and </w:t>
      </w:r>
      <w:proofErr w:type="spellStart"/>
      <w:r>
        <w:rPr>
          <w:rFonts w:ascii="Calibri" w:eastAsia="Calibri" w:hAnsi="Calibri" w:cs="Calibri"/>
        </w:rPr>
        <w:t>Upstreamness</w:t>
      </w:r>
      <w:proofErr w:type="spellEnd"/>
      <w:r>
        <w:rPr>
          <w:rFonts w:ascii="Calibri" w:eastAsia="Calibri" w:hAnsi="Calibri" w:cs="Calibri"/>
        </w:rPr>
        <w:t xml:space="preserve">. </w:t>
      </w:r>
      <w:r w:rsidRPr="00E208F7">
        <w:rPr>
          <w:rFonts w:ascii="Calibri" w:eastAsia="Calibri" w:hAnsi="Calibri" w:cs="Calibri"/>
          <w:i/>
          <w:iCs/>
        </w:rPr>
        <w:t>NBER Working Paper</w:t>
      </w:r>
      <w:r w:rsidRPr="001066C5">
        <w:rPr>
          <w:rFonts w:ascii="Calibri" w:eastAsia="Calibri" w:hAnsi="Calibri" w:cs="Calibri"/>
        </w:rPr>
        <w:t>. No. 23261</w:t>
      </w:r>
      <w:r>
        <w:rPr>
          <w:rFonts w:ascii="Calibri" w:eastAsia="Calibri" w:hAnsi="Calibri" w:cs="Calibri"/>
        </w:rPr>
        <w:t>. Cambridge, MA: National Bureau of Economic Research.</w:t>
      </w:r>
    </w:p>
    <w:p w14:paraId="08EBD52A" w14:textId="4A512AED" w:rsidR="000D6320" w:rsidRPr="00E1476D" w:rsidRDefault="000D6320" w:rsidP="00CB3283">
      <w:pPr>
        <w:pStyle w:val="References"/>
      </w:pPr>
      <w:r>
        <w:lastRenderedPageBreak/>
        <w:t xml:space="preserve">World Bank. 2020b. </w:t>
      </w:r>
      <w:r w:rsidRPr="00E057C6">
        <w:rPr>
          <w:i/>
          <w:iCs/>
        </w:rPr>
        <w:t>Global Economic Prospects: Slow Growth, Policy Challenges</w:t>
      </w:r>
      <w:r>
        <w:rPr>
          <w:i/>
          <w:iCs/>
        </w:rPr>
        <w:t xml:space="preserve"> (January 2020)</w:t>
      </w:r>
      <w:r>
        <w:t>. Washington, DC: World Bank.</w:t>
      </w:r>
    </w:p>
    <w:p w14:paraId="5652329D" w14:textId="61D5E4F5" w:rsidR="008A64C1" w:rsidRDefault="004F05EE" w:rsidP="00EC4CDE">
      <w:pPr>
        <w:pStyle w:val="References"/>
      </w:pPr>
      <w:r>
        <w:t>WTO (</w:t>
      </w:r>
      <w:r w:rsidR="008A64C1">
        <w:t xml:space="preserve">World Trade Organization). 2011a. </w:t>
      </w:r>
      <w:r w:rsidR="008A64C1" w:rsidRPr="00AC1D38">
        <w:rPr>
          <w:i/>
          <w:iCs/>
        </w:rPr>
        <w:t>World Trade Report 2011: The WTO and Preferential Trade Agreements: From Co-Existence to Coherence</w:t>
      </w:r>
      <w:r w:rsidR="008A64C1">
        <w:t xml:space="preserve">. Geneva, Switzerland: World Trade Organization. </w:t>
      </w:r>
    </w:p>
    <w:p w14:paraId="723C7921" w14:textId="1A460DA0" w:rsidR="002047C0" w:rsidRDefault="008A64C1" w:rsidP="00641447">
      <w:pPr>
        <w:pStyle w:val="References"/>
      </w:pPr>
      <w:r>
        <w:t xml:space="preserve">WTO. 2011b. </w:t>
      </w:r>
      <w:r w:rsidRPr="007F2153">
        <w:rPr>
          <w:i/>
          <w:iCs/>
        </w:rPr>
        <w:t>Trade Patterns and Global Value Chains in East Asia: From Trade in Goods to Trade in Tasks</w:t>
      </w:r>
      <w:r>
        <w:t>. Geneva, Switzerland: World Trade Organization.</w:t>
      </w:r>
      <w:r w:rsidR="002047C0">
        <w:br w:type="page"/>
      </w:r>
    </w:p>
    <w:p w14:paraId="442DE21A" w14:textId="70C42313" w:rsidR="002047C0" w:rsidRDefault="002047C0" w:rsidP="00A36ECE">
      <w:pPr>
        <w:pStyle w:val="Heading1"/>
        <w:numPr>
          <w:ilvl w:val="0"/>
          <w:numId w:val="0"/>
        </w:numPr>
      </w:pPr>
      <w:bookmarkStart w:id="82" w:name="_Toc141647948"/>
      <w:r>
        <w:lastRenderedPageBreak/>
        <w:t>Appendi</w:t>
      </w:r>
      <w:r w:rsidR="002A7CCE">
        <w:t>ces</w:t>
      </w:r>
      <w:bookmarkEnd w:id="82"/>
    </w:p>
    <w:p w14:paraId="121F99E2" w14:textId="4E0BFB2E" w:rsidR="00293E47" w:rsidRDefault="00293E47" w:rsidP="00293E47">
      <w:pPr>
        <w:pStyle w:val="Caption"/>
      </w:pPr>
      <w:bookmarkStart w:id="83" w:name="_Ref80108495"/>
      <w:bookmarkStart w:id="84" w:name="_Toc141647949"/>
      <w:r>
        <w:t>Table A</w:t>
      </w:r>
      <w:fldSimple w:instr=" SEQ Table \* ARABIC ">
        <w:r w:rsidR="00F03ADA">
          <w:rPr>
            <w:noProof/>
          </w:rPr>
          <w:t>1</w:t>
        </w:r>
      </w:fldSimple>
      <w:bookmarkEnd w:id="83"/>
      <w:r>
        <w:t xml:space="preserve">: </w:t>
      </w:r>
      <w:r w:rsidR="00E76D4C">
        <w:t xml:space="preserve">Economies in the ADB </w:t>
      </w:r>
      <w:r w:rsidR="008F7608">
        <w:t>Multiregional Input–Output Database</w:t>
      </w:r>
      <w:bookmarkEnd w:id="84"/>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271"/>
        <w:gridCol w:w="3589"/>
        <w:gridCol w:w="3589"/>
      </w:tblGrid>
      <w:tr w:rsidR="00C62002" w:rsidRPr="00B43D5D" w14:paraId="5860DB17" w14:textId="77777777" w:rsidTr="00DE56CF">
        <w:trPr>
          <w:trHeight w:val="422"/>
        </w:trPr>
        <w:tc>
          <w:tcPr>
            <w:tcW w:w="567" w:type="dxa"/>
            <w:tcBorders>
              <w:top w:val="single" w:sz="4" w:space="0" w:color="auto"/>
              <w:bottom w:val="single" w:sz="4" w:space="0" w:color="auto"/>
            </w:tcBorders>
            <w:shd w:val="clear" w:color="auto" w:fill="auto"/>
            <w:vAlign w:val="center"/>
          </w:tcPr>
          <w:p w14:paraId="7F1356DA" w14:textId="6A044566" w:rsidR="00C62002" w:rsidRPr="00B43D5D" w:rsidRDefault="00BD751B" w:rsidP="0093221A">
            <w:pPr>
              <w:spacing w:after="0" w:line="240" w:lineRule="auto"/>
              <w:jc w:val="center"/>
              <w:rPr>
                <w:b/>
                <w:bCs/>
              </w:rPr>
            </w:pPr>
            <w:r w:rsidRPr="00B43D5D">
              <w:rPr>
                <w:b/>
                <w:bCs/>
              </w:rPr>
              <w:t>ID</w:t>
            </w:r>
          </w:p>
        </w:tc>
        <w:tc>
          <w:tcPr>
            <w:tcW w:w="1271" w:type="dxa"/>
            <w:tcBorders>
              <w:top w:val="single" w:sz="4" w:space="0" w:color="auto"/>
              <w:bottom w:val="single" w:sz="4" w:space="0" w:color="auto"/>
            </w:tcBorders>
            <w:shd w:val="clear" w:color="auto" w:fill="auto"/>
            <w:vAlign w:val="center"/>
          </w:tcPr>
          <w:p w14:paraId="23F7D7CB" w14:textId="462F38E1" w:rsidR="00C62002" w:rsidRPr="00B43D5D" w:rsidRDefault="00BD751B" w:rsidP="0093221A">
            <w:pPr>
              <w:spacing w:after="0" w:line="240" w:lineRule="auto"/>
              <w:jc w:val="center"/>
              <w:rPr>
                <w:b/>
                <w:bCs/>
              </w:rPr>
            </w:pPr>
            <w:r w:rsidRPr="00B43D5D">
              <w:rPr>
                <w:rFonts w:ascii="Calibri" w:hAnsi="Calibri"/>
                <w:b/>
                <w:bCs/>
                <w:color w:val="000000"/>
              </w:rPr>
              <w:t>Code</w:t>
            </w:r>
          </w:p>
        </w:tc>
        <w:tc>
          <w:tcPr>
            <w:tcW w:w="3589" w:type="dxa"/>
            <w:tcBorders>
              <w:top w:val="single" w:sz="4" w:space="0" w:color="auto"/>
              <w:bottom w:val="single" w:sz="4" w:space="0" w:color="auto"/>
            </w:tcBorders>
            <w:shd w:val="clear" w:color="auto" w:fill="auto"/>
            <w:vAlign w:val="center"/>
          </w:tcPr>
          <w:p w14:paraId="761E3E1D" w14:textId="56E76D95" w:rsidR="00C62002" w:rsidRPr="00B43D5D" w:rsidRDefault="00BD751B" w:rsidP="0093221A">
            <w:pPr>
              <w:spacing w:after="0" w:line="240" w:lineRule="auto"/>
              <w:rPr>
                <w:b/>
                <w:bCs/>
              </w:rPr>
            </w:pPr>
            <w:r w:rsidRPr="00B43D5D">
              <w:rPr>
                <w:rFonts w:ascii="Calibri" w:hAnsi="Calibri"/>
                <w:b/>
                <w:bCs/>
                <w:color w:val="000000"/>
              </w:rPr>
              <w:t>Name</w:t>
            </w:r>
          </w:p>
        </w:tc>
        <w:tc>
          <w:tcPr>
            <w:tcW w:w="3589" w:type="dxa"/>
            <w:tcBorders>
              <w:top w:val="single" w:sz="4" w:space="0" w:color="auto"/>
              <w:bottom w:val="single" w:sz="4" w:space="0" w:color="auto"/>
            </w:tcBorders>
            <w:shd w:val="clear" w:color="auto" w:fill="auto"/>
            <w:vAlign w:val="center"/>
          </w:tcPr>
          <w:p w14:paraId="0141E7A8" w14:textId="22D96D4C" w:rsidR="00C62002" w:rsidRPr="00B43D5D" w:rsidRDefault="00BD751B" w:rsidP="0093221A">
            <w:pPr>
              <w:spacing w:after="0" w:line="240" w:lineRule="auto"/>
              <w:rPr>
                <w:b/>
                <w:bCs/>
              </w:rPr>
            </w:pPr>
            <w:r w:rsidRPr="00B43D5D">
              <w:rPr>
                <w:rFonts w:ascii="Calibri" w:hAnsi="Calibri"/>
                <w:b/>
                <w:bCs/>
                <w:color w:val="000000"/>
              </w:rPr>
              <w:t>Region</w:t>
            </w:r>
          </w:p>
        </w:tc>
      </w:tr>
      <w:tr w:rsidR="00DE56CF" w14:paraId="43B1C9E0" w14:textId="77777777" w:rsidTr="00DE56CF">
        <w:tc>
          <w:tcPr>
            <w:tcW w:w="567" w:type="dxa"/>
            <w:tcBorders>
              <w:top w:val="single" w:sz="4" w:space="0" w:color="auto"/>
            </w:tcBorders>
            <w:shd w:val="clear" w:color="auto" w:fill="auto"/>
          </w:tcPr>
          <w:p w14:paraId="4B252340" w14:textId="77777777" w:rsidR="00BD751B" w:rsidRDefault="00BD751B" w:rsidP="00844FD6">
            <w:pPr>
              <w:spacing w:after="120" w:line="240" w:lineRule="auto"/>
              <w:jc w:val="center"/>
            </w:pPr>
            <w:r>
              <w:rPr>
                <w:rFonts w:ascii="Calibri" w:hAnsi="Calibri"/>
                <w:color w:val="000000"/>
              </w:rPr>
              <w:t>1</w:t>
            </w:r>
          </w:p>
        </w:tc>
        <w:tc>
          <w:tcPr>
            <w:tcW w:w="1271" w:type="dxa"/>
            <w:tcBorders>
              <w:top w:val="single" w:sz="4" w:space="0" w:color="auto"/>
            </w:tcBorders>
            <w:shd w:val="clear" w:color="auto" w:fill="auto"/>
          </w:tcPr>
          <w:p w14:paraId="6AC63905" w14:textId="77777777" w:rsidR="00BD751B" w:rsidRDefault="00BD751B" w:rsidP="00844FD6">
            <w:pPr>
              <w:spacing w:after="120" w:line="240" w:lineRule="auto"/>
              <w:jc w:val="center"/>
            </w:pPr>
            <w:r>
              <w:rPr>
                <w:rFonts w:ascii="Calibri" w:hAnsi="Calibri"/>
                <w:color w:val="000000"/>
              </w:rPr>
              <w:t>AUS</w:t>
            </w:r>
          </w:p>
        </w:tc>
        <w:tc>
          <w:tcPr>
            <w:tcW w:w="3589" w:type="dxa"/>
            <w:tcBorders>
              <w:top w:val="single" w:sz="4" w:space="0" w:color="auto"/>
            </w:tcBorders>
            <w:shd w:val="clear" w:color="auto" w:fill="auto"/>
          </w:tcPr>
          <w:p w14:paraId="51866ECD" w14:textId="77777777" w:rsidR="00BD751B" w:rsidRDefault="00BD751B" w:rsidP="00844FD6">
            <w:pPr>
              <w:spacing w:after="120" w:line="240" w:lineRule="auto"/>
            </w:pPr>
            <w:r>
              <w:rPr>
                <w:rFonts w:ascii="Calibri" w:hAnsi="Calibri"/>
                <w:color w:val="000000"/>
              </w:rPr>
              <w:t>Australia</w:t>
            </w:r>
          </w:p>
        </w:tc>
        <w:tc>
          <w:tcPr>
            <w:tcW w:w="3589" w:type="dxa"/>
            <w:tcBorders>
              <w:top w:val="single" w:sz="4" w:space="0" w:color="auto"/>
            </w:tcBorders>
            <w:shd w:val="clear" w:color="auto" w:fill="auto"/>
          </w:tcPr>
          <w:p w14:paraId="2D557D39" w14:textId="77777777" w:rsidR="00BD751B" w:rsidRDefault="00BD751B" w:rsidP="00844FD6">
            <w:pPr>
              <w:spacing w:after="120" w:line="240" w:lineRule="auto"/>
            </w:pPr>
            <w:r>
              <w:rPr>
                <w:rFonts w:ascii="Calibri" w:hAnsi="Calibri"/>
                <w:color w:val="000000"/>
              </w:rPr>
              <w:t>East Asia and Pacific</w:t>
            </w:r>
          </w:p>
        </w:tc>
      </w:tr>
      <w:tr w:rsidR="00C62002" w14:paraId="647A1FEB" w14:textId="77777777" w:rsidTr="00DE56CF">
        <w:tc>
          <w:tcPr>
            <w:tcW w:w="567" w:type="dxa"/>
            <w:shd w:val="clear" w:color="auto" w:fill="auto"/>
          </w:tcPr>
          <w:p w14:paraId="16C1F101" w14:textId="7E10154C" w:rsidR="00C62002" w:rsidRDefault="00C62002" w:rsidP="00844FD6">
            <w:pPr>
              <w:spacing w:after="120" w:line="240" w:lineRule="auto"/>
              <w:jc w:val="center"/>
            </w:pPr>
            <w:r>
              <w:rPr>
                <w:rFonts w:ascii="Calibri" w:hAnsi="Calibri"/>
                <w:color w:val="000000"/>
              </w:rPr>
              <w:t>2</w:t>
            </w:r>
          </w:p>
        </w:tc>
        <w:tc>
          <w:tcPr>
            <w:tcW w:w="1271" w:type="dxa"/>
            <w:shd w:val="clear" w:color="auto" w:fill="auto"/>
          </w:tcPr>
          <w:p w14:paraId="294764AB" w14:textId="4A0E0077" w:rsidR="00C62002" w:rsidRDefault="00C62002" w:rsidP="00844FD6">
            <w:pPr>
              <w:spacing w:after="120" w:line="240" w:lineRule="auto"/>
              <w:jc w:val="center"/>
            </w:pPr>
            <w:r>
              <w:rPr>
                <w:rFonts w:ascii="Calibri" w:hAnsi="Calibri"/>
                <w:color w:val="000000"/>
              </w:rPr>
              <w:t>AUT</w:t>
            </w:r>
          </w:p>
        </w:tc>
        <w:tc>
          <w:tcPr>
            <w:tcW w:w="3589" w:type="dxa"/>
            <w:shd w:val="clear" w:color="auto" w:fill="auto"/>
          </w:tcPr>
          <w:p w14:paraId="32EDBB87" w14:textId="1634B8D0" w:rsidR="00C62002" w:rsidRDefault="00C62002" w:rsidP="00844FD6">
            <w:pPr>
              <w:spacing w:after="120" w:line="240" w:lineRule="auto"/>
            </w:pPr>
            <w:r>
              <w:rPr>
                <w:rFonts w:ascii="Calibri" w:hAnsi="Calibri"/>
                <w:color w:val="000000"/>
              </w:rPr>
              <w:t>Austria</w:t>
            </w:r>
          </w:p>
        </w:tc>
        <w:tc>
          <w:tcPr>
            <w:tcW w:w="3589" w:type="dxa"/>
            <w:shd w:val="clear" w:color="auto" w:fill="auto"/>
          </w:tcPr>
          <w:p w14:paraId="654007DA" w14:textId="7FA2C665" w:rsidR="00C62002" w:rsidRDefault="00C62002" w:rsidP="00844FD6">
            <w:pPr>
              <w:spacing w:after="120" w:line="240" w:lineRule="auto"/>
            </w:pPr>
            <w:r>
              <w:rPr>
                <w:rFonts w:ascii="Calibri" w:hAnsi="Calibri"/>
                <w:color w:val="000000"/>
              </w:rPr>
              <w:t>Europe and Central Asia</w:t>
            </w:r>
          </w:p>
        </w:tc>
      </w:tr>
      <w:tr w:rsidR="00C62002" w14:paraId="29F0D181" w14:textId="77777777" w:rsidTr="00DE56CF">
        <w:tc>
          <w:tcPr>
            <w:tcW w:w="567" w:type="dxa"/>
            <w:shd w:val="clear" w:color="auto" w:fill="auto"/>
          </w:tcPr>
          <w:p w14:paraId="3C275F86" w14:textId="22A211CC" w:rsidR="00C62002" w:rsidRDefault="00C62002" w:rsidP="00844FD6">
            <w:pPr>
              <w:spacing w:after="120" w:line="240" w:lineRule="auto"/>
              <w:jc w:val="center"/>
            </w:pPr>
            <w:r>
              <w:rPr>
                <w:rFonts w:ascii="Calibri" w:hAnsi="Calibri"/>
                <w:color w:val="000000"/>
              </w:rPr>
              <w:t>3</w:t>
            </w:r>
          </w:p>
        </w:tc>
        <w:tc>
          <w:tcPr>
            <w:tcW w:w="1271" w:type="dxa"/>
            <w:shd w:val="clear" w:color="auto" w:fill="auto"/>
          </w:tcPr>
          <w:p w14:paraId="4D8879C3" w14:textId="3E917163" w:rsidR="00C62002" w:rsidRDefault="00C62002" w:rsidP="00844FD6">
            <w:pPr>
              <w:spacing w:after="120" w:line="240" w:lineRule="auto"/>
              <w:jc w:val="center"/>
            </w:pPr>
            <w:r>
              <w:rPr>
                <w:rFonts w:ascii="Calibri" w:hAnsi="Calibri"/>
                <w:color w:val="000000"/>
              </w:rPr>
              <w:t>BEL</w:t>
            </w:r>
          </w:p>
        </w:tc>
        <w:tc>
          <w:tcPr>
            <w:tcW w:w="3589" w:type="dxa"/>
            <w:shd w:val="clear" w:color="auto" w:fill="auto"/>
          </w:tcPr>
          <w:p w14:paraId="07B3FEC4" w14:textId="6CB7B83B" w:rsidR="00C62002" w:rsidRDefault="00C62002" w:rsidP="00844FD6">
            <w:pPr>
              <w:spacing w:after="120" w:line="240" w:lineRule="auto"/>
            </w:pPr>
            <w:r>
              <w:rPr>
                <w:rFonts w:ascii="Calibri" w:hAnsi="Calibri"/>
                <w:color w:val="000000"/>
              </w:rPr>
              <w:t>Belgium</w:t>
            </w:r>
          </w:p>
        </w:tc>
        <w:tc>
          <w:tcPr>
            <w:tcW w:w="3589" w:type="dxa"/>
            <w:shd w:val="clear" w:color="auto" w:fill="auto"/>
          </w:tcPr>
          <w:p w14:paraId="1F415F46" w14:textId="5F23A465" w:rsidR="00C62002" w:rsidRDefault="00C62002" w:rsidP="00844FD6">
            <w:pPr>
              <w:spacing w:after="120" w:line="240" w:lineRule="auto"/>
            </w:pPr>
            <w:r>
              <w:rPr>
                <w:rFonts w:ascii="Calibri" w:hAnsi="Calibri"/>
                <w:color w:val="000000"/>
              </w:rPr>
              <w:t>Europe and Central Asia</w:t>
            </w:r>
          </w:p>
        </w:tc>
      </w:tr>
      <w:tr w:rsidR="00C62002" w14:paraId="5ACA1EFB" w14:textId="77777777" w:rsidTr="00DE56CF">
        <w:tc>
          <w:tcPr>
            <w:tcW w:w="567" w:type="dxa"/>
            <w:shd w:val="clear" w:color="auto" w:fill="auto"/>
          </w:tcPr>
          <w:p w14:paraId="16A209DF" w14:textId="7566A55C" w:rsidR="00C62002" w:rsidRDefault="00C62002" w:rsidP="00844FD6">
            <w:pPr>
              <w:spacing w:after="120" w:line="240" w:lineRule="auto"/>
              <w:jc w:val="center"/>
            </w:pPr>
            <w:r>
              <w:rPr>
                <w:rFonts w:ascii="Calibri" w:hAnsi="Calibri"/>
                <w:color w:val="000000"/>
              </w:rPr>
              <w:t>4</w:t>
            </w:r>
          </w:p>
        </w:tc>
        <w:tc>
          <w:tcPr>
            <w:tcW w:w="1271" w:type="dxa"/>
            <w:shd w:val="clear" w:color="auto" w:fill="auto"/>
          </w:tcPr>
          <w:p w14:paraId="616178D7" w14:textId="7DE29F1F" w:rsidR="00C62002" w:rsidRDefault="00C62002" w:rsidP="00844FD6">
            <w:pPr>
              <w:spacing w:after="120" w:line="240" w:lineRule="auto"/>
              <w:jc w:val="center"/>
            </w:pPr>
            <w:r>
              <w:rPr>
                <w:rFonts w:ascii="Calibri" w:hAnsi="Calibri"/>
                <w:color w:val="000000"/>
              </w:rPr>
              <w:t>BGR</w:t>
            </w:r>
          </w:p>
        </w:tc>
        <w:tc>
          <w:tcPr>
            <w:tcW w:w="3589" w:type="dxa"/>
            <w:shd w:val="clear" w:color="auto" w:fill="auto"/>
          </w:tcPr>
          <w:p w14:paraId="7365BF39" w14:textId="79FF6D42" w:rsidR="00C62002" w:rsidRDefault="00C62002" w:rsidP="00844FD6">
            <w:pPr>
              <w:spacing w:after="120" w:line="240" w:lineRule="auto"/>
            </w:pPr>
            <w:r>
              <w:rPr>
                <w:rFonts w:ascii="Calibri" w:hAnsi="Calibri"/>
                <w:color w:val="000000"/>
              </w:rPr>
              <w:t>Bulgaria</w:t>
            </w:r>
          </w:p>
        </w:tc>
        <w:tc>
          <w:tcPr>
            <w:tcW w:w="3589" w:type="dxa"/>
            <w:shd w:val="clear" w:color="auto" w:fill="auto"/>
          </w:tcPr>
          <w:p w14:paraId="2165D5DC" w14:textId="570F66B3" w:rsidR="00C62002" w:rsidRDefault="00C62002" w:rsidP="00844FD6">
            <w:pPr>
              <w:spacing w:after="120" w:line="240" w:lineRule="auto"/>
            </w:pPr>
            <w:r>
              <w:rPr>
                <w:rFonts w:ascii="Calibri" w:hAnsi="Calibri"/>
                <w:color w:val="000000"/>
              </w:rPr>
              <w:t>Europe and Central Asia</w:t>
            </w:r>
          </w:p>
        </w:tc>
      </w:tr>
      <w:tr w:rsidR="00C62002" w14:paraId="41E9283B" w14:textId="77777777" w:rsidTr="00DE56CF">
        <w:tc>
          <w:tcPr>
            <w:tcW w:w="567" w:type="dxa"/>
            <w:shd w:val="clear" w:color="auto" w:fill="auto"/>
          </w:tcPr>
          <w:p w14:paraId="171356A8" w14:textId="04E3C642" w:rsidR="00C62002" w:rsidRDefault="00C62002" w:rsidP="00844FD6">
            <w:pPr>
              <w:spacing w:after="120" w:line="240" w:lineRule="auto"/>
              <w:jc w:val="center"/>
            </w:pPr>
            <w:r>
              <w:rPr>
                <w:rFonts w:ascii="Calibri" w:hAnsi="Calibri"/>
                <w:color w:val="000000"/>
              </w:rPr>
              <w:t>5</w:t>
            </w:r>
          </w:p>
        </w:tc>
        <w:tc>
          <w:tcPr>
            <w:tcW w:w="1271" w:type="dxa"/>
            <w:shd w:val="clear" w:color="auto" w:fill="auto"/>
          </w:tcPr>
          <w:p w14:paraId="5BF02BD8" w14:textId="313994AA" w:rsidR="00C62002" w:rsidRDefault="00C62002" w:rsidP="00844FD6">
            <w:pPr>
              <w:spacing w:after="120" w:line="240" w:lineRule="auto"/>
              <w:jc w:val="center"/>
            </w:pPr>
            <w:r>
              <w:rPr>
                <w:rFonts w:ascii="Calibri" w:hAnsi="Calibri"/>
                <w:color w:val="000000"/>
              </w:rPr>
              <w:t>BRA</w:t>
            </w:r>
          </w:p>
        </w:tc>
        <w:tc>
          <w:tcPr>
            <w:tcW w:w="3589" w:type="dxa"/>
            <w:shd w:val="clear" w:color="auto" w:fill="auto"/>
          </w:tcPr>
          <w:p w14:paraId="27CEDBE1" w14:textId="09090A90" w:rsidR="00C62002" w:rsidRDefault="00C62002" w:rsidP="00844FD6">
            <w:pPr>
              <w:spacing w:after="120" w:line="240" w:lineRule="auto"/>
            </w:pPr>
            <w:r>
              <w:rPr>
                <w:rFonts w:ascii="Calibri" w:hAnsi="Calibri"/>
                <w:color w:val="000000"/>
              </w:rPr>
              <w:t>Brazil</w:t>
            </w:r>
          </w:p>
        </w:tc>
        <w:tc>
          <w:tcPr>
            <w:tcW w:w="3589" w:type="dxa"/>
            <w:shd w:val="clear" w:color="auto" w:fill="auto"/>
          </w:tcPr>
          <w:p w14:paraId="45D61B7B" w14:textId="3AE6F0C2" w:rsidR="00C62002" w:rsidRDefault="00C62002" w:rsidP="00844FD6">
            <w:pPr>
              <w:spacing w:after="120" w:line="240" w:lineRule="auto"/>
            </w:pPr>
            <w:r>
              <w:rPr>
                <w:rFonts w:ascii="Calibri" w:hAnsi="Calibri"/>
                <w:color w:val="000000"/>
              </w:rPr>
              <w:t>Latin America and the Caribbean</w:t>
            </w:r>
          </w:p>
        </w:tc>
      </w:tr>
      <w:tr w:rsidR="00C62002" w14:paraId="23956C33" w14:textId="77777777" w:rsidTr="00DE56CF">
        <w:tc>
          <w:tcPr>
            <w:tcW w:w="567" w:type="dxa"/>
            <w:shd w:val="clear" w:color="auto" w:fill="auto"/>
          </w:tcPr>
          <w:p w14:paraId="28B94483" w14:textId="08B869AD" w:rsidR="00C62002" w:rsidRDefault="00C62002" w:rsidP="00844FD6">
            <w:pPr>
              <w:spacing w:after="120" w:line="240" w:lineRule="auto"/>
              <w:jc w:val="center"/>
            </w:pPr>
            <w:r>
              <w:rPr>
                <w:rFonts w:ascii="Calibri" w:hAnsi="Calibri"/>
                <w:color w:val="000000"/>
              </w:rPr>
              <w:t>6</w:t>
            </w:r>
          </w:p>
        </w:tc>
        <w:tc>
          <w:tcPr>
            <w:tcW w:w="1271" w:type="dxa"/>
            <w:shd w:val="clear" w:color="auto" w:fill="auto"/>
          </w:tcPr>
          <w:p w14:paraId="668630B3" w14:textId="25BAC746" w:rsidR="00C62002" w:rsidRDefault="00C62002" w:rsidP="00844FD6">
            <w:pPr>
              <w:spacing w:after="120" w:line="240" w:lineRule="auto"/>
              <w:jc w:val="center"/>
            </w:pPr>
            <w:r>
              <w:rPr>
                <w:rFonts w:ascii="Calibri" w:hAnsi="Calibri"/>
                <w:color w:val="000000"/>
              </w:rPr>
              <w:t>CAN</w:t>
            </w:r>
          </w:p>
        </w:tc>
        <w:tc>
          <w:tcPr>
            <w:tcW w:w="3589" w:type="dxa"/>
            <w:shd w:val="clear" w:color="auto" w:fill="auto"/>
          </w:tcPr>
          <w:p w14:paraId="45073E6F" w14:textId="097B8F77" w:rsidR="00C62002" w:rsidRDefault="00C62002" w:rsidP="00844FD6">
            <w:pPr>
              <w:spacing w:after="120" w:line="240" w:lineRule="auto"/>
            </w:pPr>
            <w:r>
              <w:rPr>
                <w:rFonts w:ascii="Calibri" w:hAnsi="Calibri"/>
                <w:color w:val="000000"/>
              </w:rPr>
              <w:t>Canada</w:t>
            </w:r>
          </w:p>
        </w:tc>
        <w:tc>
          <w:tcPr>
            <w:tcW w:w="3589" w:type="dxa"/>
            <w:shd w:val="clear" w:color="auto" w:fill="auto"/>
          </w:tcPr>
          <w:p w14:paraId="41F30862" w14:textId="643B8332" w:rsidR="00C62002" w:rsidRDefault="00C62002" w:rsidP="00844FD6">
            <w:pPr>
              <w:spacing w:after="120" w:line="240" w:lineRule="auto"/>
            </w:pPr>
            <w:r>
              <w:rPr>
                <w:rFonts w:ascii="Calibri" w:hAnsi="Calibri"/>
                <w:color w:val="000000"/>
              </w:rPr>
              <w:t>North America</w:t>
            </w:r>
          </w:p>
        </w:tc>
      </w:tr>
      <w:tr w:rsidR="00C62002" w14:paraId="0DDCAB2C" w14:textId="77777777" w:rsidTr="00DE56CF">
        <w:tc>
          <w:tcPr>
            <w:tcW w:w="567" w:type="dxa"/>
            <w:shd w:val="clear" w:color="auto" w:fill="auto"/>
          </w:tcPr>
          <w:p w14:paraId="366496C7" w14:textId="5A25137E" w:rsidR="00C62002" w:rsidRDefault="00C62002" w:rsidP="00844FD6">
            <w:pPr>
              <w:spacing w:after="120" w:line="240" w:lineRule="auto"/>
              <w:jc w:val="center"/>
            </w:pPr>
            <w:r>
              <w:rPr>
                <w:rFonts w:ascii="Calibri" w:hAnsi="Calibri"/>
                <w:color w:val="000000"/>
              </w:rPr>
              <w:t>7</w:t>
            </w:r>
          </w:p>
        </w:tc>
        <w:tc>
          <w:tcPr>
            <w:tcW w:w="1271" w:type="dxa"/>
            <w:shd w:val="clear" w:color="auto" w:fill="auto"/>
          </w:tcPr>
          <w:p w14:paraId="4BF91740" w14:textId="5B69AC0D" w:rsidR="00C62002" w:rsidRDefault="00C62002" w:rsidP="00844FD6">
            <w:pPr>
              <w:spacing w:after="120" w:line="240" w:lineRule="auto"/>
              <w:jc w:val="center"/>
            </w:pPr>
            <w:r>
              <w:rPr>
                <w:rFonts w:ascii="Calibri" w:hAnsi="Calibri"/>
                <w:color w:val="000000"/>
              </w:rPr>
              <w:t>SWI</w:t>
            </w:r>
          </w:p>
        </w:tc>
        <w:tc>
          <w:tcPr>
            <w:tcW w:w="3589" w:type="dxa"/>
            <w:shd w:val="clear" w:color="auto" w:fill="auto"/>
          </w:tcPr>
          <w:p w14:paraId="2DFDCC9D" w14:textId="7FFA6269" w:rsidR="00C62002" w:rsidRDefault="00C62002" w:rsidP="00844FD6">
            <w:pPr>
              <w:spacing w:after="120" w:line="240" w:lineRule="auto"/>
            </w:pPr>
            <w:r>
              <w:rPr>
                <w:rFonts w:ascii="Calibri" w:hAnsi="Calibri"/>
                <w:color w:val="000000"/>
              </w:rPr>
              <w:t>Switzerland</w:t>
            </w:r>
          </w:p>
        </w:tc>
        <w:tc>
          <w:tcPr>
            <w:tcW w:w="3589" w:type="dxa"/>
            <w:shd w:val="clear" w:color="auto" w:fill="auto"/>
          </w:tcPr>
          <w:p w14:paraId="7C9F7F1E" w14:textId="439E415E" w:rsidR="00C62002" w:rsidRDefault="00C62002" w:rsidP="00844FD6">
            <w:pPr>
              <w:spacing w:after="120" w:line="240" w:lineRule="auto"/>
            </w:pPr>
            <w:r>
              <w:rPr>
                <w:rFonts w:ascii="Calibri" w:hAnsi="Calibri"/>
                <w:color w:val="000000"/>
              </w:rPr>
              <w:t>Europe and Central Asia</w:t>
            </w:r>
          </w:p>
        </w:tc>
      </w:tr>
      <w:tr w:rsidR="00C62002" w14:paraId="39AABEC1" w14:textId="77777777" w:rsidTr="00DE56CF">
        <w:tc>
          <w:tcPr>
            <w:tcW w:w="567" w:type="dxa"/>
            <w:shd w:val="clear" w:color="auto" w:fill="auto"/>
          </w:tcPr>
          <w:p w14:paraId="659F6177" w14:textId="293E8A4B" w:rsidR="00C62002" w:rsidRDefault="00C62002" w:rsidP="00844FD6">
            <w:pPr>
              <w:spacing w:after="120" w:line="240" w:lineRule="auto"/>
              <w:jc w:val="center"/>
            </w:pPr>
            <w:r>
              <w:rPr>
                <w:rFonts w:ascii="Calibri" w:hAnsi="Calibri"/>
                <w:color w:val="000000"/>
              </w:rPr>
              <w:t>8</w:t>
            </w:r>
          </w:p>
        </w:tc>
        <w:tc>
          <w:tcPr>
            <w:tcW w:w="1271" w:type="dxa"/>
            <w:shd w:val="clear" w:color="auto" w:fill="auto"/>
          </w:tcPr>
          <w:p w14:paraId="2E6B120F" w14:textId="5F4C1C3C" w:rsidR="00C62002" w:rsidRDefault="00C62002" w:rsidP="00844FD6">
            <w:pPr>
              <w:spacing w:after="120" w:line="240" w:lineRule="auto"/>
              <w:jc w:val="center"/>
            </w:pPr>
            <w:r>
              <w:rPr>
                <w:rFonts w:ascii="Calibri" w:hAnsi="Calibri"/>
                <w:color w:val="000000"/>
              </w:rPr>
              <w:t>PRC</w:t>
            </w:r>
          </w:p>
        </w:tc>
        <w:tc>
          <w:tcPr>
            <w:tcW w:w="3589" w:type="dxa"/>
            <w:shd w:val="clear" w:color="auto" w:fill="auto"/>
          </w:tcPr>
          <w:p w14:paraId="5CA09EA4" w14:textId="05E42475" w:rsidR="00C62002" w:rsidRDefault="00C62002" w:rsidP="00844FD6">
            <w:pPr>
              <w:spacing w:after="120" w:line="240" w:lineRule="auto"/>
            </w:pPr>
            <w:r>
              <w:rPr>
                <w:rFonts w:ascii="Calibri" w:hAnsi="Calibri"/>
                <w:color w:val="000000"/>
              </w:rPr>
              <w:t>People's Republic of China</w:t>
            </w:r>
          </w:p>
        </w:tc>
        <w:tc>
          <w:tcPr>
            <w:tcW w:w="3589" w:type="dxa"/>
            <w:shd w:val="clear" w:color="auto" w:fill="auto"/>
          </w:tcPr>
          <w:p w14:paraId="18F2E793" w14:textId="1C575D3F" w:rsidR="00C62002" w:rsidRDefault="00C62002" w:rsidP="00844FD6">
            <w:pPr>
              <w:spacing w:after="120" w:line="240" w:lineRule="auto"/>
            </w:pPr>
            <w:r>
              <w:rPr>
                <w:rFonts w:ascii="Calibri" w:hAnsi="Calibri"/>
                <w:color w:val="000000"/>
              </w:rPr>
              <w:t>East Asia and Pacific</w:t>
            </w:r>
          </w:p>
        </w:tc>
      </w:tr>
      <w:tr w:rsidR="00DE56CF" w14:paraId="7B26C869" w14:textId="77777777" w:rsidTr="00DE56CF">
        <w:tc>
          <w:tcPr>
            <w:tcW w:w="567" w:type="dxa"/>
            <w:shd w:val="clear" w:color="auto" w:fill="auto"/>
          </w:tcPr>
          <w:p w14:paraId="0F962C1B" w14:textId="5EA0EAF7" w:rsidR="00C62002" w:rsidRDefault="00C62002" w:rsidP="00844FD6">
            <w:pPr>
              <w:spacing w:after="120" w:line="240" w:lineRule="auto"/>
              <w:jc w:val="center"/>
            </w:pPr>
            <w:r>
              <w:rPr>
                <w:rFonts w:ascii="Calibri" w:hAnsi="Calibri"/>
                <w:color w:val="000000"/>
              </w:rPr>
              <w:t>9</w:t>
            </w:r>
          </w:p>
        </w:tc>
        <w:tc>
          <w:tcPr>
            <w:tcW w:w="1271" w:type="dxa"/>
            <w:shd w:val="clear" w:color="auto" w:fill="auto"/>
          </w:tcPr>
          <w:p w14:paraId="0F26C5C7" w14:textId="5E62DE98" w:rsidR="00C62002" w:rsidRDefault="00C62002" w:rsidP="00844FD6">
            <w:pPr>
              <w:spacing w:after="120" w:line="240" w:lineRule="auto"/>
              <w:jc w:val="center"/>
            </w:pPr>
            <w:r>
              <w:rPr>
                <w:rFonts w:ascii="Calibri" w:hAnsi="Calibri"/>
                <w:color w:val="000000"/>
              </w:rPr>
              <w:t>CYP</w:t>
            </w:r>
          </w:p>
        </w:tc>
        <w:tc>
          <w:tcPr>
            <w:tcW w:w="3589" w:type="dxa"/>
            <w:shd w:val="clear" w:color="auto" w:fill="auto"/>
          </w:tcPr>
          <w:p w14:paraId="5D7E1F16" w14:textId="12025765" w:rsidR="00C62002" w:rsidRDefault="00C62002" w:rsidP="00844FD6">
            <w:pPr>
              <w:spacing w:after="120" w:line="240" w:lineRule="auto"/>
            </w:pPr>
            <w:r>
              <w:rPr>
                <w:rFonts w:ascii="Calibri" w:hAnsi="Calibri"/>
                <w:color w:val="000000"/>
              </w:rPr>
              <w:t>Cyprus</w:t>
            </w:r>
          </w:p>
        </w:tc>
        <w:tc>
          <w:tcPr>
            <w:tcW w:w="3589" w:type="dxa"/>
            <w:shd w:val="clear" w:color="auto" w:fill="auto"/>
          </w:tcPr>
          <w:p w14:paraId="4A7B66E2" w14:textId="7EDF7FED" w:rsidR="00C62002" w:rsidRDefault="00C62002" w:rsidP="00844FD6">
            <w:pPr>
              <w:spacing w:after="120" w:line="240" w:lineRule="auto"/>
            </w:pPr>
            <w:r>
              <w:rPr>
                <w:rFonts w:ascii="Calibri" w:hAnsi="Calibri"/>
                <w:color w:val="000000"/>
              </w:rPr>
              <w:t>Europe and Central Asia</w:t>
            </w:r>
          </w:p>
        </w:tc>
      </w:tr>
      <w:tr w:rsidR="00DE56CF" w14:paraId="6CE7213B" w14:textId="77777777" w:rsidTr="00DE56CF">
        <w:tc>
          <w:tcPr>
            <w:tcW w:w="567" w:type="dxa"/>
            <w:shd w:val="clear" w:color="auto" w:fill="auto"/>
          </w:tcPr>
          <w:p w14:paraId="19E35BF5" w14:textId="5F3B96D0" w:rsidR="00C62002" w:rsidRDefault="00C62002" w:rsidP="00844FD6">
            <w:pPr>
              <w:spacing w:after="120" w:line="240" w:lineRule="auto"/>
              <w:jc w:val="center"/>
            </w:pPr>
            <w:r>
              <w:rPr>
                <w:rFonts w:ascii="Calibri" w:hAnsi="Calibri"/>
                <w:color w:val="000000"/>
              </w:rPr>
              <w:t>10</w:t>
            </w:r>
          </w:p>
        </w:tc>
        <w:tc>
          <w:tcPr>
            <w:tcW w:w="1271" w:type="dxa"/>
            <w:shd w:val="clear" w:color="auto" w:fill="auto"/>
          </w:tcPr>
          <w:p w14:paraId="424B8A90" w14:textId="0C15A32D" w:rsidR="00C62002" w:rsidRDefault="00C62002" w:rsidP="00844FD6">
            <w:pPr>
              <w:spacing w:after="120" w:line="240" w:lineRule="auto"/>
              <w:jc w:val="center"/>
            </w:pPr>
            <w:r>
              <w:rPr>
                <w:rFonts w:ascii="Calibri" w:hAnsi="Calibri"/>
                <w:color w:val="000000"/>
              </w:rPr>
              <w:t>CZE</w:t>
            </w:r>
          </w:p>
        </w:tc>
        <w:tc>
          <w:tcPr>
            <w:tcW w:w="3589" w:type="dxa"/>
            <w:shd w:val="clear" w:color="auto" w:fill="auto"/>
          </w:tcPr>
          <w:p w14:paraId="670F97DE" w14:textId="3521A142" w:rsidR="00C62002" w:rsidRDefault="00C62002" w:rsidP="00844FD6">
            <w:pPr>
              <w:spacing w:after="120" w:line="240" w:lineRule="auto"/>
            </w:pPr>
            <w:r>
              <w:rPr>
                <w:rFonts w:ascii="Calibri" w:hAnsi="Calibri"/>
                <w:color w:val="000000"/>
              </w:rPr>
              <w:t>Czech Republic</w:t>
            </w:r>
          </w:p>
        </w:tc>
        <w:tc>
          <w:tcPr>
            <w:tcW w:w="3589" w:type="dxa"/>
            <w:shd w:val="clear" w:color="auto" w:fill="auto"/>
          </w:tcPr>
          <w:p w14:paraId="5C420C85" w14:textId="66342562" w:rsidR="00C62002" w:rsidRDefault="00C62002" w:rsidP="00844FD6">
            <w:pPr>
              <w:spacing w:after="120" w:line="240" w:lineRule="auto"/>
            </w:pPr>
            <w:r>
              <w:rPr>
                <w:rFonts w:ascii="Calibri" w:hAnsi="Calibri"/>
                <w:color w:val="000000"/>
              </w:rPr>
              <w:t>Europe and Central Asia</w:t>
            </w:r>
          </w:p>
        </w:tc>
      </w:tr>
      <w:tr w:rsidR="00DE56CF" w14:paraId="131736A7" w14:textId="77777777" w:rsidTr="00DE56CF">
        <w:tc>
          <w:tcPr>
            <w:tcW w:w="567" w:type="dxa"/>
            <w:shd w:val="clear" w:color="auto" w:fill="auto"/>
          </w:tcPr>
          <w:p w14:paraId="79F2C93E" w14:textId="798B1A95" w:rsidR="00C62002" w:rsidRDefault="00C62002" w:rsidP="00844FD6">
            <w:pPr>
              <w:spacing w:after="120" w:line="240" w:lineRule="auto"/>
              <w:jc w:val="center"/>
            </w:pPr>
            <w:r>
              <w:rPr>
                <w:rFonts w:ascii="Calibri" w:hAnsi="Calibri"/>
                <w:color w:val="000000"/>
              </w:rPr>
              <w:t>11</w:t>
            </w:r>
          </w:p>
        </w:tc>
        <w:tc>
          <w:tcPr>
            <w:tcW w:w="1271" w:type="dxa"/>
            <w:shd w:val="clear" w:color="auto" w:fill="auto"/>
          </w:tcPr>
          <w:p w14:paraId="721F569E" w14:textId="6887BB3D" w:rsidR="00C62002" w:rsidRDefault="00C62002" w:rsidP="00844FD6">
            <w:pPr>
              <w:spacing w:after="120" w:line="240" w:lineRule="auto"/>
              <w:jc w:val="center"/>
            </w:pPr>
            <w:r>
              <w:rPr>
                <w:rFonts w:ascii="Calibri" w:hAnsi="Calibri"/>
                <w:color w:val="000000"/>
              </w:rPr>
              <w:t>GER</w:t>
            </w:r>
          </w:p>
        </w:tc>
        <w:tc>
          <w:tcPr>
            <w:tcW w:w="3589" w:type="dxa"/>
            <w:shd w:val="clear" w:color="auto" w:fill="auto"/>
          </w:tcPr>
          <w:p w14:paraId="374AD86C" w14:textId="3A270FC4" w:rsidR="00C62002" w:rsidRDefault="00C62002" w:rsidP="00844FD6">
            <w:pPr>
              <w:spacing w:after="120" w:line="240" w:lineRule="auto"/>
            </w:pPr>
            <w:r>
              <w:rPr>
                <w:rFonts w:ascii="Calibri" w:hAnsi="Calibri"/>
                <w:color w:val="000000"/>
              </w:rPr>
              <w:t>Germany</w:t>
            </w:r>
          </w:p>
        </w:tc>
        <w:tc>
          <w:tcPr>
            <w:tcW w:w="3589" w:type="dxa"/>
            <w:shd w:val="clear" w:color="auto" w:fill="auto"/>
          </w:tcPr>
          <w:p w14:paraId="4D5D65CD" w14:textId="0794AEAB" w:rsidR="00C62002" w:rsidRDefault="00C62002" w:rsidP="00844FD6">
            <w:pPr>
              <w:spacing w:after="120" w:line="240" w:lineRule="auto"/>
            </w:pPr>
            <w:r>
              <w:rPr>
                <w:rFonts w:ascii="Calibri" w:hAnsi="Calibri"/>
                <w:color w:val="000000"/>
              </w:rPr>
              <w:t>Europe and Central Asia</w:t>
            </w:r>
          </w:p>
        </w:tc>
      </w:tr>
      <w:tr w:rsidR="00DE56CF" w14:paraId="6434BAD3" w14:textId="77777777" w:rsidTr="00DE56CF">
        <w:tc>
          <w:tcPr>
            <w:tcW w:w="567" w:type="dxa"/>
            <w:shd w:val="clear" w:color="auto" w:fill="auto"/>
          </w:tcPr>
          <w:p w14:paraId="7C985B96" w14:textId="6DFD8F24" w:rsidR="00C62002" w:rsidRDefault="00C62002" w:rsidP="00844FD6">
            <w:pPr>
              <w:spacing w:after="120" w:line="240" w:lineRule="auto"/>
              <w:jc w:val="center"/>
            </w:pPr>
            <w:r>
              <w:rPr>
                <w:rFonts w:ascii="Calibri" w:hAnsi="Calibri"/>
                <w:color w:val="000000"/>
              </w:rPr>
              <w:t>12</w:t>
            </w:r>
          </w:p>
        </w:tc>
        <w:tc>
          <w:tcPr>
            <w:tcW w:w="1271" w:type="dxa"/>
            <w:shd w:val="clear" w:color="auto" w:fill="auto"/>
          </w:tcPr>
          <w:p w14:paraId="7BFE8F29" w14:textId="33693AAF" w:rsidR="00C62002" w:rsidRDefault="00C62002" w:rsidP="00844FD6">
            <w:pPr>
              <w:spacing w:after="120" w:line="240" w:lineRule="auto"/>
              <w:jc w:val="center"/>
            </w:pPr>
            <w:r>
              <w:rPr>
                <w:rFonts w:ascii="Calibri" w:hAnsi="Calibri"/>
                <w:color w:val="000000"/>
              </w:rPr>
              <w:t>DEN</w:t>
            </w:r>
          </w:p>
        </w:tc>
        <w:tc>
          <w:tcPr>
            <w:tcW w:w="3589" w:type="dxa"/>
            <w:shd w:val="clear" w:color="auto" w:fill="auto"/>
          </w:tcPr>
          <w:p w14:paraId="6FC719E4" w14:textId="66FD26E9" w:rsidR="00C62002" w:rsidRDefault="00C62002" w:rsidP="00844FD6">
            <w:pPr>
              <w:spacing w:after="120" w:line="240" w:lineRule="auto"/>
            </w:pPr>
            <w:r>
              <w:rPr>
                <w:rFonts w:ascii="Calibri" w:hAnsi="Calibri"/>
                <w:color w:val="000000"/>
              </w:rPr>
              <w:t>Denmark</w:t>
            </w:r>
          </w:p>
        </w:tc>
        <w:tc>
          <w:tcPr>
            <w:tcW w:w="3589" w:type="dxa"/>
            <w:shd w:val="clear" w:color="auto" w:fill="auto"/>
          </w:tcPr>
          <w:p w14:paraId="443945BA" w14:textId="18CAA299" w:rsidR="00C62002" w:rsidRDefault="00C62002" w:rsidP="00844FD6">
            <w:pPr>
              <w:spacing w:after="120" w:line="240" w:lineRule="auto"/>
            </w:pPr>
            <w:r>
              <w:rPr>
                <w:rFonts w:ascii="Calibri" w:hAnsi="Calibri"/>
                <w:color w:val="000000"/>
              </w:rPr>
              <w:t>Europe and Central Asia</w:t>
            </w:r>
          </w:p>
        </w:tc>
      </w:tr>
      <w:tr w:rsidR="00DE56CF" w14:paraId="502817AC" w14:textId="77777777" w:rsidTr="00DE56CF">
        <w:tc>
          <w:tcPr>
            <w:tcW w:w="567" w:type="dxa"/>
            <w:shd w:val="clear" w:color="auto" w:fill="auto"/>
          </w:tcPr>
          <w:p w14:paraId="55F00AB7" w14:textId="30CC74EA" w:rsidR="00C62002" w:rsidRDefault="00C62002" w:rsidP="00844FD6">
            <w:pPr>
              <w:spacing w:after="120" w:line="240" w:lineRule="auto"/>
              <w:jc w:val="center"/>
            </w:pPr>
            <w:r>
              <w:rPr>
                <w:rFonts w:ascii="Calibri" w:hAnsi="Calibri"/>
                <w:color w:val="000000"/>
              </w:rPr>
              <w:t>13</w:t>
            </w:r>
          </w:p>
        </w:tc>
        <w:tc>
          <w:tcPr>
            <w:tcW w:w="1271" w:type="dxa"/>
            <w:shd w:val="clear" w:color="auto" w:fill="auto"/>
          </w:tcPr>
          <w:p w14:paraId="74D7F50E" w14:textId="2EAE0ABA" w:rsidR="00C62002" w:rsidRDefault="00C62002" w:rsidP="00844FD6">
            <w:pPr>
              <w:spacing w:after="120" w:line="240" w:lineRule="auto"/>
              <w:jc w:val="center"/>
            </w:pPr>
            <w:r>
              <w:rPr>
                <w:rFonts w:ascii="Calibri" w:hAnsi="Calibri"/>
                <w:color w:val="000000"/>
              </w:rPr>
              <w:t>SPA</w:t>
            </w:r>
          </w:p>
        </w:tc>
        <w:tc>
          <w:tcPr>
            <w:tcW w:w="3589" w:type="dxa"/>
            <w:shd w:val="clear" w:color="auto" w:fill="auto"/>
          </w:tcPr>
          <w:p w14:paraId="1BE10D7A" w14:textId="65DE539D" w:rsidR="00C62002" w:rsidRDefault="00C62002" w:rsidP="00844FD6">
            <w:pPr>
              <w:spacing w:after="120" w:line="240" w:lineRule="auto"/>
            </w:pPr>
            <w:r>
              <w:rPr>
                <w:rFonts w:ascii="Calibri" w:hAnsi="Calibri"/>
                <w:color w:val="000000"/>
              </w:rPr>
              <w:t>Spain</w:t>
            </w:r>
          </w:p>
        </w:tc>
        <w:tc>
          <w:tcPr>
            <w:tcW w:w="3589" w:type="dxa"/>
            <w:shd w:val="clear" w:color="auto" w:fill="auto"/>
          </w:tcPr>
          <w:p w14:paraId="23CED0AC" w14:textId="1D3AAA45" w:rsidR="00C62002" w:rsidRDefault="00C62002" w:rsidP="00844FD6">
            <w:pPr>
              <w:spacing w:after="120" w:line="240" w:lineRule="auto"/>
            </w:pPr>
            <w:r>
              <w:rPr>
                <w:rFonts w:ascii="Calibri" w:hAnsi="Calibri"/>
                <w:color w:val="000000"/>
              </w:rPr>
              <w:t>Europe and Central Asia</w:t>
            </w:r>
          </w:p>
        </w:tc>
      </w:tr>
      <w:tr w:rsidR="00DE56CF" w14:paraId="760BA99F" w14:textId="77777777" w:rsidTr="00DE56CF">
        <w:tc>
          <w:tcPr>
            <w:tcW w:w="567" w:type="dxa"/>
            <w:shd w:val="clear" w:color="auto" w:fill="auto"/>
          </w:tcPr>
          <w:p w14:paraId="2D20FC60" w14:textId="6EA2D2AF" w:rsidR="00C62002" w:rsidRDefault="00C62002" w:rsidP="00844FD6">
            <w:pPr>
              <w:spacing w:after="120" w:line="240" w:lineRule="auto"/>
              <w:jc w:val="center"/>
            </w:pPr>
            <w:r>
              <w:rPr>
                <w:rFonts w:ascii="Calibri" w:hAnsi="Calibri"/>
                <w:color w:val="000000"/>
              </w:rPr>
              <w:t>14</w:t>
            </w:r>
          </w:p>
        </w:tc>
        <w:tc>
          <w:tcPr>
            <w:tcW w:w="1271" w:type="dxa"/>
            <w:shd w:val="clear" w:color="auto" w:fill="auto"/>
          </w:tcPr>
          <w:p w14:paraId="657EAF03" w14:textId="7779778F" w:rsidR="00C62002" w:rsidRDefault="00C62002" w:rsidP="00844FD6">
            <w:pPr>
              <w:spacing w:after="120" w:line="240" w:lineRule="auto"/>
              <w:jc w:val="center"/>
            </w:pPr>
            <w:r>
              <w:rPr>
                <w:rFonts w:ascii="Calibri" w:hAnsi="Calibri"/>
                <w:color w:val="000000"/>
              </w:rPr>
              <w:t>EST</w:t>
            </w:r>
          </w:p>
        </w:tc>
        <w:tc>
          <w:tcPr>
            <w:tcW w:w="3589" w:type="dxa"/>
            <w:shd w:val="clear" w:color="auto" w:fill="auto"/>
          </w:tcPr>
          <w:p w14:paraId="480CF283" w14:textId="09ECB00C" w:rsidR="00C62002" w:rsidRDefault="00C62002" w:rsidP="00844FD6">
            <w:pPr>
              <w:spacing w:after="120" w:line="240" w:lineRule="auto"/>
            </w:pPr>
            <w:r>
              <w:rPr>
                <w:rFonts w:ascii="Calibri" w:hAnsi="Calibri"/>
                <w:color w:val="000000"/>
              </w:rPr>
              <w:t>Estonia</w:t>
            </w:r>
          </w:p>
        </w:tc>
        <w:tc>
          <w:tcPr>
            <w:tcW w:w="3589" w:type="dxa"/>
            <w:shd w:val="clear" w:color="auto" w:fill="auto"/>
          </w:tcPr>
          <w:p w14:paraId="33C05F10" w14:textId="582A8304" w:rsidR="00C62002" w:rsidRDefault="00C62002" w:rsidP="00844FD6">
            <w:pPr>
              <w:spacing w:after="120" w:line="240" w:lineRule="auto"/>
            </w:pPr>
            <w:r>
              <w:rPr>
                <w:rFonts w:ascii="Calibri" w:hAnsi="Calibri"/>
                <w:color w:val="000000"/>
              </w:rPr>
              <w:t>Europe and Central Asia</w:t>
            </w:r>
          </w:p>
        </w:tc>
      </w:tr>
      <w:tr w:rsidR="00DE56CF" w14:paraId="084882DD" w14:textId="77777777" w:rsidTr="00DE56CF">
        <w:tc>
          <w:tcPr>
            <w:tcW w:w="567" w:type="dxa"/>
            <w:shd w:val="clear" w:color="auto" w:fill="auto"/>
          </w:tcPr>
          <w:p w14:paraId="38773D89" w14:textId="71F1154E" w:rsidR="00C62002" w:rsidRDefault="00C62002" w:rsidP="00844FD6">
            <w:pPr>
              <w:spacing w:after="120" w:line="240" w:lineRule="auto"/>
              <w:jc w:val="center"/>
            </w:pPr>
            <w:r>
              <w:rPr>
                <w:rFonts w:ascii="Calibri" w:hAnsi="Calibri"/>
                <w:color w:val="000000"/>
              </w:rPr>
              <w:t>15</w:t>
            </w:r>
          </w:p>
        </w:tc>
        <w:tc>
          <w:tcPr>
            <w:tcW w:w="1271" w:type="dxa"/>
            <w:shd w:val="clear" w:color="auto" w:fill="auto"/>
          </w:tcPr>
          <w:p w14:paraId="51808583" w14:textId="48CB3DE8" w:rsidR="00C62002" w:rsidRDefault="00C62002" w:rsidP="00844FD6">
            <w:pPr>
              <w:spacing w:after="120" w:line="240" w:lineRule="auto"/>
              <w:jc w:val="center"/>
            </w:pPr>
            <w:r>
              <w:rPr>
                <w:rFonts w:ascii="Calibri" w:hAnsi="Calibri"/>
                <w:color w:val="000000"/>
              </w:rPr>
              <w:t>FIN</w:t>
            </w:r>
          </w:p>
        </w:tc>
        <w:tc>
          <w:tcPr>
            <w:tcW w:w="3589" w:type="dxa"/>
            <w:shd w:val="clear" w:color="auto" w:fill="auto"/>
          </w:tcPr>
          <w:p w14:paraId="4A8EDD23" w14:textId="3812CEC4" w:rsidR="00C62002" w:rsidRDefault="00C62002" w:rsidP="00844FD6">
            <w:pPr>
              <w:spacing w:after="120" w:line="240" w:lineRule="auto"/>
            </w:pPr>
            <w:r>
              <w:rPr>
                <w:rFonts w:ascii="Calibri" w:hAnsi="Calibri"/>
                <w:color w:val="000000"/>
              </w:rPr>
              <w:t>Finland</w:t>
            </w:r>
          </w:p>
        </w:tc>
        <w:tc>
          <w:tcPr>
            <w:tcW w:w="3589" w:type="dxa"/>
            <w:shd w:val="clear" w:color="auto" w:fill="auto"/>
          </w:tcPr>
          <w:p w14:paraId="65C66CCB" w14:textId="4492F4BE" w:rsidR="00C62002" w:rsidRDefault="00C62002" w:rsidP="00844FD6">
            <w:pPr>
              <w:spacing w:after="120" w:line="240" w:lineRule="auto"/>
            </w:pPr>
            <w:r>
              <w:rPr>
                <w:rFonts w:ascii="Calibri" w:hAnsi="Calibri"/>
                <w:color w:val="000000"/>
              </w:rPr>
              <w:t>Europe and Central Asia</w:t>
            </w:r>
          </w:p>
        </w:tc>
      </w:tr>
      <w:tr w:rsidR="00DE56CF" w14:paraId="40648648" w14:textId="77777777" w:rsidTr="00DE56CF">
        <w:tc>
          <w:tcPr>
            <w:tcW w:w="567" w:type="dxa"/>
            <w:shd w:val="clear" w:color="auto" w:fill="auto"/>
          </w:tcPr>
          <w:p w14:paraId="60D106F7" w14:textId="54C3F80F" w:rsidR="00C62002" w:rsidRDefault="00C62002" w:rsidP="00844FD6">
            <w:pPr>
              <w:spacing w:after="120" w:line="240" w:lineRule="auto"/>
              <w:jc w:val="center"/>
            </w:pPr>
            <w:r>
              <w:rPr>
                <w:rFonts w:ascii="Calibri" w:hAnsi="Calibri"/>
                <w:color w:val="000000"/>
              </w:rPr>
              <w:t>16</w:t>
            </w:r>
          </w:p>
        </w:tc>
        <w:tc>
          <w:tcPr>
            <w:tcW w:w="1271" w:type="dxa"/>
            <w:shd w:val="clear" w:color="auto" w:fill="auto"/>
          </w:tcPr>
          <w:p w14:paraId="4E0511CA" w14:textId="7D104BE2" w:rsidR="00C62002" w:rsidRDefault="00C62002" w:rsidP="00844FD6">
            <w:pPr>
              <w:spacing w:after="120" w:line="240" w:lineRule="auto"/>
              <w:jc w:val="center"/>
            </w:pPr>
            <w:r>
              <w:rPr>
                <w:rFonts w:ascii="Calibri" w:hAnsi="Calibri"/>
                <w:color w:val="000000"/>
              </w:rPr>
              <w:t>FRA</w:t>
            </w:r>
          </w:p>
        </w:tc>
        <w:tc>
          <w:tcPr>
            <w:tcW w:w="3589" w:type="dxa"/>
            <w:shd w:val="clear" w:color="auto" w:fill="auto"/>
          </w:tcPr>
          <w:p w14:paraId="338846FA" w14:textId="753C27A4" w:rsidR="00C62002" w:rsidRDefault="00C62002" w:rsidP="00844FD6">
            <w:pPr>
              <w:spacing w:after="120" w:line="240" w:lineRule="auto"/>
            </w:pPr>
            <w:r>
              <w:rPr>
                <w:rFonts w:ascii="Calibri" w:hAnsi="Calibri"/>
                <w:color w:val="000000"/>
              </w:rPr>
              <w:t>France</w:t>
            </w:r>
          </w:p>
        </w:tc>
        <w:tc>
          <w:tcPr>
            <w:tcW w:w="3589" w:type="dxa"/>
            <w:shd w:val="clear" w:color="auto" w:fill="auto"/>
          </w:tcPr>
          <w:p w14:paraId="0E17C16F" w14:textId="1FC9B93D" w:rsidR="00C62002" w:rsidRDefault="00C62002" w:rsidP="00844FD6">
            <w:pPr>
              <w:spacing w:after="120" w:line="240" w:lineRule="auto"/>
            </w:pPr>
            <w:r>
              <w:rPr>
                <w:rFonts w:ascii="Calibri" w:hAnsi="Calibri"/>
                <w:color w:val="000000"/>
              </w:rPr>
              <w:t>Europe and Central Asia</w:t>
            </w:r>
          </w:p>
        </w:tc>
      </w:tr>
      <w:tr w:rsidR="00DE56CF" w14:paraId="4921265B" w14:textId="77777777" w:rsidTr="00DE56CF">
        <w:tc>
          <w:tcPr>
            <w:tcW w:w="567" w:type="dxa"/>
            <w:shd w:val="clear" w:color="auto" w:fill="auto"/>
          </w:tcPr>
          <w:p w14:paraId="6B805284" w14:textId="18D419FA" w:rsidR="00C62002" w:rsidRDefault="00C62002" w:rsidP="00844FD6">
            <w:pPr>
              <w:spacing w:after="120" w:line="240" w:lineRule="auto"/>
              <w:jc w:val="center"/>
            </w:pPr>
            <w:r>
              <w:rPr>
                <w:rFonts w:ascii="Calibri" w:hAnsi="Calibri"/>
                <w:color w:val="000000"/>
              </w:rPr>
              <w:t>17</w:t>
            </w:r>
          </w:p>
        </w:tc>
        <w:tc>
          <w:tcPr>
            <w:tcW w:w="1271" w:type="dxa"/>
            <w:shd w:val="clear" w:color="auto" w:fill="auto"/>
          </w:tcPr>
          <w:p w14:paraId="34EA9467" w14:textId="1BF543DF" w:rsidR="00C62002" w:rsidRDefault="00C62002" w:rsidP="00844FD6">
            <w:pPr>
              <w:spacing w:after="120" w:line="240" w:lineRule="auto"/>
              <w:jc w:val="center"/>
            </w:pPr>
            <w:r>
              <w:rPr>
                <w:rFonts w:ascii="Calibri" w:hAnsi="Calibri"/>
                <w:color w:val="000000"/>
              </w:rPr>
              <w:t>UKG</w:t>
            </w:r>
          </w:p>
        </w:tc>
        <w:tc>
          <w:tcPr>
            <w:tcW w:w="3589" w:type="dxa"/>
            <w:shd w:val="clear" w:color="auto" w:fill="auto"/>
          </w:tcPr>
          <w:p w14:paraId="264C1666" w14:textId="2B397065" w:rsidR="00C62002" w:rsidRDefault="00C62002" w:rsidP="00844FD6">
            <w:pPr>
              <w:spacing w:after="120" w:line="240" w:lineRule="auto"/>
            </w:pPr>
            <w:r>
              <w:rPr>
                <w:rFonts w:ascii="Calibri" w:hAnsi="Calibri"/>
                <w:color w:val="000000"/>
              </w:rPr>
              <w:t>United Kingdom</w:t>
            </w:r>
          </w:p>
        </w:tc>
        <w:tc>
          <w:tcPr>
            <w:tcW w:w="3589" w:type="dxa"/>
            <w:shd w:val="clear" w:color="auto" w:fill="auto"/>
          </w:tcPr>
          <w:p w14:paraId="50041EDF" w14:textId="559996E0" w:rsidR="00C62002" w:rsidRDefault="00C62002" w:rsidP="00844FD6">
            <w:pPr>
              <w:spacing w:after="120" w:line="240" w:lineRule="auto"/>
            </w:pPr>
            <w:r>
              <w:rPr>
                <w:rFonts w:ascii="Calibri" w:hAnsi="Calibri"/>
                <w:color w:val="000000"/>
              </w:rPr>
              <w:t>Europe and Central Asia</w:t>
            </w:r>
          </w:p>
        </w:tc>
      </w:tr>
      <w:tr w:rsidR="00DE56CF" w14:paraId="6EBD0A83" w14:textId="77777777" w:rsidTr="00DE56CF">
        <w:tc>
          <w:tcPr>
            <w:tcW w:w="567" w:type="dxa"/>
            <w:shd w:val="clear" w:color="auto" w:fill="auto"/>
          </w:tcPr>
          <w:p w14:paraId="17C946A1" w14:textId="003DF475" w:rsidR="00C62002" w:rsidRDefault="00C62002" w:rsidP="00844FD6">
            <w:pPr>
              <w:spacing w:after="120" w:line="240" w:lineRule="auto"/>
              <w:jc w:val="center"/>
            </w:pPr>
            <w:r>
              <w:rPr>
                <w:rFonts w:ascii="Calibri" w:hAnsi="Calibri"/>
                <w:color w:val="000000"/>
              </w:rPr>
              <w:t>18</w:t>
            </w:r>
          </w:p>
        </w:tc>
        <w:tc>
          <w:tcPr>
            <w:tcW w:w="1271" w:type="dxa"/>
            <w:shd w:val="clear" w:color="auto" w:fill="auto"/>
          </w:tcPr>
          <w:p w14:paraId="1FA7529A" w14:textId="63D7E140" w:rsidR="00C62002" w:rsidRDefault="00C62002" w:rsidP="00844FD6">
            <w:pPr>
              <w:spacing w:after="120" w:line="240" w:lineRule="auto"/>
              <w:jc w:val="center"/>
            </w:pPr>
            <w:r>
              <w:rPr>
                <w:rFonts w:ascii="Calibri" w:hAnsi="Calibri"/>
                <w:color w:val="000000"/>
              </w:rPr>
              <w:t>GRC</w:t>
            </w:r>
          </w:p>
        </w:tc>
        <w:tc>
          <w:tcPr>
            <w:tcW w:w="3589" w:type="dxa"/>
            <w:shd w:val="clear" w:color="auto" w:fill="auto"/>
          </w:tcPr>
          <w:p w14:paraId="711895B0" w14:textId="6BE94FA8" w:rsidR="00C62002" w:rsidRDefault="00C62002" w:rsidP="00844FD6">
            <w:pPr>
              <w:spacing w:after="120" w:line="240" w:lineRule="auto"/>
            </w:pPr>
            <w:r>
              <w:rPr>
                <w:rFonts w:ascii="Calibri" w:hAnsi="Calibri"/>
                <w:color w:val="000000"/>
              </w:rPr>
              <w:t>Greece</w:t>
            </w:r>
          </w:p>
        </w:tc>
        <w:tc>
          <w:tcPr>
            <w:tcW w:w="3589" w:type="dxa"/>
            <w:shd w:val="clear" w:color="auto" w:fill="auto"/>
          </w:tcPr>
          <w:p w14:paraId="57338689" w14:textId="70A1CE79" w:rsidR="00C62002" w:rsidRDefault="00C62002" w:rsidP="00844FD6">
            <w:pPr>
              <w:spacing w:after="120" w:line="240" w:lineRule="auto"/>
            </w:pPr>
            <w:r>
              <w:rPr>
                <w:rFonts w:ascii="Calibri" w:hAnsi="Calibri"/>
                <w:color w:val="000000"/>
              </w:rPr>
              <w:t>Europe and Central Asia</w:t>
            </w:r>
          </w:p>
        </w:tc>
      </w:tr>
      <w:tr w:rsidR="00DE56CF" w14:paraId="3D50D332" w14:textId="77777777" w:rsidTr="00DE56CF">
        <w:tc>
          <w:tcPr>
            <w:tcW w:w="567" w:type="dxa"/>
            <w:shd w:val="clear" w:color="auto" w:fill="auto"/>
          </w:tcPr>
          <w:p w14:paraId="65492E23" w14:textId="0A7AEE46" w:rsidR="00C62002" w:rsidRDefault="00C62002" w:rsidP="00844FD6">
            <w:pPr>
              <w:spacing w:after="120" w:line="240" w:lineRule="auto"/>
              <w:jc w:val="center"/>
            </w:pPr>
            <w:r>
              <w:rPr>
                <w:rFonts w:ascii="Calibri" w:hAnsi="Calibri"/>
                <w:color w:val="000000"/>
              </w:rPr>
              <w:t>19</w:t>
            </w:r>
          </w:p>
        </w:tc>
        <w:tc>
          <w:tcPr>
            <w:tcW w:w="1271" w:type="dxa"/>
            <w:shd w:val="clear" w:color="auto" w:fill="auto"/>
          </w:tcPr>
          <w:p w14:paraId="437BD9F1" w14:textId="29139FB7" w:rsidR="00C62002" w:rsidRDefault="00C62002" w:rsidP="00844FD6">
            <w:pPr>
              <w:spacing w:after="120" w:line="240" w:lineRule="auto"/>
              <w:jc w:val="center"/>
            </w:pPr>
            <w:r>
              <w:rPr>
                <w:rFonts w:ascii="Calibri" w:hAnsi="Calibri"/>
                <w:color w:val="000000"/>
              </w:rPr>
              <w:t>HRV</w:t>
            </w:r>
          </w:p>
        </w:tc>
        <w:tc>
          <w:tcPr>
            <w:tcW w:w="3589" w:type="dxa"/>
            <w:shd w:val="clear" w:color="auto" w:fill="auto"/>
          </w:tcPr>
          <w:p w14:paraId="0164DB9B" w14:textId="70E2F05E" w:rsidR="00C62002" w:rsidRDefault="00C62002" w:rsidP="00844FD6">
            <w:pPr>
              <w:spacing w:after="120" w:line="240" w:lineRule="auto"/>
            </w:pPr>
            <w:r>
              <w:rPr>
                <w:rFonts w:ascii="Calibri" w:hAnsi="Calibri"/>
                <w:color w:val="000000"/>
              </w:rPr>
              <w:t>Croatia</w:t>
            </w:r>
          </w:p>
        </w:tc>
        <w:tc>
          <w:tcPr>
            <w:tcW w:w="3589" w:type="dxa"/>
            <w:shd w:val="clear" w:color="auto" w:fill="auto"/>
          </w:tcPr>
          <w:p w14:paraId="15496FC0" w14:textId="4D2C2B87" w:rsidR="00C62002" w:rsidRDefault="00C62002" w:rsidP="00844FD6">
            <w:pPr>
              <w:spacing w:after="120" w:line="240" w:lineRule="auto"/>
            </w:pPr>
            <w:r>
              <w:rPr>
                <w:rFonts w:ascii="Calibri" w:hAnsi="Calibri"/>
                <w:color w:val="000000"/>
              </w:rPr>
              <w:t>Europe and Central Asia</w:t>
            </w:r>
          </w:p>
        </w:tc>
      </w:tr>
      <w:tr w:rsidR="00DE56CF" w14:paraId="08CD383F" w14:textId="77777777" w:rsidTr="00DE56CF">
        <w:tc>
          <w:tcPr>
            <w:tcW w:w="567" w:type="dxa"/>
            <w:shd w:val="clear" w:color="auto" w:fill="auto"/>
          </w:tcPr>
          <w:p w14:paraId="60C2FE37" w14:textId="328EAABE" w:rsidR="00C62002" w:rsidRDefault="00C62002" w:rsidP="00844FD6">
            <w:pPr>
              <w:spacing w:after="120" w:line="240" w:lineRule="auto"/>
              <w:jc w:val="center"/>
            </w:pPr>
            <w:r>
              <w:rPr>
                <w:rFonts w:ascii="Calibri" w:hAnsi="Calibri"/>
                <w:color w:val="000000"/>
              </w:rPr>
              <w:t>20</w:t>
            </w:r>
          </w:p>
        </w:tc>
        <w:tc>
          <w:tcPr>
            <w:tcW w:w="1271" w:type="dxa"/>
            <w:shd w:val="clear" w:color="auto" w:fill="auto"/>
          </w:tcPr>
          <w:p w14:paraId="339F6C6E" w14:textId="2639068E" w:rsidR="00C62002" w:rsidRDefault="00C62002" w:rsidP="00844FD6">
            <w:pPr>
              <w:spacing w:after="120" w:line="240" w:lineRule="auto"/>
              <w:jc w:val="center"/>
            </w:pPr>
            <w:r>
              <w:rPr>
                <w:rFonts w:ascii="Calibri" w:hAnsi="Calibri"/>
                <w:color w:val="000000"/>
              </w:rPr>
              <w:t>HUN</w:t>
            </w:r>
          </w:p>
        </w:tc>
        <w:tc>
          <w:tcPr>
            <w:tcW w:w="3589" w:type="dxa"/>
            <w:shd w:val="clear" w:color="auto" w:fill="auto"/>
          </w:tcPr>
          <w:p w14:paraId="060F99BF" w14:textId="74BD2CA8" w:rsidR="00C62002" w:rsidRDefault="00C62002" w:rsidP="00844FD6">
            <w:pPr>
              <w:spacing w:after="120" w:line="240" w:lineRule="auto"/>
            </w:pPr>
            <w:r>
              <w:rPr>
                <w:rFonts w:ascii="Calibri" w:hAnsi="Calibri"/>
                <w:color w:val="000000"/>
              </w:rPr>
              <w:t>Hungary</w:t>
            </w:r>
          </w:p>
        </w:tc>
        <w:tc>
          <w:tcPr>
            <w:tcW w:w="3589" w:type="dxa"/>
            <w:shd w:val="clear" w:color="auto" w:fill="auto"/>
          </w:tcPr>
          <w:p w14:paraId="1F89E970" w14:textId="18671648" w:rsidR="00C62002" w:rsidRDefault="00C62002" w:rsidP="00844FD6">
            <w:pPr>
              <w:spacing w:after="120" w:line="240" w:lineRule="auto"/>
            </w:pPr>
            <w:r>
              <w:rPr>
                <w:rFonts w:ascii="Calibri" w:hAnsi="Calibri"/>
                <w:color w:val="000000"/>
              </w:rPr>
              <w:t>Europe and Central Asia</w:t>
            </w:r>
          </w:p>
        </w:tc>
      </w:tr>
      <w:tr w:rsidR="00DE56CF" w14:paraId="77330011" w14:textId="77777777" w:rsidTr="00DE56CF">
        <w:tc>
          <w:tcPr>
            <w:tcW w:w="567" w:type="dxa"/>
            <w:shd w:val="clear" w:color="auto" w:fill="auto"/>
          </w:tcPr>
          <w:p w14:paraId="43F37219" w14:textId="45CE7557" w:rsidR="00C62002" w:rsidRDefault="00C62002" w:rsidP="00844FD6">
            <w:pPr>
              <w:spacing w:after="120" w:line="240" w:lineRule="auto"/>
              <w:jc w:val="center"/>
            </w:pPr>
            <w:r>
              <w:rPr>
                <w:rFonts w:ascii="Calibri" w:hAnsi="Calibri"/>
                <w:color w:val="000000"/>
              </w:rPr>
              <w:t>21</w:t>
            </w:r>
          </w:p>
        </w:tc>
        <w:tc>
          <w:tcPr>
            <w:tcW w:w="1271" w:type="dxa"/>
            <w:shd w:val="clear" w:color="auto" w:fill="auto"/>
          </w:tcPr>
          <w:p w14:paraId="6D6CFF2C" w14:textId="1C785264" w:rsidR="00C62002" w:rsidRDefault="00C62002" w:rsidP="00844FD6">
            <w:pPr>
              <w:spacing w:after="120" w:line="240" w:lineRule="auto"/>
              <w:jc w:val="center"/>
            </w:pPr>
            <w:r>
              <w:rPr>
                <w:rFonts w:ascii="Calibri" w:hAnsi="Calibri"/>
                <w:color w:val="000000"/>
              </w:rPr>
              <w:t>INO</w:t>
            </w:r>
          </w:p>
        </w:tc>
        <w:tc>
          <w:tcPr>
            <w:tcW w:w="3589" w:type="dxa"/>
            <w:shd w:val="clear" w:color="auto" w:fill="auto"/>
          </w:tcPr>
          <w:p w14:paraId="09862FE0" w14:textId="4EFD7A41" w:rsidR="00C62002" w:rsidRDefault="00C62002" w:rsidP="00844FD6">
            <w:pPr>
              <w:spacing w:after="120" w:line="240" w:lineRule="auto"/>
            </w:pPr>
            <w:r>
              <w:rPr>
                <w:rFonts w:ascii="Calibri" w:hAnsi="Calibri"/>
                <w:color w:val="000000"/>
              </w:rPr>
              <w:t>Indonesia</w:t>
            </w:r>
          </w:p>
        </w:tc>
        <w:tc>
          <w:tcPr>
            <w:tcW w:w="3589" w:type="dxa"/>
            <w:shd w:val="clear" w:color="auto" w:fill="auto"/>
          </w:tcPr>
          <w:p w14:paraId="7BE765A2" w14:textId="6D47E4BB" w:rsidR="00C62002" w:rsidRDefault="00C62002" w:rsidP="00844FD6">
            <w:pPr>
              <w:spacing w:after="120" w:line="240" w:lineRule="auto"/>
            </w:pPr>
            <w:r>
              <w:rPr>
                <w:rFonts w:ascii="Calibri" w:hAnsi="Calibri"/>
                <w:color w:val="000000"/>
              </w:rPr>
              <w:t>East Asia and Pacific</w:t>
            </w:r>
          </w:p>
        </w:tc>
      </w:tr>
      <w:tr w:rsidR="00DE56CF" w14:paraId="0ECF21A9" w14:textId="77777777" w:rsidTr="00DE56CF">
        <w:tc>
          <w:tcPr>
            <w:tcW w:w="567" w:type="dxa"/>
            <w:shd w:val="clear" w:color="auto" w:fill="auto"/>
          </w:tcPr>
          <w:p w14:paraId="7A969511" w14:textId="7A1EC0F5" w:rsidR="00C62002" w:rsidRDefault="00C62002" w:rsidP="00844FD6">
            <w:pPr>
              <w:spacing w:after="120" w:line="240" w:lineRule="auto"/>
              <w:jc w:val="center"/>
            </w:pPr>
            <w:r>
              <w:rPr>
                <w:rFonts w:ascii="Calibri" w:hAnsi="Calibri"/>
                <w:color w:val="000000"/>
              </w:rPr>
              <w:t>22</w:t>
            </w:r>
          </w:p>
        </w:tc>
        <w:tc>
          <w:tcPr>
            <w:tcW w:w="1271" w:type="dxa"/>
            <w:shd w:val="clear" w:color="auto" w:fill="auto"/>
          </w:tcPr>
          <w:p w14:paraId="7DE1A7FB" w14:textId="08DD6DEB" w:rsidR="00C62002" w:rsidRDefault="00C62002" w:rsidP="00844FD6">
            <w:pPr>
              <w:spacing w:after="120" w:line="240" w:lineRule="auto"/>
              <w:jc w:val="center"/>
            </w:pPr>
            <w:r>
              <w:rPr>
                <w:rFonts w:ascii="Calibri" w:hAnsi="Calibri"/>
                <w:color w:val="000000"/>
              </w:rPr>
              <w:t>IND</w:t>
            </w:r>
          </w:p>
        </w:tc>
        <w:tc>
          <w:tcPr>
            <w:tcW w:w="3589" w:type="dxa"/>
            <w:shd w:val="clear" w:color="auto" w:fill="auto"/>
          </w:tcPr>
          <w:p w14:paraId="54F63D4C" w14:textId="31CE8E0A" w:rsidR="00C62002" w:rsidRDefault="00C62002" w:rsidP="00844FD6">
            <w:pPr>
              <w:spacing w:after="120" w:line="240" w:lineRule="auto"/>
            </w:pPr>
            <w:r>
              <w:rPr>
                <w:rFonts w:ascii="Calibri" w:hAnsi="Calibri"/>
                <w:color w:val="000000"/>
              </w:rPr>
              <w:t>India</w:t>
            </w:r>
          </w:p>
        </w:tc>
        <w:tc>
          <w:tcPr>
            <w:tcW w:w="3589" w:type="dxa"/>
            <w:shd w:val="clear" w:color="auto" w:fill="auto"/>
          </w:tcPr>
          <w:p w14:paraId="059A62DB" w14:textId="5C2BDBEA" w:rsidR="00C62002" w:rsidRDefault="00C62002" w:rsidP="00844FD6">
            <w:pPr>
              <w:spacing w:after="120" w:line="240" w:lineRule="auto"/>
            </w:pPr>
            <w:r>
              <w:rPr>
                <w:rFonts w:ascii="Calibri" w:hAnsi="Calibri"/>
                <w:color w:val="000000"/>
              </w:rPr>
              <w:t>South Asia</w:t>
            </w:r>
          </w:p>
        </w:tc>
      </w:tr>
      <w:tr w:rsidR="00DE56CF" w14:paraId="74FF720F" w14:textId="77777777" w:rsidTr="00DE56CF">
        <w:tc>
          <w:tcPr>
            <w:tcW w:w="567" w:type="dxa"/>
            <w:shd w:val="clear" w:color="auto" w:fill="auto"/>
          </w:tcPr>
          <w:p w14:paraId="3B4B096A" w14:textId="19A08863" w:rsidR="00C62002" w:rsidRDefault="00C62002" w:rsidP="00844FD6">
            <w:pPr>
              <w:spacing w:after="120" w:line="240" w:lineRule="auto"/>
              <w:jc w:val="center"/>
            </w:pPr>
            <w:r>
              <w:rPr>
                <w:rFonts w:ascii="Calibri" w:hAnsi="Calibri"/>
                <w:color w:val="000000"/>
              </w:rPr>
              <w:t>23</w:t>
            </w:r>
          </w:p>
        </w:tc>
        <w:tc>
          <w:tcPr>
            <w:tcW w:w="1271" w:type="dxa"/>
            <w:shd w:val="clear" w:color="auto" w:fill="auto"/>
          </w:tcPr>
          <w:p w14:paraId="48B50A1D" w14:textId="3E9CF26A" w:rsidR="00C62002" w:rsidRDefault="00C62002" w:rsidP="00844FD6">
            <w:pPr>
              <w:spacing w:after="120" w:line="240" w:lineRule="auto"/>
              <w:jc w:val="center"/>
            </w:pPr>
            <w:r>
              <w:rPr>
                <w:rFonts w:ascii="Calibri" w:hAnsi="Calibri"/>
                <w:color w:val="000000"/>
              </w:rPr>
              <w:t>IRE</w:t>
            </w:r>
          </w:p>
        </w:tc>
        <w:tc>
          <w:tcPr>
            <w:tcW w:w="3589" w:type="dxa"/>
            <w:shd w:val="clear" w:color="auto" w:fill="auto"/>
          </w:tcPr>
          <w:p w14:paraId="6451D5DF" w14:textId="260CAC0B" w:rsidR="00C62002" w:rsidRDefault="00C62002" w:rsidP="00844FD6">
            <w:pPr>
              <w:spacing w:after="120" w:line="240" w:lineRule="auto"/>
            </w:pPr>
            <w:r>
              <w:rPr>
                <w:rFonts w:ascii="Calibri" w:hAnsi="Calibri"/>
                <w:color w:val="000000"/>
              </w:rPr>
              <w:t>Ireland</w:t>
            </w:r>
          </w:p>
        </w:tc>
        <w:tc>
          <w:tcPr>
            <w:tcW w:w="3589" w:type="dxa"/>
            <w:shd w:val="clear" w:color="auto" w:fill="auto"/>
          </w:tcPr>
          <w:p w14:paraId="3286B5F6" w14:textId="4F30EC2D" w:rsidR="00C62002" w:rsidRDefault="00C62002" w:rsidP="00844FD6">
            <w:pPr>
              <w:spacing w:after="120" w:line="240" w:lineRule="auto"/>
            </w:pPr>
            <w:r>
              <w:rPr>
                <w:rFonts w:ascii="Calibri" w:hAnsi="Calibri"/>
                <w:color w:val="000000"/>
              </w:rPr>
              <w:t>Europe and Central Asia</w:t>
            </w:r>
          </w:p>
        </w:tc>
      </w:tr>
      <w:tr w:rsidR="00DE56CF" w14:paraId="4269BBBE" w14:textId="77777777" w:rsidTr="00DE56CF">
        <w:tc>
          <w:tcPr>
            <w:tcW w:w="567" w:type="dxa"/>
            <w:shd w:val="clear" w:color="auto" w:fill="auto"/>
          </w:tcPr>
          <w:p w14:paraId="06C7A589" w14:textId="22E14D72" w:rsidR="00C62002" w:rsidRDefault="00C62002" w:rsidP="00844FD6">
            <w:pPr>
              <w:spacing w:after="120" w:line="240" w:lineRule="auto"/>
              <w:jc w:val="center"/>
            </w:pPr>
            <w:r>
              <w:rPr>
                <w:rFonts w:ascii="Calibri" w:hAnsi="Calibri"/>
                <w:color w:val="000000"/>
              </w:rPr>
              <w:t>24</w:t>
            </w:r>
          </w:p>
        </w:tc>
        <w:tc>
          <w:tcPr>
            <w:tcW w:w="1271" w:type="dxa"/>
            <w:shd w:val="clear" w:color="auto" w:fill="auto"/>
          </w:tcPr>
          <w:p w14:paraId="34262474" w14:textId="3864D2C0" w:rsidR="00C62002" w:rsidRDefault="00C62002" w:rsidP="00844FD6">
            <w:pPr>
              <w:spacing w:after="120" w:line="240" w:lineRule="auto"/>
              <w:jc w:val="center"/>
            </w:pPr>
            <w:r>
              <w:rPr>
                <w:rFonts w:ascii="Calibri" w:hAnsi="Calibri"/>
                <w:color w:val="000000"/>
              </w:rPr>
              <w:t>ITA</w:t>
            </w:r>
          </w:p>
        </w:tc>
        <w:tc>
          <w:tcPr>
            <w:tcW w:w="3589" w:type="dxa"/>
            <w:shd w:val="clear" w:color="auto" w:fill="auto"/>
          </w:tcPr>
          <w:p w14:paraId="36514C02" w14:textId="0EF5DC68" w:rsidR="00C62002" w:rsidRDefault="00C62002" w:rsidP="00844FD6">
            <w:pPr>
              <w:spacing w:after="120" w:line="240" w:lineRule="auto"/>
            </w:pPr>
            <w:r>
              <w:rPr>
                <w:rFonts w:ascii="Calibri" w:hAnsi="Calibri"/>
                <w:color w:val="000000"/>
              </w:rPr>
              <w:t>Italy</w:t>
            </w:r>
          </w:p>
        </w:tc>
        <w:tc>
          <w:tcPr>
            <w:tcW w:w="3589" w:type="dxa"/>
            <w:shd w:val="clear" w:color="auto" w:fill="auto"/>
          </w:tcPr>
          <w:p w14:paraId="67DDC8B5" w14:textId="09152E4B" w:rsidR="00C62002" w:rsidRDefault="00C62002" w:rsidP="00844FD6">
            <w:pPr>
              <w:spacing w:after="120" w:line="240" w:lineRule="auto"/>
            </w:pPr>
            <w:r>
              <w:rPr>
                <w:rFonts w:ascii="Calibri" w:hAnsi="Calibri"/>
                <w:color w:val="000000"/>
              </w:rPr>
              <w:t>Europe and Central Asia</w:t>
            </w:r>
          </w:p>
        </w:tc>
      </w:tr>
      <w:tr w:rsidR="00DE56CF" w14:paraId="69183900" w14:textId="77777777" w:rsidTr="00DE56CF">
        <w:tc>
          <w:tcPr>
            <w:tcW w:w="567" w:type="dxa"/>
            <w:shd w:val="clear" w:color="auto" w:fill="auto"/>
          </w:tcPr>
          <w:p w14:paraId="6D5448C1" w14:textId="0C9DA2AE" w:rsidR="00C62002" w:rsidRDefault="00C62002" w:rsidP="00844FD6">
            <w:pPr>
              <w:spacing w:after="120" w:line="240" w:lineRule="auto"/>
              <w:jc w:val="center"/>
            </w:pPr>
            <w:r>
              <w:rPr>
                <w:rFonts w:ascii="Calibri" w:hAnsi="Calibri"/>
                <w:color w:val="000000"/>
              </w:rPr>
              <w:t>25</w:t>
            </w:r>
          </w:p>
        </w:tc>
        <w:tc>
          <w:tcPr>
            <w:tcW w:w="1271" w:type="dxa"/>
            <w:shd w:val="clear" w:color="auto" w:fill="auto"/>
          </w:tcPr>
          <w:p w14:paraId="5578010F" w14:textId="16769FDE" w:rsidR="00C62002" w:rsidRDefault="00C62002" w:rsidP="00844FD6">
            <w:pPr>
              <w:spacing w:after="120" w:line="240" w:lineRule="auto"/>
              <w:jc w:val="center"/>
            </w:pPr>
            <w:r>
              <w:rPr>
                <w:rFonts w:ascii="Calibri" w:hAnsi="Calibri"/>
                <w:color w:val="000000"/>
              </w:rPr>
              <w:t>JPN</w:t>
            </w:r>
          </w:p>
        </w:tc>
        <w:tc>
          <w:tcPr>
            <w:tcW w:w="3589" w:type="dxa"/>
            <w:shd w:val="clear" w:color="auto" w:fill="auto"/>
          </w:tcPr>
          <w:p w14:paraId="77CD7A7B" w14:textId="5FDFB308" w:rsidR="00C62002" w:rsidRDefault="00C62002" w:rsidP="00844FD6">
            <w:pPr>
              <w:spacing w:after="120" w:line="240" w:lineRule="auto"/>
            </w:pPr>
            <w:r>
              <w:rPr>
                <w:rFonts w:ascii="Calibri" w:hAnsi="Calibri"/>
                <w:color w:val="000000"/>
              </w:rPr>
              <w:t>Japan</w:t>
            </w:r>
          </w:p>
        </w:tc>
        <w:tc>
          <w:tcPr>
            <w:tcW w:w="3589" w:type="dxa"/>
            <w:shd w:val="clear" w:color="auto" w:fill="auto"/>
          </w:tcPr>
          <w:p w14:paraId="20E0BF51" w14:textId="23E41A44" w:rsidR="00C62002" w:rsidRDefault="00C62002" w:rsidP="00844FD6">
            <w:pPr>
              <w:spacing w:after="120" w:line="240" w:lineRule="auto"/>
            </w:pPr>
            <w:r>
              <w:rPr>
                <w:rFonts w:ascii="Calibri" w:hAnsi="Calibri"/>
                <w:color w:val="000000"/>
              </w:rPr>
              <w:t>East Asia and Pacific</w:t>
            </w:r>
          </w:p>
        </w:tc>
      </w:tr>
      <w:tr w:rsidR="00DE56CF" w14:paraId="108610FC" w14:textId="77777777" w:rsidTr="00DE56CF">
        <w:tc>
          <w:tcPr>
            <w:tcW w:w="567" w:type="dxa"/>
            <w:shd w:val="clear" w:color="auto" w:fill="auto"/>
          </w:tcPr>
          <w:p w14:paraId="614FA624" w14:textId="00D06CD0" w:rsidR="00C62002" w:rsidRDefault="00C62002" w:rsidP="00844FD6">
            <w:pPr>
              <w:spacing w:after="120" w:line="240" w:lineRule="auto"/>
              <w:jc w:val="center"/>
            </w:pPr>
            <w:r>
              <w:rPr>
                <w:rFonts w:ascii="Calibri" w:hAnsi="Calibri"/>
                <w:color w:val="000000"/>
              </w:rPr>
              <w:t>26</w:t>
            </w:r>
          </w:p>
        </w:tc>
        <w:tc>
          <w:tcPr>
            <w:tcW w:w="1271" w:type="dxa"/>
            <w:shd w:val="clear" w:color="auto" w:fill="auto"/>
          </w:tcPr>
          <w:p w14:paraId="47A5978F" w14:textId="56EB0D53" w:rsidR="00C62002" w:rsidRDefault="00C62002" w:rsidP="00844FD6">
            <w:pPr>
              <w:spacing w:after="120" w:line="240" w:lineRule="auto"/>
              <w:jc w:val="center"/>
            </w:pPr>
            <w:r>
              <w:rPr>
                <w:rFonts w:ascii="Calibri" w:hAnsi="Calibri"/>
                <w:color w:val="000000"/>
              </w:rPr>
              <w:t>KOR</w:t>
            </w:r>
          </w:p>
        </w:tc>
        <w:tc>
          <w:tcPr>
            <w:tcW w:w="3589" w:type="dxa"/>
            <w:shd w:val="clear" w:color="auto" w:fill="auto"/>
          </w:tcPr>
          <w:p w14:paraId="36B412AE" w14:textId="126B17FA" w:rsidR="00C62002" w:rsidRDefault="00C62002" w:rsidP="00844FD6">
            <w:pPr>
              <w:spacing w:after="120" w:line="240" w:lineRule="auto"/>
            </w:pPr>
            <w:r>
              <w:rPr>
                <w:rFonts w:ascii="Calibri" w:hAnsi="Calibri"/>
                <w:color w:val="000000"/>
              </w:rPr>
              <w:t>Republic of Korea</w:t>
            </w:r>
          </w:p>
        </w:tc>
        <w:tc>
          <w:tcPr>
            <w:tcW w:w="3589" w:type="dxa"/>
            <w:shd w:val="clear" w:color="auto" w:fill="auto"/>
          </w:tcPr>
          <w:p w14:paraId="353D6CDC" w14:textId="31838333" w:rsidR="00C62002" w:rsidRDefault="00C62002" w:rsidP="00844FD6">
            <w:pPr>
              <w:spacing w:after="120" w:line="240" w:lineRule="auto"/>
            </w:pPr>
            <w:r>
              <w:rPr>
                <w:rFonts w:ascii="Calibri" w:hAnsi="Calibri"/>
                <w:color w:val="000000"/>
              </w:rPr>
              <w:t>East Asia and Pacific</w:t>
            </w:r>
          </w:p>
        </w:tc>
      </w:tr>
      <w:tr w:rsidR="00DE56CF" w14:paraId="25BB9BE2" w14:textId="77777777" w:rsidTr="00DE56CF">
        <w:tc>
          <w:tcPr>
            <w:tcW w:w="567" w:type="dxa"/>
            <w:shd w:val="clear" w:color="auto" w:fill="auto"/>
          </w:tcPr>
          <w:p w14:paraId="02465DF4" w14:textId="1D4D09E8" w:rsidR="00C62002" w:rsidRDefault="00C62002" w:rsidP="00844FD6">
            <w:pPr>
              <w:spacing w:after="120" w:line="240" w:lineRule="auto"/>
              <w:jc w:val="center"/>
            </w:pPr>
            <w:r>
              <w:rPr>
                <w:rFonts w:ascii="Calibri" w:hAnsi="Calibri"/>
                <w:color w:val="000000"/>
              </w:rPr>
              <w:t>27</w:t>
            </w:r>
          </w:p>
        </w:tc>
        <w:tc>
          <w:tcPr>
            <w:tcW w:w="1271" w:type="dxa"/>
            <w:shd w:val="clear" w:color="auto" w:fill="auto"/>
          </w:tcPr>
          <w:p w14:paraId="608F1B47" w14:textId="2F81BC9C" w:rsidR="00C62002" w:rsidRDefault="00C62002" w:rsidP="00844FD6">
            <w:pPr>
              <w:spacing w:after="120" w:line="240" w:lineRule="auto"/>
              <w:jc w:val="center"/>
            </w:pPr>
            <w:r>
              <w:rPr>
                <w:rFonts w:ascii="Calibri" w:hAnsi="Calibri"/>
                <w:color w:val="000000"/>
              </w:rPr>
              <w:t>LTU</w:t>
            </w:r>
          </w:p>
        </w:tc>
        <w:tc>
          <w:tcPr>
            <w:tcW w:w="3589" w:type="dxa"/>
            <w:shd w:val="clear" w:color="auto" w:fill="auto"/>
          </w:tcPr>
          <w:p w14:paraId="6D165121" w14:textId="1F2D7069" w:rsidR="00C62002" w:rsidRDefault="00C62002" w:rsidP="00844FD6">
            <w:pPr>
              <w:spacing w:after="120" w:line="240" w:lineRule="auto"/>
            </w:pPr>
            <w:r>
              <w:rPr>
                <w:rFonts w:ascii="Calibri" w:hAnsi="Calibri"/>
                <w:color w:val="000000"/>
              </w:rPr>
              <w:t>Lithuania</w:t>
            </w:r>
          </w:p>
        </w:tc>
        <w:tc>
          <w:tcPr>
            <w:tcW w:w="3589" w:type="dxa"/>
            <w:shd w:val="clear" w:color="auto" w:fill="auto"/>
          </w:tcPr>
          <w:p w14:paraId="0C3343C5" w14:textId="2D3E276A" w:rsidR="00C62002" w:rsidRDefault="00C62002" w:rsidP="00844FD6">
            <w:pPr>
              <w:spacing w:after="120" w:line="240" w:lineRule="auto"/>
            </w:pPr>
            <w:r>
              <w:rPr>
                <w:rFonts w:ascii="Calibri" w:hAnsi="Calibri"/>
                <w:color w:val="000000"/>
              </w:rPr>
              <w:t>Europe and Central Asia</w:t>
            </w:r>
          </w:p>
        </w:tc>
      </w:tr>
      <w:tr w:rsidR="00DE56CF" w14:paraId="6B5FAE67" w14:textId="77777777" w:rsidTr="00DE56CF">
        <w:tc>
          <w:tcPr>
            <w:tcW w:w="567" w:type="dxa"/>
            <w:shd w:val="clear" w:color="auto" w:fill="auto"/>
          </w:tcPr>
          <w:p w14:paraId="2957F33C" w14:textId="447ADAFC" w:rsidR="00C62002" w:rsidRDefault="00C62002" w:rsidP="00844FD6">
            <w:pPr>
              <w:spacing w:after="120" w:line="240" w:lineRule="auto"/>
              <w:jc w:val="center"/>
            </w:pPr>
            <w:r>
              <w:rPr>
                <w:rFonts w:ascii="Calibri" w:hAnsi="Calibri"/>
                <w:color w:val="000000"/>
              </w:rPr>
              <w:t>28</w:t>
            </w:r>
          </w:p>
        </w:tc>
        <w:tc>
          <w:tcPr>
            <w:tcW w:w="1271" w:type="dxa"/>
            <w:shd w:val="clear" w:color="auto" w:fill="auto"/>
          </w:tcPr>
          <w:p w14:paraId="2E1B1F3D" w14:textId="382FC858" w:rsidR="00C62002" w:rsidRDefault="00C62002" w:rsidP="00844FD6">
            <w:pPr>
              <w:spacing w:after="120" w:line="240" w:lineRule="auto"/>
              <w:jc w:val="center"/>
            </w:pPr>
            <w:r>
              <w:rPr>
                <w:rFonts w:ascii="Calibri" w:hAnsi="Calibri"/>
                <w:color w:val="000000"/>
              </w:rPr>
              <w:t>LUX</w:t>
            </w:r>
          </w:p>
        </w:tc>
        <w:tc>
          <w:tcPr>
            <w:tcW w:w="3589" w:type="dxa"/>
            <w:shd w:val="clear" w:color="auto" w:fill="auto"/>
          </w:tcPr>
          <w:p w14:paraId="618A23DA" w14:textId="1C25A6CC" w:rsidR="00C62002" w:rsidRDefault="00C62002" w:rsidP="00844FD6">
            <w:pPr>
              <w:spacing w:after="120" w:line="240" w:lineRule="auto"/>
            </w:pPr>
            <w:r>
              <w:rPr>
                <w:rFonts w:ascii="Calibri" w:hAnsi="Calibri"/>
                <w:color w:val="000000"/>
              </w:rPr>
              <w:t>Luxembourg</w:t>
            </w:r>
          </w:p>
        </w:tc>
        <w:tc>
          <w:tcPr>
            <w:tcW w:w="3589" w:type="dxa"/>
            <w:shd w:val="clear" w:color="auto" w:fill="auto"/>
          </w:tcPr>
          <w:p w14:paraId="0B8E40FC" w14:textId="6B7C96E1" w:rsidR="00C62002" w:rsidRDefault="00C62002" w:rsidP="00844FD6">
            <w:pPr>
              <w:spacing w:after="120" w:line="240" w:lineRule="auto"/>
            </w:pPr>
            <w:r>
              <w:rPr>
                <w:rFonts w:ascii="Calibri" w:hAnsi="Calibri"/>
                <w:color w:val="000000"/>
              </w:rPr>
              <w:t>Europe and Central Asia</w:t>
            </w:r>
          </w:p>
        </w:tc>
      </w:tr>
      <w:tr w:rsidR="00DE56CF" w14:paraId="78D6CF42" w14:textId="77777777" w:rsidTr="00DE56CF">
        <w:tc>
          <w:tcPr>
            <w:tcW w:w="567" w:type="dxa"/>
            <w:shd w:val="clear" w:color="auto" w:fill="auto"/>
          </w:tcPr>
          <w:p w14:paraId="50B2A1B9" w14:textId="25B52D7A" w:rsidR="00C62002" w:rsidRDefault="00C62002" w:rsidP="00844FD6">
            <w:pPr>
              <w:spacing w:after="120" w:line="240" w:lineRule="auto"/>
              <w:jc w:val="center"/>
            </w:pPr>
            <w:r>
              <w:rPr>
                <w:rFonts w:ascii="Calibri" w:hAnsi="Calibri"/>
                <w:color w:val="000000"/>
              </w:rPr>
              <w:t>29</w:t>
            </w:r>
          </w:p>
        </w:tc>
        <w:tc>
          <w:tcPr>
            <w:tcW w:w="1271" w:type="dxa"/>
            <w:shd w:val="clear" w:color="auto" w:fill="auto"/>
          </w:tcPr>
          <w:p w14:paraId="6FF31D3B" w14:textId="329E5EFD" w:rsidR="00C62002" w:rsidRDefault="00C62002" w:rsidP="00844FD6">
            <w:pPr>
              <w:spacing w:after="120" w:line="240" w:lineRule="auto"/>
              <w:jc w:val="center"/>
            </w:pPr>
            <w:r>
              <w:rPr>
                <w:rFonts w:ascii="Calibri" w:hAnsi="Calibri"/>
                <w:color w:val="000000"/>
              </w:rPr>
              <w:t>LVA</w:t>
            </w:r>
          </w:p>
        </w:tc>
        <w:tc>
          <w:tcPr>
            <w:tcW w:w="3589" w:type="dxa"/>
            <w:shd w:val="clear" w:color="auto" w:fill="auto"/>
          </w:tcPr>
          <w:p w14:paraId="5CB55745" w14:textId="00AED632" w:rsidR="00C62002" w:rsidRDefault="00C62002" w:rsidP="00844FD6">
            <w:pPr>
              <w:spacing w:after="120" w:line="240" w:lineRule="auto"/>
            </w:pPr>
            <w:r>
              <w:rPr>
                <w:rFonts w:ascii="Calibri" w:hAnsi="Calibri"/>
                <w:color w:val="000000"/>
              </w:rPr>
              <w:t>Latvia</w:t>
            </w:r>
          </w:p>
        </w:tc>
        <w:tc>
          <w:tcPr>
            <w:tcW w:w="3589" w:type="dxa"/>
            <w:shd w:val="clear" w:color="auto" w:fill="auto"/>
          </w:tcPr>
          <w:p w14:paraId="33E1CF34" w14:textId="4E5BFE2D" w:rsidR="00C62002" w:rsidRDefault="00C62002" w:rsidP="00844FD6">
            <w:pPr>
              <w:spacing w:after="120" w:line="240" w:lineRule="auto"/>
            </w:pPr>
            <w:r>
              <w:rPr>
                <w:rFonts w:ascii="Calibri" w:hAnsi="Calibri"/>
                <w:color w:val="000000"/>
              </w:rPr>
              <w:t>Europe and Central Asia</w:t>
            </w:r>
          </w:p>
        </w:tc>
      </w:tr>
      <w:tr w:rsidR="00DE56CF" w14:paraId="2CF1C8E7" w14:textId="77777777" w:rsidTr="00DE56CF">
        <w:tc>
          <w:tcPr>
            <w:tcW w:w="567" w:type="dxa"/>
            <w:shd w:val="clear" w:color="auto" w:fill="auto"/>
          </w:tcPr>
          <w:p w14:paraId="63DA2138" w14:textId="4CA812E4" w:rsidR="00C62002" w:rsidRDefault="00C62002" w:rsidP="00844FD6">
            <w:pPr>
              <w:spacing w:after="120" w:line="240" w:lineRule="auto"/>
              <w:jc w:val="center"/>
            </w:pPr>
            <w:r>
              <w:rPr>
                <w:rFonts w:ascii="Calibri" w:hAnsi="Calibri"/>
                <w:color w:val="000000"/>
              </w:rPr>
              <w:t>30</w:t>
            </w:r>
          </w:p>
        </w:tc>
        <w:tc>
          <w:tcPr>
            <w:tcW w:w="1271" w:type="dxa"/>
            <w:shd w:val="clear" w:color="auto" w:fill="auto"/>
          </w:tcPr>
          <w:p w14:paraId="42394021" w14:textId="66E99D5A" w:rsidR="00C62002" w:rsidRDefault="00C62002" w:rsidP="00844FD6">
            <w:pPr>
              <w:spacing w:after="120" w:line="240" w:lineRule="auto"/>
              <w:jc w:val="center"/>
            </w:pPr>
            <w:r>
              <w:rPr>
                <w:rFonts w:ascii="Calibri" w:hAnsi="Calibri"/>
                <w:color w:val="000000"/>
              </w:rPr>
              <w:t>MEX</w:t>
            </w:r>
          </w:p>
        </w:tc>
        <w:tc>
          <w:tcPr>
            <w:tcW w:w="3589" w:type="dxa"/>
            <w:shd w:val="clear" w:color="auto" w:fill="auto"/>
          </w:tcPr>
          <w:p w14:paraId="295E0336" w14:textId="2B466E72" w:rsidR="00C62002" w:rsidRDefault="00C62002" w:rsidP="00844FD6">
            <w:pPr>
              <w:spacing w:after="120" w:line="240" w:lineRule="auto"/>
            </w:pPr>
            <w:r>
              <w:rPr>
                <w:rFonts w:ascii="Calibri" w:hAnsi="Calibri"/>
                <w:color w:val="000000"/>
              </w:rPr>
              <w:t>Mexico</w:t>
            </w:r>
          </w:p>
        </w:tc>
        <w:tc>
          <w:tcPr>
            <w:tcW w:w="3589" w:type="dxa"/>
            <w:shd w:val="clear" w:color="auto" w:fill="auto"/>
          </w:tcPr>
          <w:p w14:paraId="16AE0490" w14:textId="4807E2B5" w:rsidR="00C62002" w:rsidRDefault="00C62002" w:rsidP="00844FD6">
            <w:pPr>
              <w:spacing w:after="120" w:line="240" w:lineRule="auto"/>
            </w:pPr>
            <w:r>
              <w:rPr>
                <w:rFonts w:ascii="Calibri" w:hAnsi="Calibri"/>
                <w:color w:val="000000"/>
              </w:rPr>
              <w:t>Latin America and the Caribbean</w:t>
            </w:r>
          </w:p>
        </w:tc>
      </w:tr>
      <w:tr w:rsidR="00DE56CF" w14:paraId="6A42E3A3" w14:textId="77777777" w:rsidTr="00DE56CF">
        <w:tc>
          <w:tcPr>
            <w:tcW w:w="567" w:type="dxa"/>
            <w:shd w:val="clear" w:color="auto" w:fill="auto"/>
          </w:tcPr>
          <w:p w14:paraId="52B50F6C" w14:textId="0C27635D" w:rsidR="00C62002" w:rsidRDefault="00C62002" w:rsidP="00844FD6">
            <w:pPr>
              <w:spacing w:after="120" w:line="240" w:lineRule="auto"/>
              <w:jc w:val="center"/>
            </w:pPr>
            <w:r>
              <w:rPr>
                <w:rFonts w:ascii="Calibri" w:hAnsi="Calibri"/>
                <w:color w:val="000000"/>
              </w:rPr>
              <w:t>31</w:t>
            </w:r>
          </w:p>
        </w:tc>
        <w:tc>
          <w:tcPr>
            <w:tcW w:w="1271" w:type="dxa"/>
            <w:shd w:val="clear" w:color="auto" w:fill="auto"/>
          </w:tcPr>
          <w:p w14:paraId="071D8358" w14:textId="5E1BA81F" w:rsidR="00C62002" w:rsidRDefault="00C62002" w:rsidP="00844FD6">
            <w:pPr>
              <w:spacing w:after="120" w:line="240" w:lineRule="auto"/>
              <w:jc w:val="center"/>
            </w:pPr>
            <w:r>
              <w:rPr>
                <w:rFonts w:ascii="Calibri" w:hAnsi="Calibri"/>
                <w:color w:val="000000"/>
              </w:rPr>
              <w:t>MLT</w:t>
            </w:r>
          </w:p>
        </w:tc>
        <w:tc>
          <w:tcPr>
            <w:tcW w:w="3589" w:type="dxa"/>
            <w:shd w:val="clear" w:color="auto" w:fill="auto"/>
          </w:tcPr>
          <w:p w14:paraId="12448A08" w14:textId="660D9616" w:rsidR="00C62002" w:rsidRDefault="00C62002" w:rsidP="00844FD6">
            <w:pPr>
              <w:spacing w:after="120" w:line="240" w:lineRule="auto"/>
            </w:pPr>
            <w:r>
              <w:rPr>
                <w:rFonts w:ascii="Calibri" w:hAnsi="Calibri"/>
                <w:color w:val="000000"/>
              </w:rPr>
              <w:t>Malta</w:t>
            </w:r>
          </w:p>
        </w:tc>
        <w:tc>
          <w:tcPr>
            <w:tcW w:w="3589" w:type="dxa"/>
            <w:shd w:val="clear" w:color="auto" w:fill="auto"/>
          </w:tcPr>
          <w:p w14:paraId="6A701E2F" w14:textId="3243A841" w:rsidR="00C62002" w:rsidRDefault="00C62002" w:rsidP="00844FD6">
            <w:pPr>
              <w:spacing w:after="120" w:line="240" w:lineRule="auto"/>
            </w:pPr>
            <w:r>
              <w:rPr>
                <w:rFonts w:ascii="Calibri" w:hAnsi="Calibri"/>
                <w:color w:val="000000"/>
              </w:rPr>
              <w:t>Middle East and North Africa</w:t>
            </w:r>
          </w:p>
        </w:tc>
      </w:tr>
      <w:tr w:rsidR="00DE56CF" w14:paraId="7313E6C3" w14:textId="77777777" w:rsidTr="00DE56CF">
        <w:tc>
          <w:tcPr>
            <w:tcW w:w="567" w:type="dxa"/>
            <w:shd w:val="clear" w:color="auto" w:fill="auto"/>
          </w:tcPr>
          <w:p w14:paraId="2323DA01" w14:textId="689A8C6B" w:rsidR="00C62002" w:rsidRDefault="00C62002" w:rsidP="00844FD6">
            <w:pPr>
              <w:spacing w:after="120" w:line="240" w:lineRule="auto"/>
              <w:jc w:val="center"/>
            </w:pPr>
            <w:r>
              <w:rPr>
                <w:rFonts w:ascii="Calibri" w:hAnsi="Calibri"/>
                <w:color w:val="000000"/>
              </w:rPr>
              <w:lastRenderedPageBreak/>
              <w:t>32</w:t>
            </w:r>
          </w:p>
        </w:tc>
        <w:tc>
          <w:tcPr>
            <w:tcW w:w="1271" w:type="dxa"/>
            <w:shd w:val="clear" w:color="auto" w:fill="auto"/>
          </w:tcPr>
          <w:p w14:paraId="316F2085" w14:textId="0C09D7AA" w:rsidR="00C62002" w:rsidRDefault="00C62002" w:rsidP="00844FD6">
            <w:pPr>
              <w:spacing w:after="120" w:line="240" w:lineRule="auto"/>
              <w:jc w:val="center"/>
            </w:pPr>
            <w:r>
              <w:rPr>
                <w:rFonts w:ascii="Calibri" w:hAnsi="Calibri"/>
                <w:color w:val="000000"/>
              </w:rPr>
              <w:t>NET</w:t>
            </w:r>
          </w:p>
        </w:tc>
        <w:tc>
          <w:tcPr>
            <w:tcW w:w="3589" w:type="dxa"/>
            <w:shd w:val="clear" w:color="auto" w:fill="auto"/>
          </w:tcPr>
          <w:p w14:paraId="0F3F6516" w14:textId="70A352B9" w:rsidR="00C62002" w:rsidRDefault="00C62002" w:rsidP="00844FD6">
            <w:pPr>
              <w:spacing w:after="120" w:line="240" w:lineRule="auto"/>
            </w:pPr>
            <w:r>
              <w:rPr>
                <w:rFonts w:ascii="Calibri" w:hAnsi="Calibri"/>
                <w:color w:val="000000"/>
              </w:rPr>
              <w:t>Netherlands</w:t>
            </w:r>
          </w:p>
        </w:tc>
        <w:tc>
          <w:tcPr>
            <w:tcW w:w="3589" w:type="dxa"/>
            <w:shd w:val="clear" w:color="auto" w:fill="auto"/>
          </w:tcPr>
          <w:p w14:paraId="0E15BD82" w14:textId="44A9655D" w:rsidR="00C62002" w:rsidRDefault="00C62002" w:rsidP="00844FD6">
            <w:pPr>
              <w:spacing w:after="120" w:line="240" w:lineRule="auto"/>
            </w:pPr>
            <w:r>
              <w:rPr>
                <w:rFonts w:ascii="Calibri" w:hAnsi="Calibri"/>
                <w:color w:val="000000"/>
              </w:rPr>
              <w:t>Europe and Central Asia</w:t>
            </w:r>
          </w:p>
        </w:tc>
      </w:tr>
      <w:tr w:rsidR="00DE56CF" w14:paraId="2511AF0B" w14:textId="77777777" w:rsidTr="00DE56CF">
        <w:tc>
          <w:tcPr>
            <w:tcW w:w="567" w:type="dxa"/>
            <w:shd w:val="clear" w:color="auto" w:fill="auto"/>
          </w:tcPr>
          <w:p w14:paraId="5D88AC11" w14:textId="31A278D4" w:rsidR="00C62002" w:rsidRDefault="00C62002" w:rsidP="00844FD6">
            <w:pPr>
              <w:spacing w:after="120" w:line="240" w:lineRule="auto"/>
              <w:jc w:val="center"/>
            </w:pPr>
            <w:r>
              <w:rPr>
                <w:rFonts w:ascii="Calibri" w:hAnsi="Calibri"/>
                <w:color w:val="000000"/>
              </w:rPr>
              <w:t>33</w:t>
            </w:r>
          </w:p>
        </w:tc>
        <w:tc>
          <w:tcPr>
            <w:tcW w:w="1271" w:type="dxa"/>
            <w:shd w:val="clear" w:color="auto" w:fill="auto"/>
          </w:tcPr>
          <w:p w14:paraId="5F3DF14C" w14:textId="410220E7" w:rsidR="00C62002" w:rsidRDefault="00C62002" w:rsidP="00844FD6">
            <w:pPr>
              <w:spacing w:after="120" w:line="240" w:lineRule="auto"/>
              <w:jc w:val="center"/>
            </w:pPr>
            <w:r>
              <w:rPr>
                <w:rFonts w:ascii="Calibri" w:hAnsi="Calibri"/>
                <w:color w:val="000000"/>
              </w:rPr>
              <w:t>NOR</w:t>
            </w:r>
          </w:p>
        </w:tc>
        <w:tc>
          <w:tcPr>
            <w:tcW w:w="3589" w:type="dxa"/>
            <w:shd w:val="clear" w:color="auto" w:fill="auto"/>
          </w:tcPr>
          <w:p w14:paraId="665EEABE" w14:textId="09B50720" w:rsidR="00C62002" w:rsidRDefault="00C62002" w:rsidP="00844FD6">
            <w:pPr>
              <w:spacing w:after="120" w:line="240" w:lineRule="auto"/>
            </w:pPr>
            <w:r>
              <w:rPr>
                <w:rFonts w:ascii="Calibri" w:hAnsi="Calibri"/>
                <w:color w:val="000000"/>
              </w:rPr>
              <w:t>Norway</w:t>
            </w:r>
          </w:p>
        </w:tc>
        <w:tc>
          <w:tcPr>
            <w:tcW w:w="3589" w:type="dxa"/>
            <w:shd w:val="clear" w:color="auto" w:fill="auto"/>
          </w:tcPr>
          <w:p w14:paraId="626057B5" w14:textId="00DF1BDD" w:rsidR="00C62002" w:rsidRDefault="00C62002" w:rsidP="00844FD6">
            <w:pPr>
              <w:spacing w:after="120" w:line="240" w:lineRule="auto"/>
            </w:pPr>
            <w:r>
              <w:rPr>
                <w:rFonts w:ascii="Calibri" w:hAnsi="Calibri"/>
                <w:color w:val="000000"/>
              </w:rPr>
              <w:t>Europe and Central Asia</w:t>
            </w:r>
          </w:p>
        </w:tc>
      </w:tr>
      <w:tr w:rsidR="00DE56CF" w14:paraId="041467B3" w14:textId="77777777" w:rsidTr="00DE56CF">
        <w:tc>
          <w:tcPr>
            <w:tcW w:w="567" w:type="dxa"/>
            <w:shd w:val="clear" w:color="auto" w:fill="auto"/>
          </w:tcPr>
          <w:p w14:paraId="32750F3D" w14:textId="0A3C9A78" w:rsidR="00C62002" w:rsidRDefault="00C62002" w:rsidP="00844FD6">
            <w:pPr>
              <w:spacing w:after="120" w:line="240" w:lineRule="auto"/>
              <w:jc w:val="center"/>
            </w:pPr>
            <w:r>
              <w:rPr>
                <w:rFonts w:ascii="Calibri" w:hAnsi="Calibri"/>
                <w:color w:val="000000"/>
              </w:rPr>
              <w:t>34</w:t>
            </w:r>
          </w:p>
        </w:tc>
        <w:tc>
          <w:tcPr>
            <w:tcW w:w="1271" w:type="dxa"/>
            <w:shd w:val="clear" w:color="auto" w:fill="auto"/>
          </w:tcPr>
          <w:p w14:paraId="4FD6739F" w14:textId="51FEB560" w:rsidR="00C62002" w:rsidRDefault="00C62002" w:rsidP="00844FD6">
            <w:pPr>
              <w:spacing w:after="120" w:line="240" w:lineRule="auto"/>
              <w:jc w:val="center"/>
            </w:pPr>
            <w:r>
              <w:rPr>
                <w:rFonts w:ascii="Calibri" w:hAnsi="Calibri"/>
                <w:color w:val="000000"/>
              </w:rPr>
              <w:t>POL</w:t>
            </w:r>
          </w:p>
        </w:tc>
        <w:tc>
          <w:tcPr>
            <w:tcW w:w="3589" w:type="dxa"/>
            <w:shd w:val="clear" w:color="auto" w:fill="auto"/>
          </w:tcPr>
          <w:p w14:paraId="711E7A25" w14:textId="338109AB" w:rsidR="00C62002" w:rsidRDefault="00C62002" w:rsidP="00844FD6">
            <w:pPr>
              <w:spacing w:after="120" w:line="240" w:lineRule="auto"/>
            </w:pPr>
            <w:r>
              <w:rPr>
                <w:rFonts w:ascii="Calibri" w:hAnsi="Calibri"/>
                <w:color w:val="000000"/>
              </w:rPr>
              <w:t>Poland</w:t>
            </w:r>
          </w:p>
        </w:tc>
        <w:tc>
          <w:tcPr>
            <w:tcW w:w="3589" w:type="dxa"/>
            <w:shd w:val="clear" w:color="auto" w:fill="auto"/>
          </w:tcPr>
          <w:p w14:paraId="3940C00C" w14:textId="785CA28F" w:rsidR="00C62002" w:rsidRDefault="00C62002" w:rsidP="00844FD6">
            <w:pPr>
              <w:spacing w:after="120" w:line="240" w:lineRule="auto"/>
            </w:pPr>
            <w:r>
              <w:rPr>
                <w:rFonts w:ascii="Calibri" w:hAnsi="Calibri"/>
                <w:color w:val="000000"/>
              </w:rPr>
              <w:t>Europe and Central Asia</w:t>
            </w:r>
          </w:p>
        </w:tc>
      </w:tr>
      <w:tr w:rsidR="00DE56CF" w14:paraId="30F34059" w14:textId="77777777" w:rsidTr="00DE56CF">
        <w:tc>
          <w:tcPr>
            <w:tcW w:w="567" w:type="dxa"/>
            <w:shd w:val="clear" w:color="auto" w:fill="auto"/>
          </w:tcPr>
          <w:p w14:paraId="1DDB019D" w14:textId="14D5460E" w:rsidR="00C62002" w:rsidRDefault="00C62002" w:rsidP="00844FD6">
            <w:pPr>
              <w:spacing w:after="120" w:line="240" w:lineRule="auto"/>
              <w:jc w:val="center"/>
            </w:pPr>
            <w:r>
              <w:rPr>
                <w:rFonts w:ascii="Calibri" w:hAnsi="Calibri"/>
                <w:color w:val="000000"/>
              </w:rPr>
              <w:t>35</w:t>
            </w:r>
          </w:p>
        </w:tc>
        <w:tc>
          <w:tcPr>
            <w:tcW w:w="1271" w:type="dxa"/>
            <w:shd w:val="clear" w:color="auto" w:fill="auto"/>
          </w:tcPr>
          <w:p w14:paraId="75D9B7BA" w14:textId="54ED5589" w:rsidR="00C62002" w:rsidRDefault="00C62002" w:rsidP="00844FD6">
            <w:pPr>
              <w:spacing w:after="120" w:line="240" w:lineRule="auto"/>
              <w:jc w:val="center"/>
            </w:pPr>
            <w:r>
              <w:rPr>
                <w:rFonts w:ascii="Calibri" w:hAnsi="Calibri"/>
                <w:color w:val="000000"/>
              </w:rPr>
              <w:t>POR</w:t>
            </w:r>
          </w:p>
        </w:tc>
        <w:tc>
          <w:tcPr>
            <w:tcW w:w="3589" w:type="dxa"/>
            <w:shd w:val="clear" w:color="auto" w:fill="auto"/>
          </w:tcPr>
          <w:p w14:paraId="3C6A56A7" w14:textId="2FF7496E" w:rsidR="00C62002" w:rsidRDefault="00C62002" w:rsidP="00844FD6">
            <w:pPr>
              <w:spacing w:after="120" w:line="240" w:lineRule="auto"/>
            </w:pPr>
            <w:r>
              <w:rPr>
                <w:rFonts w:ascii="Calibri" w:hAnsi="Calibri"/>
                <w:color w:val="000000"/>
              </w:rPr>
              <w:t>Portugal</w:t>
            </w:r>
          </w:p>
        </w:tc>
        <w:tc>
          <w:tcPr>
            <w:tcW w:w="3589" w:type="dxa"/>
            <w:shd w:val="clear" w:color="auto" w:fill="auto"/>
          </w:tcPr>
          <w:p w14:paraId="568B16B7" w14:textId="3CC8C093" w:rsidR="00C62002" w:rsidRDefault="00C62002" w:rsidP="00844FD6">
            <w:pPr>
              <w:spacing w:after="120" w:line="240" w:lineRule="auto"/>
            </w:pPr>
            <w:r>
              <w:rPr>
                <w:rFonts w:ascii="Calibri" w:hAnsi="Calibri"/>
                <w:color w:val="000000"/>
              </w:rPr>
              <w:t>Europe and Central Asia</w:t>
            </w:r>
          </w:p>
        </w:tc>
      </w:tr>
      <w:tr w:rsidR="00DE56CF" w14:paraId="194E92E1" w14:textId="77777777" w:rsidTr="00DE56CF">
        <w:tc>
          <w:tcPr>
            <w:tcW w:w="567" w:type="dxa"/>
            <w:shd w:val="clear" w:color="auto" w:fill="auto"/>
          </w:tcPr>
          <w:p w14:paraId="7EF87650" w14:textId="7C90A968" w:rsidR="00C62002" w:rsidRDefault="00C62002" w:rsidP="00844FD6">
            <w:pPr>
              <w:spacing w:after="120" w:line="240" w:lineRule="auto"/>
              <w:jc w:val="center"/>
            </w:pPr>
            <w:r>
              <w:rPr>
                <w:rFonts w:ascii="Calibri" w:hAnsi="Calibri"/>
                <w:color w:val="000000"/>
              </w:rPr>
              <w:t>36</w:t>
            </w:r>
          </w:p>
        </w:tc>
        <w:tc>
          <w:tcPr>
            <w:tcW w:w="1271" w:type="dxa"/>
            <w:shd w:val="clear" w:color="auto" w:fill="auto"/>
          </w:tcPr>
          <w:p w14:paraId="1CDFCF0E" w14:textId="54BFEB19" w:rsidR="00C62002" w:rsidRDefault="00C62002" w:rsidP="00844FD6">
            <w:pPr>
              <w:spacing w:after="120" w:line="240" w:lineRule="auto"/>
              <w:jc w:val="center"/>
            </w:pPr>
            <w:r>
              <w:rPr>
                <w:rFonts w:ascii="Calibri" w:hAnsi="Calibri"/>
                <w:color w:val="000000"/>
              </w:rPr>
              <w:t>ROU</w:t>
            </w:r>
          </w:p>
        </w:tc>
        <w:tc>
          <w:tcPr>
            <w:tcW w:w="3589" w:type="dxa"/>
            <w:shd w:val="clear" w:color="auto" w:fill="auto"/>
          </w:tcPr>
          <w:p w14:paraId="51170674" w14:textId="61AB02B6" w:rsidR="00C62002" w:rsidRDefault="00C62002" w:rsidP="00844FD6">
            <w:pPr>
              <w:spacing w:after="120" w:line="240" w:lineRule="auto"/>
            </w:pPr>
            <w:r>
              <w:rPr>
                <w:rFonts w:ascii="Calibri" w:hAnsi="Calibri"/>
                <w:color w:val="000000"/>
              </w:rPr>
              <w:t>Romania</w:t>
            </w:r>
          </w:p>
        </w:tc>
        <w:tc>
          <w:tcPr>
            <w:tcW w:w="3589" w:type="dxa"/>
            <w:shd w:val="clear" w:color="auto" w:fill="auto"/>
          </w:tcPr>
          <w:p w14:paraId="7B5F7D15" w14:textId="7893D7C8" w:rsidR="00C62002" w:rsidRDefault="00C62002" w:rsidP="00844FD6">
            <w:pPr>
              <w:spacing w:after="120" w:line="240" w:lineRule="auto"/>
            </w:pPr>
            <w:r>
              <w:rPr>
                <w:rFonts w:ascii="Calibri" w:hAnsi="Calibri"/>
                <w:color w:val="000000"/>
              </w:rPr>
              <w:t>Europe and Central Asia</w:t>
            </w:r>
          </w:p>
        </w:tc>
      </w:tr>
      <w:tr w:rsidR="00DE56CF" w14:paraId="71F39083" w14:textId="77777777" w:rsidTr="00DE56CF">
        <w:tc>
          <w:tcPr>
            <w:tcW w:w="567" w:type="dxa"/>
            <w:shd w:val="clear" w:color="auto" w:fill="auto"/>
          </w:tcPr>
          <w:p w14:paraId="76658C24" w14:textId="5ACA016D" w:rsidR="00C62002" w:rsidRDefault="00C62002" w:rsidP="00844FD6">
            <w:pPr>
              <w:spacing w:after="120" w:line="240" w:lineRule="auto"/>
              <w:jc w:val="center"/>
            </w:pPr>
            <w:r>
              <w:rPr>
                <w:rFonts w:ascii="Calibri" w:hAnsi="Calibri"/>
                <w:color w:val="000000"/>
              </w:rPr>
              <w:t>37</w:t>
            </w:r>
          </w:p>
        </w:tc>
        <w:tc>
          <w:tcPr>
            <w:tcW w:w="1271" w:type="dxa"/>
            <w:shd w:val="clear" w:color="auto" w:fill="auto"/>
          </w:tcPr>
          <w:p w14:paraId="30BE2914" w14:textId="12A5907C" w:rsidR="00C62002" w:rsidRDefault="00C62002" w:rsidP="00844FD6">
            <w:pPr>
              <w:spacing w:after="120" w:line="240" w:lineRule="auto"/>
              <w:jc w:val="center"/>
            </w:pPr>
            <w:r>
              <w:rPr>
                <w:rFonts w:ascii="Calibri" w:hAnsi="Calibri"/>
                <w:color w:val="000000"/>
              </w:rPr>
              <w:t>RUS</w:t>
            </w:r>
          </w:p>
        </w:tc>
        <w:tc>
          <w:tcPr>
            <w:tcW w:w="3589" w:type="dxa"/>
            <w:shd w:val="clear" w:color="auto" w:fill="auto"/>
          </w:tcPr>
          <w:p w14:paraId="0A3AC29B" w14:textId="74A4AF5F" w:rsidR="00C62002" w:rsidRDefault="00C62002" w:rsidP="00844FD6">
            <w:pPr>
              <w:spacing w:after="120" w:line="240" w:lineRule="auto"/>
            </w:pPr>
            <w:r>
              <w:rPr>
                <w:rFonts w:ascii="Calibri" w:hAnsi="Calibri"/>
                <w:color w:val="000000"/>
              </w:rPr>
              <w:t>Russia</w:t>
            </w:r>
          </w:p>
        </w:tc>
        <w:tc>
          <w:tcPr>
            <w:tcW w:w="3589" w:type="dxa"/>
            <w:shd w:val="clear" w:color="auto" w:fill="auto"/>
          </w:tcPr>
          <w:p w14:paraId="0B485BB9" w14:textId="6CE8D6E8" w:rsidR="00C62002" w:rsidRDefault="00C62002" w:rsidP="00844FD6">
            <w:pPr>
              <w:spacing w:after="120" w:line="240" w:lineRule="auto"/>
            </w:pPr>
            <w:r>
              <w:rPr>
                <w:rFonts w:ascii="Calibri" w:hAnsi="Calibri"/>
                <w:color w:val="000000"/>
              </w:rPr>
              <w:t>Europe and Central Asia</w:t>
            </w:r>
          </w:p>
        </w:tc>
      </w:tr>
      <w:tr w:rsidR="00DE56CF" w14:paraId="4998A202" w14:textId="77777777" w:rsidTr="00DE56CF">
        <w:tc>
          <w:tcPr>
            <w:tcW w:w="567" w:type="dxa"/>
            <w:shd w:val="clear" w:color="auto" w:fill="auto"/>
          </w:tcPr>
          <w:p w14:paraId="27FBD64C" w14:textId="3B8964D0" w:rsidR="00C62002" w:rsidRDefault="00C62002" w:rsidP="00844FD6">
            <w:pPr>
              <w:spacing w:after="120" w:line="240" w:lineRule="auto"/>
              <w:jc w:val="center"/>
            </w:pPr>
            <w:r>
              <w:rPr>
                <w:rFonts w:ascii="Calibri" w:hAnsi="Calibri"/>
                <w:color w:val="000000"/>
              </w:rPr>
              <w:t>38</w:t>
            </w:r>
          </w:p>
        </w:tc>
        <w:tc>
          <w:tcPr>
            <w:tcW w:w="1271" w:type="dxa"/>
            <w:shd w:val="clear" w:color="auto" w:fill="auto"/>
          </w:tcPr>
          <w:p w14:paraId="0358D9E2" w14:textId="20ED5402" w:rsidR="00C62002" w:rsidRDefault="00C62002" w:rsidP="00844FD6">
            <w:pPr>
              <w:spacing w:after="120" w:line="240" w:lineRule="auto"/>
              <w:jc w:val="center"/>
            </w:pPr>
            <w:r>
              <w:rPr>
                <w:rFonts w:ascii="Calibri" w:hAnsi="Calibri"/>
                <w:color w:val="000000"/>
              </w:rPr>
              <w:t>SVK</w:t>
            </w:r>
          </w:p>
        </w:tc>
        <w:tc>
          <w:tcPr>
            <w:tcW w:w="3589" w:type="dxa"/>
            <w:shd w:val="clear" w:color="auto" w:fill="auto"/>
          </w:tcPr>
          <w:p w14:paraId="02AB7664" w14:textId="4BBC9F67" w:rsidR="00C62002" w:rsidRDefault="00C62002" w:rsidP="00844FD6">
            <w:pPr>
              <w:spacing w:after="120" w:line="240" w:lineRule="auto"/>
            </w:pPr>
            <w:r>
              <w:rPr>
                <w:rFonts w:ascii="Calibri" w:hAnsi="Calibri"/>
                <w:color w:val="000000"/>
              </w:rPr>
              <w:t>Slovak Republic</w:t>
            </w:r>
          </w:p>
        </w:tc>
        <w:tc>
          <w:tcPr>
            <w:tcW w:w="3589" w:type="dxa"/>
            <w:shd w:val="clear" w:color="auto" w:fill="auto"/>
          </w:tcPr>
          <w:p w14:paraId="06E99227" w14:textId="1E3C019F" w:rsidR="00C62002" w:rsidRDefault="00C62002" w:rsidP="00844FD6">
            <w:pPr>
              <w:spacing w:after="120" w:line="240" w:lineRule="auto"/>
            </w:pPr>
            <w:r>
              <w:rPr>
                <w:rFonts w:ascii="Calibri" w:hAnsi="Calibri"/>
                <w:color w:val="000000"/>
              </w:rPr>
              <w:t>Europe and Central Asia</w:t>
            </w:r>
          </w:p>
        </w:tc>
      </w:tr>
      <w:tr w:rsidR="00DE56CF" w14:paraId="61AAC17F" w14:textId="77777777" w:rsidTr="00DE56CF">
        <w:tc>
          <w:tcPr>
            <w:tcW w:w="567" w:type="dxa"/>
            <w:shd w:val="clear" w:color="auto" w:fill="auto"/>
          </w:tcPr>
          <w:p w14:paraId="7F8C0E44" w14:textId="7F16E402" w:rsidR="00C62002" w:rsidRDefault="00C62002" w:rsidP="00844FD6">
            <w:pPr>
              <w:spacing w:after="120" w:line="240" w:lineRule="auto"/>
              <w:jc w:val="center"/>
            </w:pPr>
            <w:r>
              <w:rPr>
                <w:rFonts w:ascii="Calibri" w:hAnsi="Calibri"/>
                <w:color w:val="000000"/>
              </w:rPr>
              <w:t>39</w:t>
            </w:r>
          </w:p>
        </w:tc>
        <w:tc>
          <w:tcPr>
            <w:tcW w:w="1271" w:type="dxa"/>
            <w:shd w:val="clear" w:color="auto" w:fill="auto"/>
          </w:tcPr>
          <w:p w14:paraId="3B0C38AB" w14:textId="2C362A39" w:rsidR="00C62002" w:rsidRDefault="00C62002" w:rsidP="00844FD6">
            <w:pPr>
              <w:spacing w:after="120" w:line="240" w:lineRule="auto"/>
              <w:jc w:val="center"/>
            </w:pPr>
            <w:r>
              <w:rPr>
                <w:rFonts w:ascii="Calibri" w:hAnsi="Calibri"/>
                <w:color w:val="000000"/>
              </w:rPr>
              <w:t>SVN</w:t>
            </w:r>
          </w:p>
        </w:tc>
        <w:tc>
          <w:tcPr>
            <w:tcW w:w="3589" w:type="dxa"/>
            <w:shd w:val="clear" w:color="auto" w:fill="auto"/>
          </w:tcPr>
          <w:p w14:paraId="5EE6DC99" w14:textId="34FE8C2C" w:rsidR="00C62002" w:rsidRDefault="00C62002" w:rsidP="00844FD6">
            <w:pPr>
              <w:spacing w:after="120" w:line="240" w:lineRule="auto"/>
            </w:pPr>
            <w:r>
              <w:rPr>
                <w:rFonts w:ascii="Calibri" w:hAnsi="Calibri"/>
                <w:color w:val="000000"/>
              </w:rPr>
              <w:t>Slovenia</w:t>
            </w:r>
          </w:p>
        </w:tc>
        <w:tc>
          <w:tcPr>
            <w:tcW w:w="3589" w:type="dxa"/>
            <w:shd w:val="clear" w:color="auto" w:fill="auto"/>
          </w:tcPr>
          <w:p w14:paraId="59A9C9AC" w14:textId="2454480E" w:rsidR="00C62002" w:rsidRDefault="00C62002" w:rsidP="00844FD6">
            <w:pPr>
              <w:spacing w:after="120" w:line="240" w:lineRule="auto"/>
            </w:pPr>
            <w:r>
              <w:rPr>
                <w:rFonts w:ascii="Calibri" w:hAnsi="Calibri"/>
                <w:color w:val="000000"/>
              </w:rPr>
              <w:t>Europe and Central Asia</w:t>
            </w:r>
          </w:p>
        </w:tc>
      </w:tr>
      <w:tr w:rsidR="00DE56CF" w14:paraId="4FA5856D" w14:textId="77777777" w:rsidTr="00DE56CF">
        <w:tc>
          <w:tcPr>
            <w:tcW w:w="567" w:type="dxa"/>
            <w:shd w:val="clear" w:color="auto" w:fill="auto"/>
          </w:tcPr>
          <w:p w14:paraId="6ECE0232" w14:textId="505D1348" w:rsidR="00C62002" w:rsidRDefault="00C62002" w:rsidP="00844FD6">
            <w:pPr>
              <w:spacing w:after="120" w:line="240" w:lineRule="auto"/>
              <w:jc w:val="center"/>
            </w:pPr>
            <w:r>
              <w:rPr>
                <w:rFonts w:ascii="Calibri" w:hAnsi="Calibri"/>
                <w:color w:val="000000"/>
              </w:rPr>
              <w:t>40</w:t>
            </w:r>
          </w:p>
        </w:tc>
        <w:tc>
          <w:tcPr>
            <w:tcW w:w="1271" w:type="dxa"/>
            <w:shd w:val="clear" w:color="auto" w:fill="auto"/>
          </w:tcPr>
          <w:p w14:paraId="703728EE" w14:textId="1DB994F7" w:rsidR="00C62002" w:rsidRDefault="00C62002" w:rsidP="00844FD6">
            <w:pPr>
              <w:spacing w:after="120" w:line="240" w:lineRule="auto"/>
              <w:jc w:val="center"/>
            </w:pPr>
            <w:r>
              <w:rPr>
                <w:rFonts w:ascii="Calibri" w:hAnsi="Calibri"/>
                <w:color w:val="000000"/>
              </w:rPr>
              <w:t>SWE</w:t>
            </w:r>
          </w:p>
        </w:tc>
        <w:tc>
          <w:tcPr>
            <w:tcW w:w="3589" w:type="dxa"/>
            <w:shd w:val="clear" w:color="auto" w:fill="auto"/>
          </w:tcPr>
          <w:p w14:paraId="0F2A1A8A" w14:textId="7394791B" w:rsidR="00C62002" w:rsidRDefault="00C62002" w:rsidP="00844FD6">
            <w:pPr>
              <w:spacing w:after="120" w:line="240" w:lineRule="auto"/>
            </w:pPr>
            <w:r>
              <w:rPr>
                <w:rFonts w:ascii="Calibri" w:hAnsi="Calibri"/>
                <w:color w:val="000000"/>
              </w:rPr>
              <w:t>Sweden</w:t>
            </w:r>
          </w:p>
        </w:tc>
        <w:tc>
          <w:tcPr>
            <w:tcW w:w="3589" w:type="dxa"/>
            <w:shd w:val="clear" w:color="auto" w:fill="auto"/>
          </w:tcPr>
          <w:p w14:paraId="5D48DF25" w14:textId="21F6F58D" w:rsidR="00C62002" w:rsidRDefault="00C62002" w:rsidP="00844FD6">
            <w:pPr>
              <w:spacing w:after="120" w:line="240" w:lineRule="auto"/>
            </w:pPr>
            <w:r>
              <w:rPr>
                <w:rFonts w:ascii="Calibri" w:hAnsi="Calibri"/>
                <w:color w:val="000000"/>
              </w:rPr>
              <w:t>Europe and Central Asia</w:t>
            </w:r>
          </w:p>
        </w:tc>
      </w:tr>
      <w:tr w:rsidR="00DE56CF" w14:paraId="6B8411A5" w14:textId="77777777" w:rsidTr="00DE56CF">
        <w:tc>
          <w:tcPr>
            <w:tcW w:w="567" w:type="dxa"/>
            <w:shd w:val="clear" w:color="auto" w:fill="auto"/>
          </w:tcPr>
          <w:p w14:paraId="6BA4B35C" w14:textId="4870E359" w:rsidR="00464FF9" w:rsidRDefault="00464FF9" w:rsidP="00844FD6">
            <w:pPr>
              <w:spacing w:after="120" w:line="240" w:lineRule="auto"/>
              <w:jc w:val="center"/>
            </w:pPr>
            <w:r>
              <w:rPr>
                <w:rFonts w:ascii="Calibri" w:hAnsi="Calibri"/>
                <w:color w:val="000000"/>
              </w:rPr>
              <w:t>41</w:t>
            </w:r>
          </w:p>
        </w:tc>
        <w:tc>
          <w:tcPr>
            <w:tcW w:w="1271" w:type="dxa"/>
            <w:shd w:val="clear" w:color="auto" w:fill="auto"/>
          </w:tcPr>
          <w:p w14:paraId="2881B667" w14:textId="2DCEB8DB" w:rsidR="00464FF9" w:rsidRDefault="00464FF9" w:rsidP="00844FD6">
            <w:pPr>
              <w:spacing w:after="120" w:line="240" w:lineRule="auto"/>
              <w:jc w:val="center"/>
            </w:pPr>
            <w:r>
              <w:rPr>
                <w:rFonts w:ascii="Calibri" w:hAnsi="Calibri"/>
                <w:color w:val="000000"/>
              </w:rPr>
              <w:t>TUR</w:t>
            </w:r>
          </w:p>
        </w:tc>
        <w:tc>
          <w:tcPr>
            <w:tcW w:w="3589" w:type="dxa"/>
            <w:shd w:val="clear" w:color="auto" w:fill="auto"/>
          </w:tcPr>
          <w:p w14:paraId="133F4924" w14:textId="6E967622" w:rsidR="00464FF9" w:rsidRDefault="00464FF9" w:rsidP="00844FD6">
            <w:pPr>
              <w:spacing w:after="120" w:line="240" w:lineRule="auto"/>
            </w:pPr>
            <w:r>
              <w:rPr>
                <w:rFonts w:ascii="Calibri" w:hAnsi="Calibri"/>
                <w:color w:val="000000"/>
              </w:rPr>
              <w:t>Turkey</w:t>
            </w:r>
          </w:p>
        </w:tc>
        <w:tc>
          <w:tcPr>
            <w:tcW w:w="3589" w:type="dxa"/>
            <w:shd w:val="clear" w:color="auto" w:fill="auto"/>
          </w:tcPr>
          <w:p w14:paraId="7DE594A2" w14:textId="1D3EE89F" w:rsidR="00464FF9" w:rsidRDefault="00464FF9" w:rsidP="00844FD6">
            <w:pPr>
              <w:spacing w:after="120" w:line="240" w:lineRule="auto"/>
            </w:pPr>
            <w:r>
              <w:rPr>
                <w:rFonts w:ascii="Calibri" w:hAnsi="Calibri"/>
                <w:color w:val="000000"/>
              </w:rPr>
              <w:t>Europe and Central Asia</w:t>
            </w:r>
          </w:p>
        </w:tc>
      </w:tr>
      <w:tr w:rsidR="00DE56CF" w14:paraId="5D50A061" w14:textId="77777777" w:rsidTr="00DE56CF">
        <w:tc>
          <w:tcPr>
            <w:tcW w:w="567" w:type="dxa"/>
            <w:shd w:val="clear" w:color="auto" w:fill="auto"/>
          </w:tcPr>
          <w:p w14:paraId="44A5DE74" w14:textId="116ECF64" w:rsidR="00464FF9" w:rsidRDefault="00464FF9" w:rsidP="00844FD6">
            <w:pPr>
              <w:spacing w:after="120" w:line="240" w:lineRule="auto"/>
              <w:jc w:val="center"/>
            </w:pPr>
            <w:r>
              <w:rPr>
                <w:rFonts w:ascii="Calibri" w:hAnsi="Calibri"/>
                <w:color w:val="000000"/>
              </w:rPr>
              <w:t>42</w:t>
            </w:r>
          </w:p>
        </w:tc>
        <w:tc>
          <w:tcPr>
            <w:tcW w:w="1271" w:type="dxa"/>
            <w:shd w:val="clear" w:color="auto" w:fill="auto"/>
          </w:tcPr>
          <w:p w14:paraId="2A53D731" w14:textId="6316E892" w:rsidR="00464FF9" w:rsidRDefault="00464FF9" w:rsidP="00844FD6">
            <w:pPr>
              <w:spacing w:after="120" w:line="240" w:lineRule="auto"/>
              <w:jc w:val="center"/>
            </w:pPr>
            <w:r>
              <w:rPr>
                <w:rFonts w:ascii="Calibri" w:hAnsi="Calibri"/>
                <w:color w:val="000000"/>
              </w:rPr>
              <w:t>TAP</w:t>
            </w:r>
          </w:p>
        </w:tc>
        <w:tc>
          <w:tcPr>
            <w:tcW w:w="3589" w:type="dxa"/>
            <w:shd w:val="clear" w:color="auto" w:fill="auto"/>
          </w:tcPr>
          <w:p w14:paraId="6D733E7A" w14:textId="00E5208E" w:rsidR="00464FF9" w:rsidRDefault="00464FF9" w:rsidP="00844FD6">
            <w:pPr>
              <w:spacing w:after="120" w:line="240" w:lineRule="auto"/>
            </w:pPr>
            <w:proofErr w:type="spellStart"/>
            <w:r>
              <w:rPr>
                <w:rFonts w:ascii="Calibri" w:hAnsi="Calibri"/>
                <w:color w:val="000000"/>
              </w:rPr>
              <w:t>Taipei,China</w:t>
            </w:r>
            <w:proofErr w:type="spellEnd"/>
          </w:p>
        </w:tc>
        <w:tc>
          <w:tcPr>
            <w:tcW w:w="3589" w:type="dxa"/>
            <w:shd w:val="clear" w:color="auto" w:fill="auto"/>
          </w:tcPr>
          <w:p w14:paraId="7930B9B0" w14:textId="711E9032" w:rsidR="00464FF9" w:rsidRDefault="00464FF9" w:rsidP="00844FD6">
            <w:pPr>
              <w:spacing w:after="120" w:line="240" w:lineRule="auto"/>
            </w:pPr>
            <w:r>
              <w:rPr>
                <w:rFonts w:ascii="Calibri" w:hAnsi="Calibri"/>
                <w:color w:val="000000"/>
              </w:rPr>
              <w:t>East Asia and Pacific</w:t>
            </w:r>
          </w:p>
        </w:tc>
      </w:tr>
      <w:tr w:rsidR="00DE56CF" w14:paraId="638082AB" w14:textId="77777777" w:rsidTr="00DE56CF">
        <w:tc>
          <w:tcPr>
            <w:tcW w:w="567" w:type="dxa"/>
            <w:shd w:val="clear" w:color="auto" w:fill="auto"/>
          </w:tcPr>
          <w:p w14:paraId="7925846C" w14:textId="3C8EB93D" w:rsidR="00464FF9" w:rsidRDefault="00464FF9" w:rsidP="00844FD6">
            <w:pPr>
              <w:spacing w:after="120" w:line="240" w:lineRule="auto"/>
              <w:jc w:val="center"/>
            </w:pPr>
            <w:r>
              <w:rPr>
                <w:rFonts w:ascii="Calibri" w:hAnsi="Calibri"/>
                <w:color w:val="000000"/>
              </w:rPr>
              <w:t>43</w:t>
            </w:r>
          </w:p>
        </w:tc>
        <w:tc>
          <w:tcPr>
            <w:tcW w:w="1271" w:type="dxa"/>
            <w:shd w:val="clear" w:color="auto" w:fill="auto"/>
          </w:tcPr>
          <w:p w14:paraId="2F56259C" w14:textId="4A652DE7" w:rsidR="00464FF9" w:rsidRDefault="00464FF9" w:rsidP="00844FD6">
            <w:pPr>
              <w:spacing w:after="120" w:line="240" w:lineRule="auto"/>
              <w:jc w:val="center"/>
            </w:pPr>
            <w:r>
              <w:rPr>
                <w:rFonts w:ascii="Calibri" w:hAnsi="Calibri"/>
                <w:color w:val="000000"/>
              </w:rPr>
              <w:t>USA</w:t>
            </w:r>
          </w:p>
        </w:tc>
        <w:tc>
          <w:tcPr>
            <w:tcW w:w="3589" w:type="dxa"/>
            <w:shd w:val="clear" w:color="auto" w:fill="auto"/>
          </w:tcPr>
          <w:p w14:paraId="16EDAD9D" w14:textId="269EE178" w:rsidR="00464FF9" w:rsidRDefault="00464FF9" w:rsidP="00844FD6">
            <w:pPr>
              <w:spacing w:after="120" w:line="240" w:lineRule="auto"/>
            </w:pPr>
            <w:r>
              <w:rPr>
                <w:rFonts w:ascii="Calibri" w:hAnsi="Calibri"/>
                <w:color w:val="000000"/>
              </w:rPr>
              <w:t>United States</w:t>
            </w:r>
          </w:p>
        </w:tc>
        <w:tc>
          <w:tcPr>
            <w:tcW w:w="3589" w:type="dxa"/>
            <w:shd w:val="clear" w:color="auto" w:fill="auto"/>
          </w:tcPr>
          <w:p w14:paraId="372A0EA4" w14:textId="383C774F" w:rsidR="00464FF9" w:rsidRDefault="00464FF9" w:rsidP="00844FD6">
            <w:pPr>
              <w:spacing w:after="120" w:line="240" w:lineRule="auto"/>
            </w:pPr>
            <w:r>
              <w:rPr>
                <w:rFonts w:ascii="Calibri" w:hAnsi="Calibri"/>
                <w:color w:val="000000"/>
              </w:rPr>
              <w:t>North America</w:t>
            </w:r>
          </w:p>
        </w:tc>
      </w:tr>
      <w:tr w:rsidR="00DE56CF" w14:paraId="05939601" w14:textId="77777777" w:rsidTr="00DE56CF">
        <w:tc>
          <w:tcPr>
            <w:tcW w:w="567" w:type="dxa"/>
            <w:shd w:val="clear" w:color="auto" w:fill="auto"/>
          </w:tcPr>
          <w:p w14:paraId="5421B2D6" w14:textId="02B9ECD1" w:rsidR="00464FF9" w:rsidRDefault="00464FF9" w:rsidP="00844FD6">
            <w:pPr>
              <w:spacing w:after="120" w:line="240" w:lineRule="auto"/>
              <w:jc w:val="center"/>
            </w:pPr>
            <w:r>
              <w:rPr>
                <w:rFonts w:ascii="Calibri" w:hAnsi="Calibri"/>
                <w:color w:val="000000"/>
              </w:rPr>
              <w:t>44</w:t>
            </w:r>
          </w:p>
        </w:tc>
        <w:tc>
          <w:tcPr>
            <w:tcW w:w="1271" w:type="dxa"/>
            <w:shd w:val="clear" w:color="auto" w:fill="auto"/>
          </w:tcPr>
          <w:p w14:paraId="2BD697FB" w14:textId="31BEBC9B" w:rsidR="00464FF9" w:rsidRDefault="00464FF9" w:rsidP="00844FD6">
            <w:pPr>
              <w:spacing w:after="120" w:line="240" w:lineRule="auto"/>
              <w:jc w:val="center"/>
            </w:pPr>
            <w:r>
              <w:rPr>
                <w:rFonts w:ascii="Calibri" w:hAnsi="Calibri"/>
                <w:color w:val="000000"/>
              </w:rPr>
              <w:t>BAN</w:t>
            </w:r>
          </w:p>
        </w:tc>
        <w:tc>
          <w:tcPr>
            <w:tcW w:w="3589" w:type="dxa"/>
            <w:shd w:val="clear" w:color="auto" w:fill="auto"/>
          </w:tcPr>
          <w:p w14:paraId="629142A9" w14:textId="7D56665E" w:rsidR="00464FF9" w:rsidRDefault="00464FF9" w:rsidP="00844FD6">
            <w:pPr>
              <w:spacing w:after="120" w:line="240" w:lineRule="auto"/>
            </w:pPr>
            <w:r>
              <w:rPr>
                <w:rFonts w:ascii="Calibri" w:hAnsi="Calibri"/>
                <w:color w:val="000000"/>
              </w:rPr>
              <w:t>Bangladesh</w:t>
            </w:r>
          </w:p>
        </w:tc>
        <w:tc>
          <w:tcPr>
            <w:tcW w:w="3589" w:type="dxa"/>
            <w:shd w:val="clear" w:color="auto" w:fill="auto"/>
          </w:tcPr>
          <w:p w14:paraId="79B73C5C" w14:textId="76A20FBE" w:rsidR="00464FF9" w:rsidRDefault="00464FF9" w:rsidP="00844FD6">
            <w:pPr>
              <w:spacing w:after="120" w:line="240" w:lineRule="auto"/>
            </w:pPr>
            <w:r>
              <w:rPr>
                <w:rFonts w:ascii="Calibri" w:hAnsi="Calibri"/>
                <w:color w:val="000000"/>
              </w:rPr>
              <w:t>South Asia</w:t>
            </w:r>
          </w:p>
        </w:tc>
      </w:tr>
      <w:tr w:rsidR="00DE56CF" w14:paraId="259E48AA" w14:textId="77777777" w:rsidTr="00DE56CF">
        <w:tc>
          <w:tcPr>
            <w:tcW w:w="567" w:type="dxa"/>
            <w:shd w:val="clear" w:color="auto" w:fill="auto"/>
          </w:tcPr>
          <w:p w14:paraId="09EE4C27" w14:textId="4242E5EF" w:rsidR="00464FF9" w:rsidRDefault="00464FF9" w:rsidP="00844FD6">
            <w:pPr>
              <w:spacing w:after="120" w:line="240" w:lineRule="auto"/>
              <w:jc w:val="center"/>
            </w:pPr>
            <w:r>
              <w:rPr>
                <w:rFonts w:ascii="Calibri" w:hAnsi="Calibri"/>
                <w:color w:val="000000"/>
              </w:rPr>
              <w:t>45</w:t>
            </w:r>
          </w:p>
        </w:tc>
        <w:tc>
          <w:tcPr>
            <w:tcW w:w="1271" w:type="dxa"/>
            <w:shd w:val="clear" w:color="auto" w:fill="auto"/>
          </w:tcPr>
          <w:p w14:paraId="15EC38F4" w14:textId="1B7BC9AF" w:rsidR="00464FF9" w:rsidRDefault="00464FF9" w:rsidP="00844FD6">
            <w:pPr>
              <w:spacing w:after="120" w:line="240" w:lineRule="auto"/>
              <w:jc w:val="center"/>
            </w:pPr>
            <w:r>
              <w:rPr>
                <w:rFonts w:ascii="Calibri" w:hAnsi="Calibri"/>
                <w:color w:val="000000"/>
              </w:rPr>
              <w:t>MAL</w:t>
            </w:r>
          </w:p>
        </w:tc>
        <w:tc>
          <w:tcPr>
            <w:tcW w:w="3589" w:type="dxa"/>
            <w:shd w:val="clear" w:color="auto" w:fill="auto"/>
          </w:tcPr>
          <w:p w14:paraId="2251B8BE" w14:textId="76F4F977" w:rsidR="00464FF9" w:rsidRDefault="00464FF9" w:rsidP="00844FD6">
            <w:pPr>
              <w:spacing w:after="120" w:line="240" w:lineRule="auto"/>
            </w:pPr>
            <w:r>
              <w:rPr>
                <w:rFonts w:ascii="Calibri" w:hAnsi="Calibri"/>
                <w:color w:val="000000"/>
              </w:rPr>
              <w:t>Malaysia</w:t>
            </w:r>
          </w:p>
        </w:tc>
        <w:tc>
          <w:tcPr>
            <w:tcW w:w="3589" w:type="dxa"/>
            <w:shd w:val="clear" w:color="auto" w:fill="auto"/>
          </w:tcPr>
          <w:p w14:paraId="34290B2B" w14:textId="2F134198" w:rsidR="00464FF9" w:rsidRDefault="00464FF9" w:rsidP="00844FD6">
            <w:pPr>
              <w:spacing w:after="120" w:line="240" w:lineRule="auto"/>
            </w:pPr>
            <w:r>
              <w:rPr>
                <w:rFonts w:ascii="Calibri" w:hAnsi="Calibri"/>
                <w:color w:val="000000"/>
              </w:rPr>
              <w:t>East Asia and Pacific</w:t>
            </w:r>
          </w:p>
        </w:tc>
      </w:tr>
      <w:tr w:rsidR="00DE56CF" w14:paraId="3833467E" w14:textId="77777777" w:rsidTr="00DE56CF">
        <w:tc>
          <w:tcPr>
            <w:tcW w:w="567" w:type="dxa"/>
            <w:shd w:val="clear" w:color="auto" w:fill="auto"/>
          </w:tcPr>
          <w:p w14:paraId="445665A5" w14:textId="10C82556" w:rsidR="00464FF9" w:rsidRDefault="00464FF9" w:rsidP="00844FD6">
            <w:pPr>
              <w:spacing w:after="120" w:line="240" w:lineRule="auto"/>
              <w:jc w:val="center"/>
            </w:pPr>
            <w:r>
              <w:rPr>
                <w:rFonts w:ascii="Calibri" w:hAnsi="Calibri"/>
                <w:color w:val="000000"/>
              </w:rPr>
              <w:t>46</w:t>
            </w:r>
          </w:p>
        </w:tc>
        <w:tc>
          <w:tcPr>
            <w:tcW w:w="1271" w:type="dxa"/>
            <w:shd w:val="clear" w:color="auto" w:fill="auto"/>
          </w:tcPr>
          <w:p w14:paraId="41863426" w14:textId="694D01CC" w:rsidR="00464FF9" w:rsidRDefault="00464FF9" w:rsidP="00844FD6">
            <w:pPr>
              <w:spacing w:after="120" w:line="240" w:lineRule="auto"/>
              <w:jc w:val="center"/>
            </w:pPr>
            <w:r>
              <w:rPr>
                <w:rFonts w:ascii="Calibri" w:hAnsi="Calibri"/>
                <w:color w:val="000000"/>
              </w:rPr>
              <w:t>PHI</w:t>
            </w:r>
          </w:p>
        </w:tc>
        <w:tc>
          <w:tcPr>
            <w:tcW w:w="3589" w:type="dxa"/>
            <w:shd w:val="clear" w:color="auto" w:fill="auto"/>
          </w:tcPr>
          <w:p w14:paraId="548B5B0A" w14:textId="4A4AD9BB" w:rsidR="00464FF9" w:rsidRDefault="00464FF9" w:rsidP="00844FD6">
            <w:pPr>
              <w:spacing w:after="120" w:line="240" w:lineRule="auto"/>
            </w:pPr>
            <w:r>
              <w:rPr>
                <w:rFonts w:ascii="Calibri" w:hAnsi="Calibri"/>
                <w:color w:val="000000"/>
              </w:rPr>
              <w:t>Philippines</w:t>
            </w:r>
          </w:p>
        </w:tc>
        <w:tc>
          <w:tcPr>
            <w:tcW w:w="3589" w:type="dxa"/>
            <w:shd w:val="clear" w:color="auto" w:fill="auto"/>
          </w:tcPr>
          <w:p w14:paraId="0130622F" w14:textId="348FC6FB" w:rsidR="00464FF9" w:rsidRDefault="00464FF9" w:rsidP="00844FD6">
            <w:pPr>
              <w:spacing w:after="120" w:line="240" w:lineRule="auto"/>
            </w:pPr>
            <w:r>
              <w:rPr>
                <w:rFonts w:ascii="Calibri" w:hAnsi="Calibri"/>
                <w:color w:val="000000"/>
              </w:rPr>
              <w:t>East Asia and Pacific</w:t>
            </w:r>
          </w:p>
        </w:tc>
      </w:tr>
      <w:tr w:rsidR="00DE56CF" w14:paraId="67196E1C" w14:textId="77777777" w:rsidTr="00DE56CF">
        <w:tc>
          <w:tcPr>
            <w:tcW w:w="567" w:type="dxa"/>
            <w:shd w:val="clear" w:color="auto" w:fill="auto"/>
          </w:tcPr>
          <w:p w14:paraId="22242A11" w14:textId="0AD1622E" w:rsidR="00464FF9" w:rsidRDefault="00464FF9" w:rsidP="00844FD6">
            <w:pPr>
              <w:spacing w:after="120" w:line="240" w:lineRule="auto"/>
              <w:jc w:val="center"/>
            </w:pPr>
            <w:r>
              <w:rPr>
                <w:rFonts w:ascii="Calibri" w:hAnsi="Calibri"/>
                <w:color w:val="000000"/>
              </w:rPr>
              <w:t>47</w:t>
            </w:r>
          </w:p>
        </w:tc>
        <w:tc>
          <w:tcPr>
            <w:tcW w:w="1271" w:type="dxa"/>
            <w:shd w:val="clear" w:color="auto" w:fill="auto"/>
          </w:tcPr>
          <w:p w14:paraId="606E8865" w14:textId="1DB02DC5" w:rsidR="00464FF9" w:rsidRDefault="00464FF9" w:rsidP="00844FD6">
            <w:pPr>
              <w:spacing w:after="120" w:line="240" w:lineRule="auto"/>
              <w:jc w:val="center"/>
            </w:pPr>
            <w:r>
              <w:rPr>
                <w:rFonts w:ascii="Calibri" w:hAnsi="Calibri"/>
                <w:color w:val="000000"/>
              </w:rPr>
              <w:t>THA</w:t>
            </w:r>
          </w:p>
        </w:tc>
        <w:tc>
          <w:tcPr>
            <w:tcW w:w="3589" w:type="dxa"/>
            <w:shd w:val="clear" w:color="auto" w:fill="auto"/>
          </w:tcPr>
          <w:p w14:paraId="0B7369B4" w14:textId="0AD894BE" w:rsidR="00464FF9" w:rsidRDefault="00464FF9" w:rsidP="00844FD6">
            <w:pPr>
              <w:spacing w:after="120" w:line="240" w:lineRule="auto"/>
            </w:pPr>
            <w:r>
              <w:rPr>
                <w:rFonts w:ascii="Calibri" w:hAnsi="Calibri"/>
                <w:color w:val="000000"/>
              </w:rPr>
              <w:t>Thailand</w:t>
            </w:r>
          </w:p>
        </w:tc>
        <w:tc>
          <w:tcPr>
            <w:tcW w:w="3589" w:type="dxa"/>
            <w:shd w:val="clear" w:color="auto" w:fill="auto"/>
          </w:tcPr>
          <w:p w14:paraId="65AADE27" w14:textId="31CEFD03" w:rsidR="00464FF9" w:rsidRDefault="00464FF9" w:rsidP="00844FD6">
            <w:pPr>
              <w:spacing w:after="120" w:line="240" w:lineRule="auto"/>
            </w:pPr>
            <w:r>
              <w:rPr>
                <w:rFonts w:ascii="Calibri" w:hAnsi="Calibri"/>
                <w:color w:val="000000"/>
              </w:rPr>
              <w:t>East Asia and Pacific</w:t>
            </w:r>
          </w:p>
        </w:tc>
      </w:tr>
      <w:tr w:rsidR="00DE56CF" w14:paraId="2DA70042" w14:textId="77777777" w:rsidTr="00DE56CF">
        <w:tc>
          <w:tcPr>
            <w:tcW w:w="567" w:type="dxa"/>
            <w:shd w:val="clear" w:color="auto" w:fill="auto"/>
          </w:tcPr>
          <w:p w14:paraId="55A2103F" w14:textId="6CCD3A92" w:rsidR="00464FF9" w:rsidRDefault="00464FF9" w:rsidP="00844FD6">
            <w:pPr>
              <w:spacing w:after="120" w:line="240" w:lineRule="auto"/>
              <w:jc w:val="center"/>
            </w:pPr>
            <w:r>
              <w:rPr>
                <w:rFonts w:ascii="Calibri" w:hAnsi="Calibri"/>
                <w:color w:val="000000"/>
              </w:rPr>
              <w:t>48</w:t>
            </w:r>
          </w:p>
        </w:tc>
        <w:tc>
          <w:tcPr>
            <w:tcW w:w="1271" w:type="dxa"/>
            <w:shd w:val="clear" w:color="auto" w:fill="auto"/>
          </w:tcPr>
          <w:p w14:paraId="45562631" w14:textId="184CF51E" w:rsidR="00464FF9" w:rsidRDefault="00464FF9" w:rsidP="00844FD6">
            <w:pPr>
              <w:spacing w:after="120" w:line="240" w:lineRule="auto"/>
              <w:jc w:val="center"/>
            </w:pPr>
            <w:r>
              <w:rPr>
                <w:rFonts w:ascii="Calibri" w:hAnsi="Calibri"/>
                <w:color w:val="000000"/>
              </w:rPr>
              <w:t>VIE</w:t>
            </w:r>
          </w:p>
        </w:tc>
        <w:tc>
          <w:tcPr>
            <w:tcW w:w="3589" w:type="dxa"/>
            <w:shd w:val="clear" w:color="auto" w:fill="auto"/>
          </w:tcPr>
          <w:p w14:paraId="1503EF75" w14:textId="5B643FF6" w:rsidR="00464FF9" w:rsidRDefault="00464FF9" w:rsidP="00844FD6">
            <w:pPr>
              <w:spacing w:after="120" w:line="240" w:lineRule="auto"/>
            </w:pPr>
            <w:r>
              <w:rPr>
                <w:rFonts w:ascii="Calibri" w:hAnsi="Calibri"/>
                <w:color w:val="000000"/>
              </w:rPr>
              <w:t>Viet Nam</w:t>
            </w:r>
          </w:p>
        </w:tc>
        <w:tc>
          <w:tcPr>
            <w:tcW w:w="3589" w:type="dxa"/>
            <w:shd w:val="clear" w:color="auto" w:fill="auto"/>
          </w:tcPr>
          <w:p w14:paraId="5306242F" w14:textId="2FF6A5D2" w:rsidR="00464FF9" w:rsidRDefault="00464FF9" w:rsidP="00844FD6">
            <w:pPr>
              <w:spacing w:after="120" w:line="240" w:lineRule="auto"/>
            </w:pPr>
            <w:r>
              <w:rPr>
                <w:rFonts w:ascii="Calibri" w:hAnsi="Calibri"/>
                <w:color w:val="000000"/>
              </w:rPr>
              <w:t>East Asia and Pacific</w:t>
            </w:r>
          </w:p>
        </w:tc>
      </w:tr>
      <w:tr w:rsidR="00DE56CF" w14:paraId="7E37243A" w14:textId="77777777" w:rsidTr="00DE56CF">
        <w:tc>
          <w:tcPr>
            <w:tcW w:w="567" w:type="dxa"/>
            <w:shd w:val="clear" w:color="auto" w:fill="auto"/>
          </w:tcPr>
          <w:p w14:paraId="7AC1AE01" w14:textId="244440E2" w:rsidR="00464FF9" w:rsidRDefault="00464FF9" w:rsidP="00844FD6">
            <w:pPr>
              <w:spacing w:after="120" w:line="240" w:lineRule="auto"/>
              <w:jc w:val="center"/>
            </w:pPr>
            <w:r>
              <w:rPr>
                <w:rFonts w:ascii="Calibri" w:hAnsi="Calibri"/>
                <w:color w:val="000000"/>
              </w:rPr>
              <w:t>49</w:t>
            </w:r>
          </w:p>
        </w:tc>
        <w:tc>
          <w:tcPr>
            <w:tcW w:w="1271" w:type="dxa"/>
            <w:shd w:val="clear" w:color="auto" w:fill="auto"/>
          </w:tcPr>
          <w:p w14:paraId="733D47E2" w14:textId="6979DE8A" w:rsidR="00464FF9" w:rsidRDefault="00464FF9" w:rsidP="00844FD6">
            <w:pPr>
              <w:spacing w:after="120" w:line="240" w:lineRule="auto"/>
              <w:jc w:val="center"/>
            </w:pPr>
            <w:r>
              <w:rPr>
                <w:rFonts w:ascii="Calibri" w:hAnsi="Calibri"/>
                <w:color w:val="000000"/>
              </w:rPr>
              <w:t>KAZ</w:t>
            </w:r>
          </w:p>
        </w:tc>
        <w:tc>
          <w:tcPr>
            <w:tcW w:w="3589" w:type="dxa"/>
            <w:shd w:val="clear" w:color="auto" w:fill="auto"/>
          </w:tcPr>
          <w:p w14:paraId="10FB9C1F" w14:textId="035B3611" w:rsidR="00464FF9" w:rsidRDefault="00464FF9" w:rsidP="00844FD6">
            <w:pPr>
              <w:spacing w:after="120" w:line="240" w:lineRule="auto"/>
            </w:pPr>
            <w:r>
              <w:rPr>
                <w:rFonts w:ascii="Calibri" w:hAnsi="Calibri"/>
                <w:color w:val="000000"/>
              </w:rPr>
              <w:t>Kazakhstan</w:t>
            </w:r>
          </w:p>
        </w:tc>
        <w:tc>
          <w:tcPr>
            <w:tcW w:w="3589" w:type="dxa"/>
            <w:shd w:val="clear" w:color="auto" w:fill="auto"/>
          </w:tcPr>
          <w:p w14:paraId="1FA0FDD9" w14:textId="5D35ED29" w:rsidR="00464FF9" w:rsidRDefault="00464FF9" w:rsidP="00844FD6">
            <w:pPr>
              <w:spacing w:after="120" w:line="240" w:lineRule="auto"/>
            </w:pPr>
            <w:r>
              <w:rPr>
                <w:rFonts w:ascii="Calibri" w:hAnsi="Calibri"/>
                <w:color w:val="000000"/>
              </w:rPr>
              <w:t>Europe and Central Asia</w:t>
            </w:r>
          </w:p>
        </w:tc>
      </w:tr>
      <w:tr w:rsidR="00DE56CF" w14:paraId="706E50B1" w14:textId="77777777" w:rsidTr="00DE56CF">
        <w:tc>
          <w:tcPr>
            <w:tcW w:w="567" w:type="dxa"/>
            <w:shd w:val="clear" w:color="auto" w:fill="auto"/>
          </w:tcPr>
          <w:p w14:paraId="2475C054" w14:textId="78D82691" w:rsidR="00464FF9" w:rsidRDefault="00464FF9" w:rsidP="00844FD6">
            <w:pPr>
              <w:spacing w:after="120" w:line="240" w:lineRule="auto"/>
              <w:jc w:val="center"/>
            </w:pPr>
            <w:r>
              <w:rPr>
                <w:rFonts w:ascii="Calibri" w:hAnsi="Calibri"/>
                <w:color w:val="000000"/>
              </w:rPr>
              <w:t>50</w:t>
            </w:r>
          </w:p>
        </w:tc>
        <w:tc>
          <w:tcPr>
            <w:tcW w:w="1271" w:type="dxa"/>
            <w:shd w:val="clear" w:color="auto" w:fill="auto"/>
          </w:tcPr>
          <w:p w14:paraId="546028B6" w14:textId="174C7F5D" w:rsidR="00464FF9" w:rsidRDefault="00464FF9" w:rsidP="00844FD6">
            <w:pPr>
              <w:spacing w:after="120" w:line="240" w:lineRule="auto"/>
              <w:jc w:val="center"/>
            </w:pPr>
            <w:r>
              <w:rPr>
                <w:rFonts w:ascii="Calibri" w:hAnsi="Calibri"/>
                <w:color w:val="000000"/>
              </w:rPr>
              <w:t>MON</w:t>
            </w:r>
          </w:p>
        </w:tc>
        <w:tc>
          <w:tcPr>
            <w:tcW w:w="3589" w:type="dxa"/>
            <w:shd w:val="clear" w:color="auto" w:fill="auto"/>
          </w:tcPr>
          <w:p w14:paraId="0806B1ED" w14:textId="6CBEE1D5" w:rsidR="00464FF9" w:rsidRDefault="00464FF9" w:rsidP="00844FD6">
            <w:pPr>
              <w:spacing w:after="120" w:line="240" w:lineRule="auto"/>
            </w:pPr>
            <w:r>
              <w:rPr>
                <w:rFonts w:ascii="Calibri" w:hAnsi="Calibri"/>
                <w:color w:val="000000"/>
              </w:rPr>
              <w:t>Mongolia</w:t>
            </w:r>
          </w:p>
        </w:tc>
        <w:tc>
          <w:tcPr>
            <w:tcW w:w="3589" w:type="dxa"/>
            <w:shd w:val="clear" w:color="auto" w:fill="auto"/>
          </w:tcPr>
          <w:p w14:paraId="03E4827B" w14:textId="71EA9A6B" w:rsidR="00464FF9" w:rsidRDefault="00464FF9" w:rsidP="00844FD6">
            <w:pPr>
              <w:spacing w:after="120" w:line="240" w:lineRule="auto"/>
            </w:pPr>
            <w:r>
              <w:rPr>
                <w:rFonts w:ascii="Calibri" w:hAnsi="Calibri"/>
                <w:color w:val="000000"/>
              </w:rPr>
              <w:t>East Asia and Pacific</w:t>
            </w:r>
          </w:p>
        </w:tc>
      </w:tr>
      <w:tr w:rsidR="00DE56CF" w14:paraId="4A41B67B" w14:textId="77777777" w:rsidTr="00DE56CF">
        <w:tc>
          <w:tcPr>
            <w:tcW w:w="567" w:type="dxa"/>
            <w:shd w:val="clear" w:color="auto" w:fill="auto"/>
          </w:tcPr>
          <w:p w14:paraId="531A965A" w14:textId="5032E664" w:rsidR="00464FF9" w:rsidRDefault="00464FF9" w:rsidP="00844FD6">
            <w:pPr>
              <w:spacing w:after="120" w:line="240" w:lineRule="auto"/>
              <w:jc w:val="center"/>
            </w:pPr>
            <w:r>
              <w:rPr>
                <w:rFonts w:ascii="Calibri" w:hAnsi="Calibri"/>
                <w:color w:val="000000"/>
              </w:rPr>
              <w:t>51</w:t>
            </w:r>
          </w:p>
        </w:tc>
        <w:tc>
          <w:tcPr>
            <w:tcW w:w="1271" w:type="dxa"/>
            <w:shd w:val="clear" w:color="auto" w:fill="auto"/>
          </w:tcPr>
          <w:p w14:paraId="3E06E4DF" w14:textId="4BBD7D58" w:rsidR="00464FF9" w:rsidRDefault="00464FF9" w:rsidP="00844FD6">
            <w:pPr>
              <w:spacing w:after="120" w:line="240" w:lineRule="auto"/>
              <w:jc w:val="center"/>
            </w:pPr>
            <w:r>
              <w:rPr>
                <w:rFonts w:ascii="Calibri" w:hAnsi="Calibri"/>
                <w:color w:val="000000"/>
              </w:rPr>
              <w:t>SRI</w:t>
            </w:r>
          </w:p>
        </w:tc>
        <w:tc>
          <w:tcPr>
            <w:tcW w:w="3589" w:type="dxa"/>
            <w:shd w:val="clear" w:color="auto" w:fill="auto"/>
          </w:tcPr>
          <w:p w14:paraId="29870140" w14:textId="3F7E6BD7" w:rsidR="00464FF9" w:rsidRDefault="00464FF9" w:rsidP="00844FD6">
            <w:pPr>
              <w:spacing w:after="120" w:line="240" w:lineRule="auto"/>
            </w:pPr>
            <w:r>
              <w:rPr>
                <w:rFonts w:ascii="Calibri" w:hAnsi="Calibri"/>
                <w:color w:val="000000"/>
              </w:rPr>
              <w:t>Sri Lanka</w:t>
            </w:r>
          </w:p>
        </w:tc>
        <w:tc>
          <w:tcPr>
            <w:tcW w:w="3589" w:type="dxa"/>
            <w:shd w:val="clear" w:color="auto" w:fill="auto"/>
          </w:tcPr>
          <w:p w14:paraId="3B47BD9B" w14:textId="6FFBECE5" w:rsidR="00464FF9" w:rsidRDefault="00464FF9" w:rsidP="00844FD6">
            <w:pPr>
              <w:spacing w:after="120" w:line="240" w:lineRule="auto"/>
            </w:pPr>
            <w:r>
              <w:rPr>
                <w:rFonts w:ascii="Calibri" w:hAnsi="Calibri"/>
                <w:color w:val="000000"/>
              </w:rPr>
              <w:t>South Asia</w:t>
            </w:r>
          </w:p>
        </w:tc>
      </w:tr>
      <w:tr w:rsidR="00DE56CF" w14:paraId="6D66B682" w14:textId="77777777" w:rsidTr="00DE56CF">
        <w:tc>
          <w:tcPr>
            <w:tcW w:w="567" w:type="dxa"/>
            <w:shd w:val="clear" w:color="auto" w:fill="auto"/>
          </w:tcPr>
          <w:p w14:paraId="560257FC" w14:textId="2EBC0C92" w:rsidR="00464FF9" w:rsidRDefault="00464FF9" w:rsidP="00844FD6">
            <w:pPr>
              <w:spacing w:after="120" w:line="240" w:lineRule="auto"/>
              <w:jc w:val="center"/>
            </w:pPr>
            <w:r>
              <w:rPr>
                <w:rFonts w:ascii="Calibri" w:hAnsi="Calibri"/>
                <w:color w:val="000000"/>
              </w:rPr>
              <w:t>52</w:t>
            </w:r>
          </w:p>
        </w:tc>
        <w:tc>
          <w:tcPr>
            <w:tcW w:w="1271" w:type="dxa"/>
            <w:shd w:val="clear" w:color="auto" w:fill="auto"/>
          </w:tcPr>
          <w:p w14:paraId="32F64D71" w14:textId="7F3B0EC8" w:rsidR="00464FF9" w:rsidRDefault="00464FF9" w:rsidP="00844FD6">
            <w:pPr>
              <w:spacing w:after="120" w:line="240" w:lineRule="auto"/>
              <w:jc w:val="center"/>
            </w:pPr>
            <w:r>
              <w:rPr>
                <w:rFonts w:ascii="Calibri" w:hAnsi="Calibri"/>
                <w:color w:val="000000"/>
              </w:rPr>
              <w:t>PAK</w:t>
            </w:r>
          </w:p>
        </w:tc>
        <w:tc>
          <w:tcPr>
            <w:tcW w:w="3589" w:type="dxa"/>
            <w:shd w:val="clear" w:color="auto" w:fill="auto"/>
          </w:tcPr>
          <w:p w14:paraId="2E05BB4C" w14:textId="17B31561" w:rsidR="00464FF9" w:rsidRDefault="00464FF9" w:rsidP="00844FD6">
            <w:pPr>
              <w:spacing w:after="120" w:line="240" w:lineRule="auto"/>
            </w:pPr>
            <w:r>
              <w:rPr>
                <w:rFonts w:ascii="Calibri" w:hAnsi="Calibri"/>
                <w:color w:val="000000"/>
              </w:rPr>
              <w:t>Pakistan</w:t>
            </w:r>
          </w:p>
        </w:tc>
        <w:tc>
          <w:tcPr>
            <w:tcW w:w="3589" w:type="dxa"/>
            <w:shd w:val="clear" w:color="auto" w:fill="auto"/>
          </w:tcPr>
          <w:p w14:paraId="2CEF24E2" w14:textId="4C47F47E" w:rsidR="00464FF9" w:rsidRDefault="00464FF9" w:rsidP="00844FD6">
            <w:pPr>
              <w:spacing w:after="120" w:line="240" w:lineRule="auto"/>
            </w:pPr>
            <w:r>
              <w:rPr>
                <w:rFonts w:ascii="Calibri" w:hAnsi="Calibri"/>
                <w:color w:val="000000"/>
              </w:rPr>
              <w:t>South Asia</w:t>
            </w:r>
          </w:p>
        </w:tc>
      </w:tr>
      <w:tr w:rsidR="00DE56CF" w14:paraId="0FDAFFF4" w14:textId="77777777" w:rsidTr="00DE56CF">
        <w:tc>
          <w:tcPr>
            <w:tcW w:w="567" w:type="dxa"/>
            <w:shd w:val="clear" w:color="auto" w:fill="auto"/>
          </w:tcPr>
          <w:p w14:paraId="18749336" w14:textId="7F7B5FD5" w:rsidR="00464FF9" w:rsidRDefault="00464FF9" w:rsidP="00844FD6">
            <w:pPr>
              <w:spacing w:after="120" w:line="240" w:lineRule="auto"/>
              <w:jc w:val="center"/>
            </w:pPr>
            <w:r>
              <w:rPr>
                <w:rFonts w:ascii="Calibri" w:hAnsi="Calibri"/>
                <w:color w:val="000000"/>
              </w:rPr>
              <w:t>53</w:t>
            </w:r>
          </w:p>
        </w:tc>
        <w:tc>
          <w:tcPr>
            <w:tcW w:w="1271" w:type="dxa"/>
            <w:shd w:val="clear" w:color="auto" w:fill="auto"/>
          </w:tcPr>
          <w:p w14:paraId="4B404D5E" w14:textId="3B187B52" w:rsidR="00464FF9" w:rsidRDefault="00464FF9" w:rsidP="00844FD6">
            <w:pPr>
              <w:spacing w:after="120" w:line="240" w:lineRule="auto"/>
              <w:jc w:val="center"/>
            </w:pPr>
            <w:r>
              <w:rPr>
                <w:rFonts w:ascii="Calibri" w:hAnsi="Calibri"/>
                <w:color w:val="000000"/>
              </w:rPr>
              <w:t>FIJ</w:t>
            </w:r>
          </w:p>
        </w:tc>
        <w:tc>
          <w:tcPr>
            <w:tcW w:w="3589" w:type="dxa"/>
            <w:shd w:val="clear" w:color="auto" w:fill="auto"/>
          </w:tcPr>
          <w:p w14:paraId="7CE4E550" w14:textId="353FC5E4" w:rsidR="00464FF9" w:rsidRDefault="00464FF9" w:rsidP="00844FD6">
            <w:pPr>
              <w:spacing w:after="120" w:line="240" w:lineRule="auto"/>
            </w:pPr>
            <w:r>
              <w:rPr>
                <w:rFonts w:ascii="Calibri" w:hAnsi="Calibri"/>
                <w:color w:val="000000"/>
              </w:rPr>
              <w:t>Fiji</w:t>
            </w:r>
          </w:p>
        </w:tc>
        <w:tc>
          <w:tcPr>
            <w:tcW w:w="3589" w:type="dxa"/>
            <w:shd w:val="clear" w:color="auto" w:fill="auto"/>
          </w:tcPr>
          <w:p w14:paraId="743E29EB" w14:textId="6A979225" w:rsidR="00464FF9" w:rsidRDefault="00464FF9" w:rsidP="00844FD6">
            <w:pPr>
              <w:spacing w:after="120" w:line="240" w:lineRule="auto"/>
            </w:pPr>
            <w:r>
              <w:rPr>
                <w:rFonts w:ascii="Calibri" w:hAnsi="Calibri"/>
                <w:color w:val="000000"/>
              </w:rPr>
              <w:t>East Asia and Pacific</w:t>
            </w:r>
          </w:p>
        </w:tc>
      </w:tr>
      <w:tr w:rsidR="00DE56CF" w14:paraId="31245E34" w14:textId="77777777" w:rsidTr="00DE56CF">
        <w:tc>
          <w:tcPr>
            <w:tcW w:w="567" w:type="dxa"/>
            <w:shd w:val="clear" w:color="auto" w:fill="auto"/>
          </w:tcPr>
          <w:p w14:paraId="5F99F68D" w14:textId="53CE78DF" w:rsidR="00464FF9" w:rsidRDefault="00464FF9" w:rsidP="00844FD6">
            <w:pPr>
              <w:spacing w:after="120" w:line="240" w:lineRule="auto"/>
              <w:jc w:val="center"/>
            </w:pPr>
            <w:r>
              <w:rPr>
                <w:rFonts w:ascii="Calibri" w:hAnsi="Calibri"/>
                <w:color w:val="000000"/>
              </w:rPr>
              <w:t>54</w:t>
            </w:r>
          </w:p>
        </w:tc>
        <w:tc>
          <w:tcPr>
            <w:tcW w:w="1271" w:type="dxa"/>
            <w:shd w:val="clear" w:color="auto" w:fill="auto"/>
          </w:tcPr>
          <w:p w14:paraId="309460EE" w14:textId="32FFDE47" w:rsidR="00464FF9" w:rsidRDefault="00464FF9" w:rsidP="00844FD6">
            <w:pPr>
              <w:spacing w:after="120" w:line="240" w:lineRule="auto"/>
              <w:jc w:val="center"/>
            </w:pPr>
            <w:r>
              <w:rPr>
                <w:rFonts w:ascii="Calibri" w:hAnsi="Calibri"/>
                <w:color w:val="000000"/>
              </w:rPr>
              <w:t>LAO</w:t>
            </w:r>
          </w:p>
        </w:tc>
        <w:tc>
          <w:tcPr>
            <w:tcW w:w="3589" w:type="dxa"/>
            <w:shd w:val="clear" w:color="auto" w:fill="auto"/>
          </w:tcPr>
          <w:p w14:paraId="47575EE8" w14:textId="1CFF066A" w:rsidR="00464FF9" w:rsidRDefault="00464FF9" w:rsidP="00844FD6">
            <w:pPr>
              <w:spacing w:after="120" w:line="240" w:lineRule="auto"/>
            </w:pPr>
            <w:r>
              <w:rPr>
                <w:rFonts w:ascii="Calibri" w:hAnsi="Calibri"/>
                <w:color w:val="000000"/>
              </w:rPr>
              <w:t>Lao People's Democratic Republic</w:t>
            </w:r>
          </w:p>
        </w:tc>
        <w:tc>
          <w:tcPr>
            <w:tcW w:w="3589" w:type="dxa"/>
            <w:shd w:val="clear" w:color="auto" w:fill="auto"/>
          </w:tcPr>
          <w:p w14:paraId="7DE0B8F4" w14:textId="7EA5C1F5" w:rsidR="00464FF9" w:rsidRDefault="00464FF9" w:rsidP="00844FD6">
            <w:pPr>
              <w:spacing w:after="120" w:line="240" w:lineRule="auto"/>
            </w:pPr>
            <w:r>
              <w:rPr>
                <w:rFonts w:ascii="Calibri" w:hAnsi="Calibri"/>
                <w:color w:val="000000"/>
              </w:rPr>
              <w:t>East Asia and Pacific</w:t>
            </w:r>
          </w:p>
        </w:tc>
      </w:tr>
      <w:tr w:rsidR="00DE56CF" w14:paraId="11C75FA2" w14:textId="77777777" w:rsidTr="00DE56CF">
        <w:tc>
          <w:tcPr>
            <w:tcW w:w="567" w:type="dxa"/>
            <w:shd w:val="clear" w:color="auto" w:fill="auto"/>
          </w:tcPr>
          <w:p w14:paraId="5B3ECA94" w14:textId="380ECFB6" w:rsidR="00464FF9" w:rsidRDefault="00464FF9" w:rsidP="00844FD6">
            <w:pPr>
              <w:spacing w:after="120" w:line="240" w:lineRule="auto"/>
              <w:jc w:val="center"/>
            </w:pPr>
            <w:r>
              <w:rPr>
                <w:rFonts w:ascii="Calibri" w:hAnsi="Calibri"/>
                <w:color w:val="000000"/>
              </w:rPr>
              <w:t>55</w:t>
            </w:r>
          </w:p>
        </w:tc>
        <w:tc>
          <w:tcPr>
            <w:tcW w:w="1271" w:type="dxa"/>
            <w:shd w:val="clear" w:color="auto" w:fill="auto"/>
          </w:tcPr>
          <w:p w14:paraId="12EE79DE" w14:textId="2B434EC3" w:rsidR="00464FF9" w:rsidRDefault="00464FF9" w:rsidP="00844FD6">
            <w:pPr>
              <w:spacing w:after="120" w:line="240" w:lineRule="auto"/>
              <w:jc w:val="center"/>
            </w:pPr>
            <w:r>
              <w:rPr>
                <w:rFonts w:ascii="Calibri" w:hAnsi="Calibri"/>
                <w:color w:val="000000"/>
              </w:rPr>
              <w:t>BRU</w:t>
            </w:r>
          </w:p>
        </w:tc>
        <w:tc>
          <w:tcPr>
            <w:tcW w:w="3589" w:type="dxa"/>
            <w:shd w:val="clear" w:color="auto" w:fill="auto"/>
          </w:tcPr>
          <w:p w14:paraId="61C5F4EA" w14:textId="503159EB" w:rsidR="00464FF9" w:rsidRDefault="00464FF9" w:rsidP="00844FD6">
            <w:pPr>
              <w:spacing w:after="120" w:line="240" w:lineRule="auto"/>
            </w:pPr>
            <w:r>
              <w:rPr>
                <w:rFonts w:ascii="Calibri" w:hAnsi="Calibri"/>
                <w:color w:val="000000"/>
              </w:rPr>
              <w:t>Brunei Darussalam</w:t>
            </w:r>
          </w:p>
        </w:tc>
        <w:tc>
          <w:tcPr>
            <w:tcW w:w="3589" w:type="dxa"/>
            <w:shd w:val="clear" w:color="auto" w:fill="auto"/>
          </w:tcPr>
          <w:p w14:paraId="0251A8DA" w14:textId="1053665D" w:rsidR="00464FF9" w:rsidRDefault="00464FF9" w:rsidP="00844FD6">
            <w:pPr>
              <w:spacing w:after="120" w:line="240" w:lineRule="auto"/>
            </w:pPr>
            <w:r>
              <w:rPr>
                <w:rFonts w:ascii="Calibri" w:hAnsi="Calibri"/>
                <w:color w:val="000000"/>
              </w:rPr>
              <w:t>East Asia and Pacific</w:t>
            </w:r>
          </w:p>
        </w:tc>
      </w:tr>
      <w:tr w:rsidR="00DE56CF" w14:paraId="163ECF3B" w14:textId="77777777" w:rsidTr="00DE56CF">
        <w:tc>
          <w:tcPr>
            <w:tcW w:w="567" w:type="dxa"/>
            <w:shd w:val="clear" w:color="auto" w:fill="auto"/>
          </w:tcPr>
          <w:p w14:paraId="28AC7251" w14:textId="6A8AB707" w:rsidR="00464FF9" w:rsidRDefault="00464FF9" w:rsidP="00844FD6">
            <w:pPr>
              <w:spacing w:after="120" w:line="240" w:lineRule="auto"/>
              <w:jc w:val="center"/>
            </w:pPr>
            <w:r>
              <w:rPr>
                <w:rFonts w:ascii="Calibri" w:hAnsi="Calibri"/>
                <w:color w:val="000000"/>
              </w:rPr>
              <w:t>56</w:t>
            </w:r>
          </w:p>
        </w:tc>
        <w:tc>
          <w:tcPr>
            <w:tcW w:w="1271" w:type="dxa"/>
            <w:shd w:val="clear" w:color="auto" w:fill="auto"/>
          </w:tcPr>
          <w:p w14:paraId="7AAA5B33" w14:textId="669C7F0D" w:rsidR="00464FF9" w:rsidRDefault="00464FF9" w:rsidP="00844FD6">
            <w:pPr>
              <w:spacing w:after="120" w:line="240" w:lineRule="auto"/>
              <w:jc w:val="center"/>
            </w:pPr>
            <w:r>
              <w:rPr>
                <w:rFonts w:ascii="Calibri" w:hAnsi="Calibri"/>
                <w:color w:val="000000"/>
              </w:rPr>
              <w:t>BHU</w:t>
            </w:r>
          </w:p>
        </w:tc>
        <w:tc>
          <w:tcPr>
            <w:tcW w:w="3589" w:type="dxa"/>
            <w:shd w:val="clear" w:color="auto" w:fill="auto"/>
          </w:tcPr>
          <w:p w14:paraId="7479A232" w14:textId="1CC30B10" w:rsidR="00464FF9" w:rsidRDefault="00464FF9" w:rsidP="00844FD6">
            <w:pPr>
              <w:spacing w:after="120" w:line="240" w:lineRule="auto"/>
            </w:pPr>
            <w:r>
              <w:rPr>
                <w:rFonts w:ascii="Calibri" w:hAnsi="Calibri"/>
                <w:color w:val="000000"/>
              </w:rPr>
              <w:t>Bhutan</w:t>
            </w:r>
          </w:p>
        </w:tc>
        <w:tc>
          <w:tcPr>
            <w:tcW w:w="3589" w:type="dxa"/>
            <w:shd w:val="clear" w:color="auto" w:fill="auto"/>
          </w:tcPr>
          <w:p w14:paraId="79503CF0" w14:textId="018C2987" w:rsidR="00464FF9" w:rsidRDefault="00464FF9" w:rsidP="00844FD6">
            <w:pPr>
              <w:spacing w:after="120" w:line="240" w:lineRule="auto"/>
            </w:pPr>
            <w:r>
              <w:rPr>
                <w:rFonts w:ascii="Calibri" w:hAnsi="Calibri"/>
                <w:color w:val="000000"/>
              </w:rPr>
              <w:t>South Asia</w:t>
            </w:r>
          </w:p>
        </w:tc>
      </w:tr>
      <w:tr w:rsidR="00DE56CF" w14:paraId="781CE377" w14:textId="77777777" w:rsidTr="00DE56CF">
        <w:tc>
          <w:tcPr>
            <w:tcW w:w="567" w:type="dxa"/>
            <w:shd w:val="clear" w:color="auto" w:fill="auto"/>
          </w:tcPr>
          <w:p w14:paraId="02A0D0A5" w14:textId="7921C2CE" w:rsidR="00464FF9" w:rsidRDefault="00464FF9" w:rsidP="00844FD6">
            <w:pPr>
              <w:spacing w:after="120" w:line="240" w:lineRule="auto"/>
              <w:jc w:val="center"/>
            </w:pPr>
            <w:r>
              <w:rPr>
                <w:rFonts w:ascii="Calibri" w:hAnsi="Calibri"/>
                <w:color w:val="000000"/>
              </w:rPr>
              <w:t>57</w:t>
            </w:r>
          </w:p>
        </w:tc>
        <w:tc>
          <w:tcPr>
            <w:tcW w:w="1271" w:type="dxa"/>
            <w:shd w:val="clear" w:color="auto" w:fill="auto"/>
          </w:tcPr>
          <w:p w14:paraId="6E7104FB" w14:textId="1F3B63D5" w:rsidR="00464FF9" w:rsidRDefault="00464FF9" w:rsidP="00844FD6">
            <w:pPr>
              <w:spacing w:after="120" w:line="240" w:lineRule="auto"/>
              <w:jc w:val="center"/>
            </w:pPr>
            <w:r>
              <w:rPr>
                <w:rFonts w:ascii="Calibri" w:hAnsi="Calibri"/>
                <w:color w:val="000000"/>
              </w:rPr>
              <w:t>KGZ</w:t>
            </w:r>
          </w:p>
        </w:tc>
        <w:tc>
          <w:tcPr>
            <w:tcW w:w="3589" w:type="dxa"/>
            <w:shd w:val="clear" w:color="auto" w:fill="auto"/>
          </w:tcPr>
          <w:p w14:paraId="00D9167D" w14:textId="44719F4C" w:rsidR="00464FF9" w:rsidRDefault="00464FF9" w:rsidP="00844FD6">
            <w:pPr>
              <w:spacing w:after="120" w:line="240" w:lineRule="auto"/>
            </w:pPr>
            <w:r>
              <w:rPr>
                <w:rFonts w:ascii="Calibri" w:hAnsi="Calibri"/>
                <w:color w:val="000000"/>
              </w:rPr>
              <w:t>Kyrgyz Republic</w:t>
            </w:r>
          </w:p>
        </w:tc>
        <w:tc>
          <w:tcPr>
            <w:tcW w:w="3589" w:type="dxa"/>
            <w:shd w:val="clear" w:color="auto" w:fill="auto"/>
          </w:tcPr>
          <w:p w14:paraId="234062D9" w14:textId="55F8F3EF" w:rsidR="00464FF9" w:rsidRDefault="00464FF9" w:rsidP="00844FD6">
            <w:pPr>
              <w:spacing w:after="120" w:line="240" w:lineRule="auto"/>
            </w:pPr>
            <w:r>
              <w:rPr>
                <w:rFonts w:ascii="Calibri" w:hAnsi="Calibri"/>
                <w:color w:val="000000"/>
              </w:rPr>
              <w:t>Europe and Central Asia</w:t>
            </w:r>
          </w:p>
        </w:tc>
      </w:tr>
      <w:tr w:rsidR="00DE56CF" w14:paraId="3D0C2129" w14:textId="77777777" w:rsidTr="00DE56CF">
        <w:tc>
          <w:tcPr>
            <w:tcW w:w="567" w:type="dxa"/>
            <w:shd w:val="clear" w:color="auto" w:fill="auto"/>
          </w:tcPr>
          <w:p w14:paraId="074F4043" w14:textId="4AB3030C" w:rsidR="00464FF9" w:rsidRDefault="00464FF9" w:rsidP="00844FD6">
            <w:pPr>
              <w:spacing w:after="120" w:line="240" w:lineRule="auto"/>
              <w:jc w:val="center"/>
            </w:pPr>
            <w:r>
              <w:rPr>
                <w:rFonts w:ascii="Calibri" w:hAnsi="Calibri"/>
                <w:color w:val="000000"/>
              </w:rPr>
              <w:t>58</w:t>
            </w:r>
          </w:p>
        </w:tc>
        <w:tc>
          <w:tcPr>
            <w:tcW w:w="1271" w:type="dxa"/>
            <w:shd w:val="clear" w:color="auto" w:fill="auto"/>
          </w:tcPr>
          <w:p w14:paraId="0660F521" w14:textId="5088BA6D" w:rsidR="00464FF9" w:rsidRDefault="00464FF9" w:rsidP="00844FD6">
            <w:pPr>
              <w:spacing w:after="120" w:line="240" w:lineRule="auto"/>
              <w:jc w:val="center"/>
            </w:pPr>
            <w:r>
              <w:rPr>
                <w:rFonts w:ascii="Calibri" w:hAnsi="Calibri"/>
                <w:color w:val="000000"/>
              </w:rPr>
              <w:t>CAM</w:t>
            </w:r>
          </w:p>
        </w:tc>
        <w:tc>
          <w:tcPr>
            <w:tcW w:w="3589" w:type="dxa"/>
            <w:shd w:val="clear" w:color="auto" w:fill="auto"/>
          </w:tcPr>
          <w:p w14:paraId="50A89B99" w14:textId="2864C3FC" w:rsidR="00464FF9" w:rsidRDefault="00464FF9" w:rsidP="00844FD6">
            <w:pPr>
              <w:spacing w:after="120" w:line="240" w:lineRule="auto"/>
            </w:pPr>
            <w:r>
              <w:rPr>
                <w:rFonts w:ascii="Calibri" w:hAnsi="Calibri"/>
                <w:color w:val="000000"/>
              </w:rPr>
              <w:t>Cambodia</w:t>
            </w:r>
          </w:p>
        </w:tc>
        <w:tc>
          <w:tcPr>
            <w:tcW w:w="3589" w:type="dxa"/>
            <w:shd w:val="clear" w:color="auto" w:fill="auto"/>
          </w:tcPr>
          <w:p w14:paraId="6F6627A7" w14:textId="3CBF72F6" w:rsidR="00464FF9" w:rsidRDefault="00464FF9" w:rsidP="00844FD6">
            <w:pPr>
              <w:spacing w:after="120" w:line="240" w:lineRule="auto"/>
            </w:pPr>
            <w:r>
              <w:rPr>
                <w:rFonts w:ascii="Calibri" w:hAnsi="Calibri"/>
                <w:color w:val="000000"/>
              </w:rPr>
              <w:t>East Asia and Pacific</w:t>
            </w:r>
          </w:p>
        </w:tc>
      </w:tr>
      <w:tr w:rsidR="00DE56CF" w14:paraId="49C39C51" w14:textId="77777777" w:rsidTr="00DE56CF">
        <w:tc>
          <w:tcPr>
            <w:tcW w:w="567" w:type="dxa"/>
            <w:shd w:val="clear" w:color="auto" w:fill="auto"/>
          </w:tcPr>
          <w:p w14:paraId="15610687" w14:textId="17AA2E19" w:rsidR="00464FF9" w:rsidRDefault="00464FF9" w:rsidP="00844FD6">
            <w:pPr>
              <w:spacing w:after="120" w:line="240" w:lineRule="auto"/>
              <w:jc w:val="center"/>
            </w:pPr>
            <w:r>
              <w:rPr>
                <w:rFonts w:ascii="Calibri" w:hAnsi="Calibri"/>
                <w:color w:val="000000"/>
              </w:rPr>
              <w:t>59</w:t>
            </w:r>
          </w:p>
        </w:tc>
        <w:tc>
          <w:tcPr>
            <w:tcW w:w="1271" w:type="dxa"/>
            <w:shd w:val="clear" w:color="auto" w:fill="auto"/>
          </w:tcPr>
          <w:p w14:paraId="46441A59" w14:textId="76B729AE" w:rsidR="00464FF9" w:rsidRDefault="00464FF9" w:rsidP="00844FD6">
            <w:pPr>
              <w:spacing w:after="120" w:line="240" w:lineRule="auto"/>
              <w:jc w:val="center"/>
            </w:pPr>
            <w:r>
              <w:rPr>
                <w:rFonts w:ascii="Calibri" w:hAnsi="Calibri"/>
                <w:color w:val="000000"/>
              </w:rPr>
              <w:t>MLD</w:t>
            </w:r>
          </w:p>
        </w:tc>
        <w:tc>
          <w:tcPr>
            <w:tcW w:w="3589" w:type="dxa"/>
            <w:shd w:val="clear" w:color="auto" w:fill="auto"/>
          </w:tcPr>
          <w:p w14:paraId="3DB38FBD" w14:textId="6BC6E5AE" w:rsidR="00464FF9" w:rsidRDefault="00464FF9" w:rsidP="00844FD6">
            <w:pPr>
              <w:spacing w:after="120" w:line="240" w:lineRule="auto"/>
            </w:pPr>
            <w:r>
              <w:rPr>
                <w:rFonts w:ascii="Calibri" w:hAnsi="Calibri"/>
                <w:color w:val="000000"/>
              </w:rPr>
              <w:t>Maldives</w:t>
            </w:r>
          </w:p>
        </w:tc>
        <w:tc>
          <w:tcPr>
            <w:tcW w:w="3589" w:type="dxa"/>
            <w:shd w:val="clear" w:color="auto" w:fill="auto"/>
          </w:tcPr>
          <w:p w14:paraId="2C9E2379" w14:textId="48662C96" w:rsidR="00464FF9" w:rsidRDefault="00464FF9" w:rsidP="00844FD6">
            <w:pPr>
              <w:spacing w:after="120" w:line="240" w:lineRule="auto"/>
            </w:pPr>
            <w:r>
              <w:rPr>
                <w:rFonts w:ascii="Calibri" w:hAnsi="Calibri"/>
                <w:color w:val="000000"/>
              </w:rPr>
              <w:t>South Asia</w:t>
            </w:r>
          </w:p>
        </w:tc>
      </w:tr>
      <w:tr w:rsidR="00DE56CF" w14:paraId="47EE4DD3" w14:textId="77777777" w:rsidTr="00DE56CF">
        <w:tc>
          <w:tcPr>
            <w:tcW w:w="567" w:type="dxa"/>
            <w:shd w:val="clear" w:color="auto" w:fill="auto"/>
          </w:tcPr>
          <w:p w14:paraId="7050B494" w14:textId="12C95162" w:rsidR="00464FF9" w:rsidRDefault="00464FF9" w:rsidP="00844FD6">
            <w:pPr>
              <w:spacing w:after="120" w:line="240" w:lineRule="auto"/>
              <w:jc w:val="center"/>
            </w:pPr>
            <w:r>
              <w:rPr>
                <w:rFonts w:ascii="Calibri" w:hAnsi="Calibri"/>
                <w:color w:val="000000"/>
              </w:rPr>
              <w:t>60</w:t>
            </w:r>
          </w:p>
        </w:tc>
        <w:tc>
          <w:tcPr>
            <w:tcW w:w="1271" w:type="dxa"/>
            <w:shd w:val="clear" w:color="auto" w:fill="auto"/>
          </w:tcPr>
          <w:p w14:paraId="632C73D8" w14:textId="5043DCBD" w:rsidR="00464FF9" w:rsidRDefault="00464FF9" w:rsidP="00844FD6">
            <w:pPr>
              <w:spacing w:after="120" w:line="240" w:lineRule="auto"/>
              <w:jc w:val="center"/>
            </w:pPr>
            <w:r>
              <w:rPr>
                <w:rFonts w:ascii="Calibri" w:hAnsi="Calibri"/>
                <w:color w:val="000000"/>
              </w:rPr>
              <w:t>NEP</w:t>
            </w:r>
          </w:p>
        </w:tc>
        <w:tc>
          <w:tcPr>
            <w:tcW w:w="3589" w:type="dxa"/>
            <w:shd w:val="clear" w:color="auto" w:fill="auto"/>
          </w:tcPr>
          <w:p w14:paraId="3B651CD5" w14:textId="56782B15" w:rsidR="00464FF9" w:rsidRDefault="00464FF9" w:rsidP="00844FD6">
            <w:pPr>
              <w:spacing w:after="120" w:line="240" w:lineRule="auto"/>
            </w:pPr>
            <w:r>
              <w:rPr>
                <w:rFonts w:ascii="Calibri" w:hAnsi="Calibri"/>
                <w:color w:val="000000"/>
              </w:rPr>
              <w:t>Nepal</w:t>
            </w:r>
          </w:p>
        </w:tc>
        <w:tc>
          <w:tcPr>
            <w:tcW w:w="3589" w:type="dxa"/>
            <w:shd w:val="clear" w:color="auto" w:fill="auto"/>
          </w:tcPr>
          <w:p w14:paraId="310FD86B" w14:textId="5B199819" w:rsidR="00464FF9" w:rsidRDefault="00464FF9" w:rsidP="00844FD6">
            <w:pPr>
              <w:spacing w:after="120" w:line="240" w:lineRule="auto"/>
            </w:pPr>
            <w:r>
              <w:rPr>
                <w:rFonts w:ascii="Calibri" w:hAnsi="Calibri"/>
                <w:color w:val="000000"/>
              </w:rPr>
              <w:t>South Asia</w:t>
            </w:r>
          </w:p>
        </w:tc>
      </w:tr>
      <w:tr w:rsidR="00DE56CF" w14:paraId="38A2A397" w14:textId="77777777" w:rsidTr="00DE56CF">
        <w:tc>
          <w:tcPr>
            <w:tcW w:w="567" w:type="dxa"/>
            <w:shd w:val="clear" w:color="auto" w:fill="auto"/>
          </w:tcPr>
          <w:p w14:paraId="1C2C6009" w14:textId="7FECDE41" w:rsidR="00464FF9" w:rsidRDefault="00464FF9" w:rsidP="00844FD6">
            <w:pPr>
              <w:spacing w:after="120" w:line="240" w:lineRule="auto"/>
              <w:jc w:val="center"/>
            </w:pPr>
            <w:r>
              <w:rPr>
                <w:rFonts w:ascii="Calibri" w:hAnsi="Calibri"/>
                <w:color w:val="000000"/>
              </w:rPr>
              <w:t>61</w:t>
            </w:r>
          </w:p>
        </w:tc>
        <w:tc>
          <w:tcPr>
            <w:tcW w:w="1271" w:type="dxa"/>
            <w:shd w:val="clear" w:color="auto" w:fill="auto"/>
          </w:tcPr>
          <w:p w14:paraId="6D6CFE93" w14:textId="3D176863" w:rsidR="00464FF9" w:rsidRDefault="00464FF9" w:rsidP="00844FD6">
            <w:pPr>
              <w:spacing w:after="120" w:line="240" w:lineRule="auto"/>
              <w:jc w:val="center"/>
            </w:pPr>
            <w:r>
              <w:rPr>
                <w:rFonts w:ascii="Calibri" w:hAnsi="Calibri"/>
                <w:color w:val="000000"/>
              </w:rPr>
              <w:t>SIN</w:t>
            </w:r>
          </w:p>
        </w:tc>
        <w:tc>
          <w:tcPr>
            <w:tcW w:w="3589" w:type="dxa"/>
            <w:shd w:val="clear" w:color="auto" w:fill="auto"/>
          </w:tcPr>
          <w:p w14:paraId="096F4E48" w14:textId="460C72B5" w:rsidR="00464FF9" w:rsidRDefault="00464FF9" w:rsidP="00844FD6">
            <w:pPr>
              <w:spacing w:after="120" w:line="240" w:lineRule="auto"/>
            </w:pPr>
            <w:r>
              <w:rPr>
                <w:rFonts w:ascii="Calibri" w:hAnsi="Calibri"/>
                <w:color w:val="000000"/>
              </w:rPr>
              <w:t>Singapore</w:t>
            </w:r>
          </w:p>
        </w:tc>
        <w:tc>
          <w:tcPr>
            <w:tcW w:w="3589" w:type="dxa"/>
            <w:shd w:val="clear" w:color="auto" w:fill="auto"/>
          </w:tcPr>
          <w:p w14:paraId="0E1AE3D2" w14:textId="6699744D" w:rsidR="00464FF9" w:rsidRDefault="00464FF9" w:rsidP="00844FD6">
            <w:pPr>
              <w:spacing w:after="120" w:line="240" w:lineRule="auto"/>
            </w:pPr>
            <w:r>
              <w:rPr>
                <w:rFonts w:ascii="Calibri" w:hAnsi="Calibri"/>
                <w:color w:val="000000"/>
              </w:rPr>
              <w:t>East Asia and Pacific</w:t>
            </w:r>
          </w:p>
        </w:tc>
      </w:tr>
      <w:tr w:rsidR="00DE56CF" w14:paraId="3D117494" w14:textId="77777777" w:rsidTr="00DE56CF">
        <w:tc>
          <w:tcPr>
            <w:tcW w:w="567" w:type="dxa"/>
            <w:shd w:val="clear" w:color="auto" w:fill="auto"/>
          </w:tcPr>
          <w:p w14:paraId="526AA974" w14:textId="280F930D" w:rsidR="00464FF9" w:rsidRDefault="00464FF9" w:rsidP="00844FD6">
            <w:pPr>
              <w:spacing w:after="120" w:line="240" w:lineRule="auto"/>
              <w:jc w:val="center"/>
            </w:pPr>
            <w:r>
              <w:rPr>
                <w:rFonts w:ascii="Calibri" w:hAnsi="Calibri"/>
                <w:color w:val="000000"/>
              </w:rPr>
              <w:t>62</w:t>
            </w:r>
          </w:p>
        </w:tc>
        <w:tc>
          <w:tcPr>
            <w:tcW w:w="1271" w:type="dxa"/>
            <w:shd w:val="clear" w:color="auto" w:fill="auto"/>
          </w:tcPr>
          <w:p w14:paraId="60F3998F" w14:textId="788934D5" w:rsidR="00464FF9" w:rsidRDefault="00464FF9" w:rsidP="00844FD6">
            <w:pPr>
              <w:spacing w:after="120" w:line="240" w:lineRule="auto"/>
              <w:jc w:val="center"/>
            </w:pPr>
            <w:r>
              <w:rPr>
                <w:rFonts w:ascii="Calibri" w:hAnsi="Calibri"/>
                <w:color w:val="000000"/>
              </w:rPr>
              <w:t>HKG</w:t>
            </w:r>
          </w:p>
        </w:tc>
        <w:tc>
          <w:tcPr>
            <w:tcW w:w="3589" w:type="dxa"/>
            <w:shd w:val="clear" w:color="auto" w:fill="auto"/>
          </w:tcPr>
          <w:p w14:paraId="7C56FBA8" w14:textId="42BCCAC9" w:rsidR="00464FF9" w:rsidRDefault="00464FF9" w:rsidP="00844FD6">
            <w:pPr>
              <w:spacing w:after="120" w:line="240" w:lineRule="auto"/>
            </w:pPr>
            <w:r>
              <w:rPr>
                <w:rFonts w:ascii="Calibri" w:hAnsi="Calibri"/>
                <w:color w:val="000000"/>
              </w:rPr>
              <w:t>Hong Kong, China</w:t>
            </w:r>
          </w:p>
        </w:tc>
        <w:tc>
          <w:tcPr>
            <w:tcW w:w="3589" w:type="dxa"/>
            <w:shd w:val="clear" w:color="auto" w:fill="auto"/>
          </w:tcPr>
          <w:p w14:paraId="30014DC6" w14:textId="5FBC6127" w:rsidR="00464FF9" w:rsidRDefault="00464FF9" w:rsidP="00844FD6">
            <w:pPr>
              <w:spacing w:after="120" w:line="240" w:lineRule="auto"/>
            </w:pPr>
            <w:r>
              <w:rPr>
                <w:rFonts w:ascii="Calibri" w:hAnsi="Calibri"/>
                <w:color w:val="000000"/>
              </w:rPr>
              <w:t>East Asia and Pacific</w:t>
            </w:r>
          </w:p>
        </w:tc>
      </w:tr>
      <w:tr w:rsidR="00DE56CF" w14:paraId="7839721B" w14:textId="77777777" w:rsidTr="00DE56CF">
        <w:tc>
          <w:tcPr>
            <w:tcW w:w="567" w:type="dxa"/>
            <w:shd w:val="clear" w:color="auto" w:fill="auto"/>
          </w:tcPr>
          <w:p w14:paraId="61B22ED3" w14:textId="711536C9" w:rsidR="00464FF9" w:rsidRDefault="00464FF9" w:rsidP="00844FD6">
            <w:pPr>
              <w:spacing w:after="120" w:line="240" w:lineRule="auto"/>
              <w:jc w:val="center"/>
            </w:pPr>
            <w:r>
              <w:rPr>
                <w:rFonts w:ascii="Calibri" w:hAnsi="Calibri"/>
                <w:color w:val="000000"/>
              </w:rPr>
              <w:t>63</w:t>
            </w:r>
          </w:p>
        </w:tc>
        <w:tc>
          <w:tcPr>
            <w:tcW w:w="1271" w:type="dxa"/>
            <w:shd w:val="clear" w:color="auto" w:fill="auto"/>
          </w:tcPr>
          <w:p w14:paraId="0BBB456C" w14:textId="55E3BB1F" w:rsidR="00464FF9" w:rsidRDefault="00464FF9" w:rsidP="00844FD6">
            <w:pPr>
              <w:spacing w:after="120" w:line="240" w:lineRule="auto"/>
              <w:jc w:val="center"/>
            </w:pPr>
            <w:r>
              <w:rPr>
                <w:rFonts w:ascii="Calibri" w:hAnsi="Calibri"/>
                <w:color w:val="000000"/>
              </w:rPr>
              <w:t>ROW</w:t>
            </w:r>
          </w:p>
        </w:tc>
        <w:tc>
          <w:tcPr>
            <w:tcW w:w="3589" w:type="dxa"/>
            <w:shd w:val="clear" w:color="auto" w:fill="auto"/>
          </w:tcPr>
          <w:p w14:paraId="2A6301E0" w14:textId="1C8E8914" w:rsidR="00464FF9" w:rsidRDefault="00464FF9" w:rsidP="00844FD6">
            <w:pPr>
              <w:spacing w:after="120" w:line="240" w:lineRule="auto"/>
            </w:pPr>
            <w:r>
              <w:rPr>
                <w:rFonts w:ascii="Calibri" w:hAnsi="Calibri"/>
                <w:color w:val="000000"/>
              </w:rPr>
              <w:t>Rest of the world</w:t>
            </w:r>
          </w:p>
        </w:tc>
        <w:tc>
          <w:tcPr>
            <w:tcW w:w="3589" w:type="dxa"/>
            <w:shd w:val="clear" w:color="auto" w:fill="auto"/>
          </w:tcPr>
          <w:p w14:paraId="334BA659" w14:textId="232D7E90" w:rsidR="00464FF9" w:rsidRDefault="00464FF9" w:rsidP="00844FD6">
            <w:pPr>
              <w:spacing w:after="120" w:line="240" w:lineRule="auto"/>
            </w:pPr>
            <w:r>
              <w:rPr>
                <w:rFonts w:ascii="Calibri" w:hAnsi="Calibri"/>
                <w:color w:val="000000"/>
              </w:rPr>
              <w:t>South Asia</w:t>
            </w:r>
          </w:p>
        </w:tc>
      </w:tr>
    </w:tbl>
    <w:p w14:paraId="636BFA9F" w14:textId="585B533C" w:rsidR="00C96BEB" w:rsidRDefault="000000F5" w:rsidP="00C5783A">
      <w:pPr>
        <w:pStyle w:val="NotesAbbreviations"/>
      </w:pPr>
      <w:r>
        <w:t>ADB = Asian Development Bank</w:t>
      </w:r>
      <w:r w:rsidR="001D3CF5">
        <w:t xml:space="preserve">. </w:t>
      </w:r>
    </w:p>
    <w:p w14:paraId="59ACC820" w14:textId="742B3CB9" w:rsidR="00A91782" w:rsidRDefault="00A91782" w:rsidP="00A91782">
      <w:pPr>
        <w:pStyle w:val="NotesBottom"/>
      </w:pPr>
      <w:r>
        <w:t xml:space="preserve">Source: </w:t>
      </w:r>
      <w:r>
        <w:tab/>
        <w:t xml:space="preserve">Asian Development Bank. Multiregional Input–Output Database. </w:t>
      </w:r>
      <w:r w:rsidRPr="0004229A">
        <w:t>https://mrio.adbx.online</w:t>
      </w:r>
      <w:r>
        <w:t xml:space="preserve"> (accessed 1 August 2021)</w:t>
      </w:r>
      <w:r w:rsidR="00D43536">
        <w:t>.</w:t>
      </w:r>
    </w:p>
    <w:p w14:paraId="2224564B" w14:textId="77777777" w:rsidR="00620829" w:rsidRDefault="00620829">
      <w:pPr>
        <w:spacing w:after="0" w:line="240" w:lineRule="auto"/>
        <w:rPr>
          <w:b/>
          <w:iCs/>
          <w:color w:val="000000" w:themeColor="text1"/>
          <w:szCs w:val="18"/>
        </w:rPr>
      </w:pPr>
      <w:r>
        <w:br w:type="page"/>
      </w:r>
    </w:p>
    <w:p w14:paraId="66417794" w14:textId="26F8EBD1" w:rsidR="00C96BEB" w:rsidRDefault="004F7E9B" w:rsidP="004F7E9B">
      <w:pPr>
        <w:pStyle w:val="Caption"/>
      </w:pPr>
      <w:bookmarkStart w:id="85" w:name="_Toc141647950"/>
      <w:r>
        <w:lastRenderedPageBreak/>
        <w:t>Table A</w:t>
      </w:r>
      <w:fldSimple w:instr=" SEQ Table \* ARABIC ">
        <w:r w:rsidR="00F03ADA">
          <w:rPr>
            <w:noProof/>
          </w:rPr>
          <w:t>2</w:t>
        </w:r>
      </w:fldSimple>
      <w:r>
        <w:t>:</w:t>
      </w:r>
      <w:r w:rsidR="00507784">
        <w:t xml:space="preserve"> </w:t>
      </w:r>
      <w:r>
        <w:t xml:space="preserve">Sectors in the ADB </w:t>
      </w:r>
      <w:r w:rsidR="001D3CF5">
        <w:t>Multiregional Input–Output Database</w:t>
      </w:r>
      <w:bookmarkEnd w:id="85"/>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
        <w:gridCol w:w="3976"/>
        <w:gridCol w:w="2076"/>
        <w:gridCol w:w="708"/>
        <w:gridCol w:w="1727"/>
      </w:tblGrid>
      <w:tr w:rsidR="00AD00A7" w14:paraId="403970FD" w14:textId="77777777" w:rsidTr="00DE56CF">
        <w:trPr>
          <w:trHeight w:val="413"/>
        </w:trPr>
        <w:tc>
          <w:tcPr>
            <w:tcW w:w="529" w:type="dxa"/>
            <w:tcBorders>
              <w:top w:val="single" w:sz="4" w:space="0" w:color="auto"/>
              <w:bottom w:val="single" w:sz="4" w:space="0" w:color="auto"/>
            </w:tcBorders>
            <w:shd w:val="clear" w:color="auto" w:fill="auto"/>
            <w:vAlign w:val="center"/>
          </w:tcPr>
          <w:p w14:paraId="7B7DFC7B" w14:textId="7D80FF48" w:rsidR="0093221A" w:rsidRPr="0000766B" w:rsidRDefault="00536B87" w:rsidP="00B74741">
            <w:pPr>
              <w:spacing w:after="0"/>
              <w:jc w:val="center"/>
              <w:rPr>
                <w:b/>
                <w:bCs/>
              </w:rPr>
            </w:pPr>
            <w:r w:rsidRPr="0000766B">
              <w:rPr>
                <w:b/>
                <w:bCs/>
              </w:rPr>
              <w:t>ID</w:t>
            </w:r>
          </w:p>
        </w:tc>
        <w:tc>
          <w:tcPr>
            <w:tcW w:w="3976" w:type="dxa"/>
            <w:tcBorders>
              <w:top w:val="single" w:sz="4" w:space="0" w:color="auto"/>
              <w:bottom w:val="single" w:sz="4" w:space="0" w:color="auto"/>
            </w:tcBorders>
            <w:shd w:val="clear" w:color="auto" w:fill="auto"/>
            <w:vAlign w:val="center"/>
          </w:tcPr>
          <w:p w14:paraId="2B4BFC9C" w14:textId="5DD28B17" w:rsidR="0093221A" w:rsidRPr="0000766B" w:rsidRDefault="00536B87" w:rsidP="00B74741">
            <w:pPr>
              <w:spacing w:after="0"/>
              <w:rPr>
                <w:b/>
                <w:bCs/>
              </w:rPr>
            </w:pPr>
            <w:r w:rsidRPr="0000766B">
              <w:rPr>
                <w:b/>
                <w:bCs/>
              </w:rPr>
              <w:t>Name</w:t>
            </w:r>
          </w:p>
        </w:tc>
        <w:tc>
          <w:tcPr>
            <w:tcW w:w="2076" w:type="dxa"/>
            <w:tcBorders>
              <w:top w:val="single" w:sz="4" w:space="0" w:color="auto"/>
              <w:bottom w:val="single" w:sz="4" w:space="0" w:color="auto"/>
            </w:tcBorders>
            <w:shd w:val="clear" w:color="auto" w:fill="auto"/>
            <w:vAlign w:val="center"/>
          </w:tcPr>
          <w:p w14:paraId="1D26C551" w14:textId="0204CE98" w:rsidR="0093221A" w:rsidRPr="0000766B" w:rsidRDefault="00536B87" w:rsidP="00B74741">
            <w:pPr>
              <w:spacing w:after="0"/>
              <w:rPr>
                <w:b/>
                <w:bCs/>
              </w:rPr>
            </w:pPr>
            <w:r w:rsidRPr="0000766B">
              <w:rPr>
                <w:b/>
                <w:bCs/>
              </w:rPr>
              <w:t>Short Name</w:t>
            </w:r>
          </w:p>
        </w:tc>
        <w:tc>
          <w:tcPr>
            <w:tcW w:w="708" w:type="dxa"/>
            <w:tcBorders>
              <w:top w:val="single" w:sz="4" w:space="0" w:color="auto"/>
              <w:bottom w:val="single" w:sz="4" w:space="0" w:color="auto"/>
            </w:tcBorders>
            <w:shd w:val="clear" w:color="auto" w:fill="auto"/>
            <w:vAlign w:val="center"/>
          </w:tcPr>
          <w:p w14:paraId="736C6354" w14:textId="111465D6" w:rsidR="0093221A" w:rsidRPr="0000766B" w:rsidRDefault="00536B87" w:rsidP="00B74741">
            <w:pPr>
              <w:spacing w:after="0"/>
              <w:jc w:val="center"/>
              <w:rPr>
                <w:b/>
                <w:bCs/>
              </w:rPr>
            </w:pPr>
            <w:r w:rsidRPr="0000766B">
              <w:rPr>
                <w:b/>
                <w:bCs/>
              </w:rPr>
              <w:t>Code</w:t>
            </w:r>
          </w:p>
        </w:tc>
        <w:tc>
          <w:tcPr>
            <w:tcW w:w="1727" w:type="dxa"/>
            <w:tcBorders>
              <w:top w:val="single" w:sz="4" w:space="0" w:color="auto"/>
              <w:bottom w:val="single" w:sz="4" w:space="0" w:color="auto"/>
            </w:tcBorders>
            <w:shd w:val="clear" w:color="auto" w:fill="auto"/>
            <w:vAlign w:val="center"/>
          </w:tcPr>
          <w:p w14:paraId="202B827B" w14:textId="0F243C97" w:rsidR="0093221A" w:rsidRPr="0000766B" w:rsidRDefault="00536B87" w:rsidP="00D15081">
            <w:pPr>
              <w:spacing w:after="0"/>
              <w:jc w:val="center"/>
              <w:rPr>
                <w:b/>
                <w:bCs/>
              </w:rPr>
            </w:pPr>
            <w:r w:rsidRPr="0000766B">
              <w:rPr>
                <w:b/>
                <w:bCs/>
              </w:rPr>
              <w:t>ISIC 3.1</w:t>
            </w:r>
          </w:p>
        </w:tc>
      </w:tr>
      <w:tr w:rsidR="00AD00A7" w14:paraId="33B6BD48" w14:textId="77777777" w:rsidTr="00DE56CF">
        <w:tc>
          <w:tcPr>
            <w:tcW w:w="529" w:type="dxa"/>
            <w:tcBorders>
              <w:top w:val="single" w:sz="4" w:space="0" w:color="auto"/>
            </w:tcBorders>
            <w:shd w:val="clear" w:color="auto" w:fill="auto"/>
          </w:tcPr>
          <w:p w14:paraId="76B07E9C" w14:textId="0205F721" w:rsidR="0093221A" w:rsidRDefault="0093221A" w:rsidP="00CE7C36">
            <w:pPr>
              <w:spacing w:after="120" w:line="240" w:lineRule="auto"/>
              <w:jc w:val="center"/>
            </w:pPr>
            <w:r>
              <w:rPr>
                <w:rFonts w:ascii="Calibri" w:hAnsi="Calibri"/>
                <w:color w:val="000000"/>
              </w:rPr>
              <w:t>1</w:t>
            </w:r>
          </w:p>
        </w:tc>
        <w:tc>
          <w:tcPr>
            <w:tcW w:w="3976" w:type="dxa"/>
            <w:tcBorders>
              <w:top w:val="single" w:sz="4" w:space="0" w:color="auto"/>
            </w:tcBorders>
            <w:shd w:val="clear" w:color="auto" w:fill="auto"/>
          </w:tcPr>
          <w:p w14:paraId="6BF62BAB" w14:textId="39E65D2B" w:rsidR="0093221A" w:rsidRDefault="0093221A" w:rsidP="00CE7C36">
            <w:pPr>
              <w:spacing w:after="120" w:line="240" w:lineRule="auto"/>
            </w:pPr>
            <w:r>
              <w:rPr>
                <w:rFonts w:ascii="Calibri" w:hAnsi="Calibri"/>
                <w:color w:val="000000"/>
              </w:rPr>
              <w:t>Agriculture, hunting, forestry and fishing</w:t>
            </w:r>
          </w:p>
        </w:tc>
        <w:tc>
          <w:tcPr>
            <w:tcW w:w="2076" w:type="dxa"/>
            <w:tcBorders>
              <w:top w:val="single" w:sz="4" w:space="0" w:color="auto"/>
            </w:tcBorders>
            <w:shd w:val="clear" w:color="auto" w:fill="auto"/>
          </w:tcPr>
          <w:p w14:paraId="5DF628D8" w14:textId="55910C98" w:rsidR="0093221A" w:rsidRDefault="0093221A" w:rsidP="00CE7C36">
            <w:pPr>
              <w:spacing w:after="120" w:line="240" w:lineRule="auto"/>
            </w:pPr>
            <w:r>
              <w:rPr>
                <w:rFonts w:ascii="Calibri" w:hAnsi="Calibri"/>
                <w:color w:val="000000"/>
              </w:rPr>
              <w:t>Agriculture</w:t>
            </w:r>
          </w:p>
        </w:tc>
        <w:tc>
          <w:tcPr>
            <w:tcW w:w="708" w:type="dxa"/>
            <w:tcBorders>
              <w:top w:val="single" w:sz="4" w:space="0" w:color="auto"/>
            </w:tcBorders>
            <w:shd w:val="clear" w:color="auto" w:fill="auto"/>
          </w:tcPr>
          <w:p w14:paraId="4789CBB2" w14:textId="389D091F" w:rsidR="0093221A" w:rsidRDefault="0093221A" w:rsidP="00CE7C36">
            <w:pPr>
              <w:spacing w:after="120" w:line="240" w:lineRule="auto"/>
              <w:jc w:val="center"/>
            </w:pPr>
            <w:r>
              <w:rPr>
                <w:rFonts w:ascii="Calibri" w:hAnsi="Calibri"/>
                <w:color w:val="000000"/>
              </w:rPr>
              <w:t>AHF</w:t>
            </w:r>
          </w:p>
        </w:tc>
        <w:tc>
          <w:tcPr>
            <w:tcW w:w="1727" w:type="dxa"/>
            <w:tcBorders>
              <w:top w:val="single" w:sz="4" w:space="0" w:color="auto"/>
            </w:tcBorders>
            <w:shd w:val="clear" w:color="auto" w:fill="auto"/>
          </w:tcPr>
          <w:p w14:paraId="0C5854B8" w14:textId="37EE067D" w:rsidR="0093221A" w:rsidRDefault="009161F1" w:rsidP="00CE7C36">
            <w:pPr>
              <w:spacing w:after="120" w:line="240" w:lineRule="auto"/>
              <w:jc w:val="center"/>
            </w:pPr>
            <w:r>
              <w:t>A–B</w:t>
            </w:r>
          </w:p>
        </w:tc>
      </w:tr>
      <w:tr w:rsidR="00AD00A7" w14:paraId="661BBA27" w14:textId="77777777" w:rsidTr="00DE56CF">
        <w:tc>
          <w:tcPr>
            <w:tcW w:w="529" w:type="dxa"/>
            <w:shd w:val="clear" w:color="auto" w:fill="auto"/>
          </w:tcPr>
          <w:p w14:paraId="048853F8" w14:textId="7B73C54C" w:rsidR="0093221A" w:rsidRDefault="0093221A" w:rsidP="00CE7C36">
            <w:pPr>
              <w:spacing w:after="120" w:line="240" w:lineRule="auto"/>
              <w:jc w:val="center"/>
            </w:pPr>
            <w:r>
              <w:rPr>
                <w:rFonts w:ascii="Calibri" w:hAnsi="Calibri"/>
                <w:color w:val="000000"/>
              </w:rPr>
              <w:t>2</w:t>
            </w:r>
          </w:p>
        </w:tc>
        <w:tc>
          <w:tcPr>
            <w:tcW w:w="3976" w:type="dxa"/>
            <w:shd w:val="clear" w:color="auto" w:fill="auto"/>
          </w:tcPr>
          <w:p w14:paraId="7D09F847" w14:textId="2364E90D" w:rsidR="0093221A" w:rsidRDefault="0093221A" w:rsidP="00CE7C36">
            <w:pPr>
              <w:spacing w:after="120" w:line="240" w:lineRule="auto"/>
            </w:pPr>
            <w:r>
              <w:rPr>
                <w:rFonts w:ascii="Calibri" w:hAnsi="Calibri"/>
                <w:color w:val="000000"/>
              </w:rPr>
              <w:t>Mining and quarrying</w:t>
            </w:r>
          </w:p>
        </w:tc>
        <w:tc>
          <w:tcPr>
            <w:tcW w:w="2076" w:type="dxa"/>
            <w:shd w:val="clear" w:color="auto" w:fill="auto"/>
          </w:tcPr>
          <w:p w14:paraId="0286BBED" w14:textId="714D55B0" w:rsidR="0093221A" w:rsidRDefault="0093221A" w:rsidP="00CE7C36">
            <w:pPr>
              <w:spacing w:after="120" w:line="240" w:lineRule="auto"/>
            </w:pPr>
            <w:r>
              <w:rPr>
                <w:rFonts w:ascii="Calibri" w:hAnsi="Calibri"/>
                <w:color w:val="000000"/>
              </w:rPr>
              <w:t>Mining</w:t>
            </w:r>
          </w:p>
        </w:tc>
        <w:tc>
          <w:tcPr>
            <w:tcW w:w="708" w:type="dxa"/>
            <w:shd w:val="clear" w:color="auto" w:fill="auto"/>
          </w:tcPr>
          <w:p w14:paraId="05E41797" w14:textId="3EDD2318" w:rsidR="0093221A" w:rsidRDefault="0093221A" w:rsidP="00CE7C36">
            <w:pPr>
              <w:spacing w:after="120" w:line="240" w:lineRule="auto"/>
              <w:jc w:val="center"/>
            </w:pPr>
            <w:r>
              <w:rPr>
                <w:rFonts w:ascii="Calibri" w:hAnsi="Calibri"/>
                <w:color w:val="000000"/>
              </w:rPr>
              <w:t>MIN</w:t>
            </w:r>
          </w:p>
        </w:tc>
        <w:tc>
          <w:tcPr>
            <w:tcW w:w="1727" w:type="dxa"/>
            <w:shd w:val="clear" w:color="auto" w:fill="auto"/>
          </w:tcPr>
          <w:p w14:paraId="1A69C0F2" w14:textId="417BCD37" w:rsidR="0093221A" w:rsidRDefault="009161F1" w:rsidP="00CE7C36">
            <w:pPr>
              <w:spacing w:after="120" w:line="240" w:lineRule="auto"/>
              <w:jc w:val="center"/>
            </w:pPr>
            <w:r>
              <w:t>C</w:t>
            </w:r>
          </w:p>
        </w:tc>
      </w:tr>
      <w:tr w:rsidR="00AD00A7" w14:paraId="40D6BB63" w14:textId="77777777" w:rsidTr="00DE56CF">
        <w:tc>
          <w:tcPr>
            <w:tcW w:w="529" w:type="dxa"/>
            <w:shd w:val="clear" w:color="auto" w:fill="auto"/>
          </w:tcPr>
          <w:p w14:paraId="50C1483D" w14:textId="449827C2" w:rsidR="0093221A" w:rsidRDefault="0093221A" w:rsidP="00CE7C36">
            <w:pPr>
              <w:spacing w:after="120" w:line="240" w:lineRule="auto"/>
              <w:jc w:val="center"/>
            </w:pPr>
            <w:r>
              <w:rPr>
                <w:rFonts w:ascii="Calibri" w:hAnsi="Calibri"/>
                <w:color w:val="000000"/>
              </w:rPr>
              <w:t>3</w:t>
            </w:r>
          </w:p>
        </w:tc>
        <w:tc>
          <w:tcPr>
            <w:tcW w:w="3976" w:type="dxa"/>
            <w:shd w:val="clear" w:color="auto" w:fill="auto"/>
          </w:tcPr>
          <w:p w14:paraId="21FD3B0E" w14:textId="1C3A27BA" w:rsidR="0093221A" w:rsidRDefault="0093221A" w:rsidP="00CE7C36">
            <w:pPr>
              <w:spacing w:after="120" w:line="240" w:lineRule="auto"/>
            </w:pPr>
            <w:r>
              <w:rPr>
                <w:rFonts w:ascii="Calibri" w:hAnsi="Calibri"/>
                <w:color w:val="000000"/>
              </w:rPr>
              <w:t>Food, beverages and tobacco</w:t>
            </w:r>
          </w:p>
        </w:tc>
        <w:tc>
          <w:tcPr>
            <w:tcW w:w="2076" w:type="dxa"/>
            <w:shd w:val="clear" w:color="auto" w:fill="auto"/>
          </w:tcPr>
          <w:p w14:paraId="0ACF5B56" w14:textId="7E12D3C6" w:rsidR="0093221A" w:rsidRDefault="0093221A" w:rsidP="00CE7C36">
            <w:pPr>
              <w:spacing w:after="120" w:line="240" w:lineRule="auto"/>
            </w:pPr>
            <w:r>
              <w:rPr>
                <w:rFonts w:ascii="Calibri" w:hAnsi="Calibri"/>
                <w:color w:val="000000"/>
              </w:rPr>
              <w:t>Food &amp; beverages</w:t>
            </w:r>
          </w:p>
        </w:tc>
        <w:tc>
          <w:tcPr>
            <w:tcW w:w="708" w:type="dxa"/>
            <w:shd w:val="clear" w:color="auto" w:fill="auto"/>
          </w:tcPr>
          <w:p w14:paraId="4FEF9E26" w14:textId="33533E87" w:rsidR="0093221A" w:rsidRDefault="0093221A" w:rsidP="00CE7C36">
            <w:pPr>
              <w:spacing w:after="120" w:line="240" w:lineRule="auto"/>
              <w:jc w:val="center"/>
            </w:pPr>
            <w:r>
              <w:rPr>
                <w:rFonts w:ascii="Calibri" w:hAnsi="Calibri"/>
                <w:color w:val="000000"/>
              </w:rPr>
              <w:t>FBT</w:t>
            </w:r>
          </w:p>
        </w:tc>
        <w:tc>
          <w:tcPr>
            <w:tcW w:w="1727" w:type="dxa"/>
            <w:shd w:val="clear" w:color="auto" w:fill="auto"/>
          </w:tcPr>
          <w:p w14:paraId="36930294" w14:textId="0194EE0B" w:rsidR="0093221A" w:rsidRDefault="009161F1" w:rsidP="00CE7C36">
            <w:pPr>
              <w:spacing w:after="120" w:line="240" w:lineRule="auto"/>
              <w:jc w:val="center"/>
            </w:pPr>
            <w:r>
              <w:t>D15–16</w:t>
            </w:r>
          </w:p>
        </w:tc>
      </w:tr>
      <w:tr w:rsidR="00AD00A7" w14:paraId="2FE69390" w14:textId="77777777" w:rsidTr="00DE56CF">
        <w:tc>
          <w:tcPr>
            <w:tcW w:w="529" w:type="dxa"/>
            <w:shd w:val="clear" w:color="auto" w:fill="auto"/>
          </w:tcPr>
          <w:p w14:paraId="08DF93B8" w14:textId="1B929497" w:rsidR="0093221A" w:rsidRDefault="0093221A" w:rsidP="00CE7C36">
            <w:pPr>
              <w:spacing w:after="120" w:line="240" w:lineRule="auto"/>
              <w:jc w:val="center"/>
            </w:pPr>
            <w:r>
              <w:rPr>
                <w:rFonts w:ascii="Calibri" w:hAnsi="Calibri"/>
                <w:color w:val="000000"/>
              </w:rPr>
              <w:t>4</w:t>
            </w:r>
          </w:p>
        </w:tc>
        <w:tc>
          <w:tcPr>
            <w:tcW w:w="3976" w:type="dxa"/>
            <w:shd w:val="clear" w:color="auto" w:fill="auto"/>
          </w:tcPr>
          <w:p w14:paraId="0432A9A7" w14:textId="615B2CA3" w:rsidR="0093221A" w:rsidRDefault="0093221A" w:rsidP="00CE7C36">
            <w:pPr>
              <w:spacing w:after="120" w:line="240" w:lineRule="auto"/>
            </w:pPr>
            <w:r>
              <w:rPr>
                <w:rFonts w:ascii="Calibri" w:hAnsi="Calibri"/>
                <w:color w:val="000000"/>
              </w:rPr>
              <w:t>Textiles and textile products</w:t>
            </w:r>
          </w:p>
        </w:tc>
        <w:tc>
          <w:tcPr>
            <w:tcW w:w="2076" w:type="dxa"/>
            <w:shd w:val="clear" w:color="auto" w:fill="auto"/>
          </w:tcPr>
          <w:p w14:paraId="26A31ACD" w14:textId="01CC4382" w:rsidR="0093221A" w:rsidRDefault="0093221A" w:rsidP="00CE7C36">
            <w:pPr>
              <w:spacing w:after="120" w:line="240" w:lineRule="auto"/>
            </w:pPr>
            <w:r>
              <w:rPr>
                <w:rFonts w:ascii="Calibri" w:hAnsi="Calibri"/>
                <w:color w:val="000000"/>
              </w:rPr>
              <w:t>Textiles</w:t>
            </w:r>
          </w:p>
        </w:tc>
        <w:tc>
          <w:tcPr>
            <w:tcW w:w="708" w:type="dxa"/>
            <w:shd w:val="clear" w:color="auto" w:fill="auto"/>
          </w:tcPr>
          <w:p w14:paraId="5A47E79D" w14:textId="144680FC" w:rsidR="0093221A" w:rsidRDefault="0093221A" w:rsidP="00CE7C36">
            <w:pPr>
              <w:spacing w:after="120" w:line="240" w:lineRule="auto"/>
              <w:jc w:val="center"/>
            </w:pPr>
            <w:r>
              <w:rPr>
                <w:rFonts w:ascii="Calibri" w:hAnsi="Calibri"/>
                <w:color w:val="000000"/>
              </w:rPr>
              <w:t>TEX</w:t>
            </w:r>
          </w:p>
        </w:tc>
        <w:tc>
          <w:tcPr>
            <w:tcW w:w="1727" w:type="dxa"/>
            <w:shd w:val="clear" w:color="auto" w:fill="auto"/>
          </w:tcPr>
          <w:p w14:paraId="138D5445" w14:textId="4E2F6117" w:rsidR="0093221A" w:rsidRDefault="009161F1" w:rsidP="00CE7C36">
            <w:pPr>
              <w:spacing w:after="120" w:line="240" w:lineRule="auto"/>
              <w:jc w:val="center"/>
            </w:pPr>
            <w:r>
              <w:t>D17–18</w:t>
            </w:r>
          </w:p>
        </w:tc>
      </w:tr>
      <w:tr w:rsidR="00AD00A7" w14:paraId="35CD2E2B" w14:textId="77777777" w:rsidTr="00DE56CF">
        <w:tc>
          <w:tcPr>
            <w:tcW w:w="529" w:type="dxa"/>
            <w:shd w:val="clear" w:color="auto" w:fill="auto"/>
          </w:tcPr>
          <w:p w14:paraId="3BB7D381" w14:textId="6FCF0436" w:rsidR="0093221A" w:rsidRDefault="0093221A" w:rsidP="00CE7C36">
            <w:pPr>
              <w:spacing w:after="120" w:line="240" w:lineRule="auto"/>
              <w:jc w:val="center"/>
            </w:pPr>
            <w:r>
              <w:rPr>
                <w:rFonts w:ascii="Calibri" w:hAnsi="Calibri"/>
                <w:color w:val="000000"/>
              </w:rPr>
              <w:t>5</w:t>
            </w:r>
          </w:p>
        </w:tc>
        <w:tc>
          <w:tcPr>
            <w:tcW w:w="3976" w:type="dxa"/>
            <w:shd w:val="clear" w:color="auto" w:fill="auto"/>
          </w:tcPr>
          <w:p w14:paraId="1639CDB0" w14:textId="73E17317" w:rsidR="0093221A" w:rsidRDefault="0093221A" w:rsidP="00CE7C36">
            <w:pPr>
              <w:spacing w:after="120" w:line="240" w:lineRule="auto"/>
            </w:pPr>
            <w:r>
              <w:rPr>
                <w:rFonts w:ascii="Calibri" w:hAnsi="Calibri"/>
                <w:color w:val="000000"/>
              </w:rPr>
              <w:t>Leather, leather products and footwear</w:t>
            </w:r>
          </w:p>
        </w:tc>
        <w:tc>
          <w:tcPr>
            <w:tcW w:w="2076" w:type="dxa"/>
            <w:shd w:val="clear" w:color="auto" w:fill="auto"/>
          </w:tcPr>
          <w:p w14:paraId="429499E7" w14:textId="2B0933B7" w:rsidR="0093221A" w:rsidRDefault="0093221A" w:rsidP="00CE7C36">
            <w:pPr>
              <w:spacing w:after="120" w:line="240" w:lineRule="auto"/>
            </w:pPr>
            <w:r>
              <w:rPr>
                <w:rFonts w:ascii="Calibri" w:hAnsi="Calibri"/>
                <w:color w:val="000000"/>
              </w:rPr>
              <w:t>Leather</w:t>
            </w:r>
          </w:p>
        </w:tc>
        <w:tc>
          <w:tcPr>
            <w:tcW w:w="708" w:type="dxa"/>
            <w:shd w:val="clear" w:color="auto" w:fill="auto"/>
          </w:tcPr>
          <w:p w14:paraId="59E0F8E6" w14:textId="1B11BEC9" w:rsidR="0093221A" w:rsidRDefault="0093221A" w:rsidP="00CE7C36">
            <w:pPr>
              <w:spacing w:after="120" w:line="240" w:lineRule="auto"/>
              <w:jc w:val="center"/>
            </w:pPr>
            <w:r>
              <w:rPr>
                <w:rFonts w:ascii="Calibri" w:hAnsi="Calibri"/>
                <w:color w:val="000000"/>
              </w:rPr>
              <w:t>LTH</w:t>
            </w:r>
          </w:p>
        </w:tc>
        <w:tc>
          <w:tcPr>
            <w:tcW w:w="1727" w:type="dxa"/>
            <w:shd w:val="clear" w:color="auto" w:fill="auto"/>
          </w:tcPr>
          <w:p w14:paraId="26B9826C" w14:textId="21AD98F8" w:rsidR="0093221A" w:rsidRDefault="009161F1" w:rsidP="00CE7C36">
            <w:pPr>
              <w:spacing w:after="120" w:line="240" w:lineRule="auto"/>
              <w:jc w:val="center"/>
            </w:pPr>
            <w:r>
              <w:t>D19</w:t>
            </w:r>
          </w:p>
        </w:tc>
      </w:tr>
      <w:tr w:rsidR="00AD00A7" w14:paraId="0C9F9A03" w14:textId="77777777" w:rsidTr="00DE56CF">
        <w:tc>
          <w:tcPr>
            <w:tcW w:w="529" w:type="dxa"/>
            <w:shd w:val="clear" w:color="auto" w:fill="auto"/>
          </w:tcPr>
          <w:p w14:paraId="1B7105A9" w14:textId="12D0ED8E" w:rsidR="0093221A" w:rsidRDefault="0093221A" w:rsidP="00CE7C36">
            <w:pPr>
              <w:spacing w:after="120" w:line="240" w:lineRule="auto"/>
              <w:jc w:val="center"/>
            </w:pPr>
            <w:r>
              <w:rPr>
                <w:rFonts w:ascii="Calibri" w:hAnsi="Calibri"/>
                <w:color w:val="000000"/>
              </w:rPr>
              <w:t>6</w:t>
            </w:r>
          </w:p>
        </w:tc>
        <w:tc>
          <w:tcPr>
            <w:tcW w:w="3976" w:type="dxa"/>
            <w:shd w:val="clear" w:color="auto" w:fill="auto"/>
          </w:tcPr>
          <w:p w14:paraId="59F2D64C" w14:textId="74360D77" w:rsidR="0093221A" w:rsidRDefault="0093221A" w:rsidP="00CE7C36">
            <w:pPr>
              <w:spacing w:after="120" w:line="240" w:lineRule="auto"/>
            </w:pPr>
            <w:r>
              <w:rPr>
                <w:rFonts w:ascii="Calibri" w:hAnsi="Calibri"/>
                <w:color w:val="000000"/>
              </w:rPr>
              <w:t>Wood and products of wood and cork</w:t>
            </w:r>
          </w:p>
        </w:tc>
        <w:tc>
          <w:tcPr>
            <w:tcW w:w="2076" w:type="dxa"/>
            <w:shd w:val="clear" w:color="auto" w:fill="auto"/>
          </w:tcPr>
          <w:p w14:paraId="5413FA66" w14:textId="58AF86DD" w:rsidR="0093221A" w:rsidRDefault="0093221A" w:rsidP="00CE7C36">
            <w:pPr>
              <w:spacing w:after="120" w:line="240" w:lineRule="auto"/>
            </w:pPr>
            <w:r>
              <w:rPr>
                <w:rFonts w:ascii="Calibri" w:hAnsi="Calibri"/>
                <w:color w:val="000000"/>
              </w:rPr>
              <w:t>Wood</w:t>
            </w:r>
          </w:p>
        </w:tc>
        <w:tc>
          <w:tcPr>
            <w:tcW w:w="708" w:type="dxa"/>
            <w:shd w:val="clear" w:color="auto" w:fill="auto"/>
          </w:tcPr>
          <w:p w14:paraId="1D79FE43" w14:textId="60D5B735" w:rsidR="0093221A" w:rsidRDefault="0093221A" w:rsidP="00CE7C36">
            <w:pPr>
              <w:spacing w:after="120" w:line="240" w:lineRule="auto"/>
              <w:jc w:val="center"/>
            </w:pPr>
            <w:r>
              <w:rPr>
                <w:rFonts w:ascii="Calibri" w:hAnsi="Calibri"/>
                <w:color w:val="000000"/>
              </w:rPr>
              <w:t>WDC</w:t>
            </w:r>
          </w:p>
        </w:tc>
        <w:tc>
          <w:tcPr>
            <w:tcW w:w="1727" w:type="dxa"/>
            <w:shd w:val="clear" w:color="auto" w:fill="auto"/>
          </w:tcPr>
          <w:p w14:paraId="6C1C16B2" w14:textId="661B729D" w:rsidR="0093221A" w:rsidRDefault="009161F1" w:rsidP="00CE7C36">
            <w:pPr>
              <w:spacing w:after="120" w:line="240" w:lineRule="auto"/>
              <w:jc w:val="center"/>
            </w:pPr>
            <w:r>
              <w:t>D20</w:t>
            </w:r>
          </w:p>
        </w:tc>
      </w:tr>
      <w:tr w:rsidR="00AD00A7" w14:paraId="3324BB10" w14:textId="77777777" w:rsidTr="00DE56CF">
        <w:tc>
          <w:tcPr>
            <w:tcW w:w="529" w:type="dxa"/>
            <w:shd w:val="clear" w:color="auto" w:fill="auto"/>
          </w:tcPr>
          <w:p w14:paraId="61E41591" w14:textId="01E24DD1" w:rsidR="0093221A" w:rsidRDefault="0093221A" w:rsidP="00CE7C36">
            <w:pPr>
              <w:spacing w:after="120" w:line="240" w:lineRule="auto"/>
              <w:jc w:val="center"/>
            </w:pPr>
            <w:r>
              <w:rPr>
                <w:rFonts w:ascii="Calibri" w:hAnsi="Calibri"/>
                <w:color w:val="000000"/>
              </w:rPr>
              <w:t>7</w:t>
            </w:r>
          </w:p>
        </w:tc>
        <w:tc>
          <w:tcPr>
            <w:tcW w:w="3976" w:type="dxa"/>
            <w:shd w:val="clear" w:color="auto" w:fill="auto"/>
          </w:tcPr>
          <w:p w14:paraId="061C4986" w14:textId="61CFEB11" w:rsidR="0093221A" w:rsidRDefault="0093221A" w:rsidP="00CE7C36">
            <w:pPr>
              <w:spacing w:after="120" w:line="240" w:lineRule="auto"/>
            </w:pPr>
            <w:r>
              <w:rPr>
                <w:rFonts w:ascii="Calibri" w:hAnsi="Calibri"/>
                <w:color w:val="000000"/>
              </w:rPr>
              <w:t>Pulp, paper, printing and publishing</w:t>
            </w:r>
          </w:p>
        </w:tc>
        <w:tc>
          <w:tcPr>
            <w:tcW w:w="2076" w:type="dxa"/>
            <w:shd w:val="clear" w:color="auto" w:fill="auto"/>
          </w:tcPr>
          <w:p w14:paraId="063D5819" w14:textId="0079E876" w:rsidR="0093221A" w:rsidRDefault="0093221A" w:rsidP="00CE7C36">
            <w:pPr>
              <w:spacing w:after="120" w:line="240" w:lineRule="auto"/>
            </w:pPr>
            <w:r>
              <w:rPr>
                <w:rFonts w:ascii="Calibri" w:hAnsi="Calibri"/>
                <w:color w:val="000000"/>
              </w:rPr>
              <w:t>Paper</w:t>
            </w:r>
          </w:p>
        </w:tc>
        <w:tc>
          <w:tcPr>
            <w:tcW w:w="708" w:type="dxa"/>
            <w:shd w:val="clear" w:color="auto" w:fill="auto"/>
          </w:tcPr>
          <w:p w14:paraId="7A697651" w14:textId="5FD7B5F5" w:rsidR="0093221A" w:rsidRDefault="0093221A" w:rsidP="00CE7C36">
            <w:pPr>
              <w:spacing w:after="120" w:line="240" w:lineRule="auto"/>
              <w:jc w:val="center"/>
            </w:pPr>
            <w:r>
              <w:rPr>
                <w:rFonts w:ascii="Calibri" w:hAnsi="Calibri"/>
                <w:color w:val="000000"/>
              </w:rPr>
              <w:t>PPP</w:t>
            </w:r>
          </w:p>
        </w:tc>
        <w:tc>
          <w:tcPr>
            <w:tcW w:w="1727" w:type="dxa"/>
            <w:shd w:val="clear" w:color="auto" w:fill="auto"/>
          </w:tcPr>
          <w:p w14:paraId="3AED0D51" w14:textId="56E74BAE" w:rsidR="0093221A" w:rsidRDefault="009161F1" w:rsidP="00CE7C36">
            <w:pPr>
              <w:spacing w:after="120" w:line="240" w:lineRule="auto"/>
              <w:jc w:val="center"/>
            </w:pPr>
            <w:r>
              <w:t>D21–22</w:t>
            </w:r>
          </w:p>
        </w:tc>
      </w:tr>
      <w:tr w:rsidR="00DE56CF" w14:paraId="73C3C62C" w14:textId="77777777" w:rsidTr="00DE56CF">
        <w:tc>
          <w:tcPr>
            <w:tcW w:w="529" w:type="dxa"/>
            <w:shd w:val="clear" w:color="auto" w:fill="auto"/>
          </w:tcPr>
          <w:p w14:paraId="64E97D48" w14:textId="716C4F98" w:rsidR="0093221A" w:rsidRDefault="0093221A" w:rsidP="00CE7C36">
            <w:pPr>
              <w:spacing w:after="120" w:line="240" w:lineRule="auto"/>
              <w:jc w:val="center"/>
            </w:pPr>
            <w:r>
              <w:rPr>
                <w:rFonts w:ascii="Calibri" w:hAnsi="Calibri"/>
                <w:color w:val="000000"/>
              </w:rPr>
              <w:t>8</w:t>
            </w:r>
          </w:p>
        </w:tc>
        <w:tc>
          <w:tcPr>
            <w:tcW w:w="3976" w:type="dxa"/>
            <w:shd w:val="clear" w:color="auto" w:fill="auto"/>
          </w:tcPr>
          <w:p w14:paraId="6C78256B" w14:textId="63366C7C" w:rsidR="0093221A" w:rsidRDefault="0093221A" w:rsidP="00CE7C36">
            <w:pPr>
              <w:spacing w:after="120" w:line="240" w:lineRule="auto"/>
            </w:pPr>
            <w:r>
              <w:rPr>
                <w:rFonts w:ascii="Calibri" w:hAnsi="Calibri"/>
                <w:color w:val="000000"/>
              </w:rPr>
              <w:t>Coke, refined petroleum and nuclear fuel</w:t>
            </w:r>
          </w:p>
        </w:tc>
        <w:tc>
          <w:tcPr>
            <w:tcW w:w="2076" w:type="dxa"/>
            <w:shd w:val="clear" w:color="auto" w:fill="auto"/>
          </w:tcPr>
          <w:p w14:paraId="58407A26" w14:textId="39ECAB09" w:rsidR="0093221A" w:rsidRDefault="0093221A" w:rsidP="00CE7C36">
            <w:pPr>
              <w:spacing w:after="120" w:line="240" w:lineRule="auto"/>
            </w:pPr>
            <w:r>
              <w:rPr>
                <w:rFonts w:ascii="Calibri" w:hAnsi="Calibri"/>
                <w:color w:val="000000"/>
              </w:rPr>
              <w:t>Refined fuels</w:t>
            </w:r>
          </w:p>
        </w:tc>
        <w:tc>
          <w:tcPr>
            <w:tcW w:w="708" w:type="dxa"/>
            <w:shd w:val="clear" w:color="auto" w:fill="auto"/>
          </w:tcPr>
          <w:p w14:paraId="3C9ADC72" w14:textId="476A57E1" w:rsidR="0093221A" w:rsidRDefault="0093221A" w:rsidP="00CE7C36">
            <w:pPr>
              <w:spacing w:after="120" w:line="240" w:lineRule="auto"/>
              <w:jc w:val="center"/>
            </w:pPr>
            <w:r>
              <w:rPr>
                <w:rFonts w:ascii="Calibri" w:hAnsi="Calibri"/>
                <w:color w:val="000000"/>
              </w:rPr>
              <w:t>CRP</w:t>
            </w:r>
          </w:p>
        </w:tc>
        <w:tc>
          <w:tcPr>
            <w:tcW w:w="1727" w:type="dxa"/>
            <w:shd w:val="clear" w:color="auto" w:fill="auto"/>
          </w:tcPr>
          <w:p w14:paraId="1C07D6AF" w14:textId="32059B77" w:rsidR="0093221A" w:rsidRDefault="009161F1" w:rsidP="00CE7C36">
            <w:pPr>
              <w:spacing w:after="120" w:line="240" w:lineRule="auto"/>
              <w:jc w:val="center"/>
            </w:pPr>
            <w:r>
              <w:t>D23</w:t>
            </w:r>
          </w:p>
        </w:tc>
      </w:tr>
      <w:tr w:rsidR="00DE56CF" w14:paraId="654B05CB" w14:textId="77777777" w:rsidTr="00DE56CF">
        <w:tc>
          <w:tcPr>
            <w:tcW w:w="529" w:type="dxa"/>
            <w:shd w:val="clear" w:color="auto" w:fill="auto"/>
          </w:tcPr>
          <w:p w14:paraId="52BF322A" w14:textId="55BA23E2" w:rsidR="0093221A" w:rsidRDefault="0093221A" w:rsidP="00CE7C36">
            <w:pPr>
              <w:spacing w:after="120" w:line="240" w:lineRule="auto"/>
              <w:jc w:val="center"/>
            </w:pPr>
            <w:r>
              <w:rPr>
                <w:rFonts w:ascii="Calibri" w:hAnsi="Calibri"/>
                <w:color w:val="000000"/>
              </w:rPr>
              <w:t>9</w:t>
            </w:r>
          </w:p>
        </w:tc>
        <w:tc>
          <w:tcPr>
            <w:tcW w:w="3976" w:type="dxa"/>
            <w:shd w:val="clear" w:color="auto" w:fill="auto"/>
          </w:tcPr>
          <w:p w14:paraId="0BF45625" w14:textId="60FF8A70" w:rsidR="0093221A" w:rsidRDefault="0093221A" w:rsidP="00CE7C36">
            <w:pPr>
              <w:spacing w:after="120" w:line="240" w:lineRule="auto"/>
            </w:pPr>
            <w:r>
              <w:rPr>
                <w:rFonts w:ascii="Calibri" w:hAnsi="Calibri"/>
                <w:color w:val="000000"/>
              </w:rPr>
              <w:t>Chemicals and chemical products</w:t>
            </w:r>
          </w:p>
        </w:tc>
        <w:tc>
          <w:tcPr>
            <w:tcW w:w="2076" w:type="dxa"/>
            <w:shd w:val="clear" w:color="auto" w:fill="auto"/>
          </w:tcPr>
          <w:p w14:paraId="37997799" w14:textId="466ED5C3" w:rsidR="0093221A" w:rsidRDefault="0093221A" w:rsidP="00CE7C36">
            <w:pPr>
              <w:spacing w:after="120" w:line="240" w:lineRule="auto"/>
            </w:pPr>
            <w:r>
              <w:rPr>
                <w:rFonts w:ascii="Calibri" w:hAnsi="Calibri"/>
                <w:color w:val="000000"/>
              </w:rPr>
              <w:t>Chemicals</w:t>
            </w:r>
          </w:p>
        </w:tc>
        <w:tc>
          <w:tcPr>
            <w:tcW w:w="708" w:type="dxa"/>
            <w:shd w:val="clear" w:color="auto" w:fill="auto"/>
          </w:tcPr>
          <w:p w14:paraId="158DFE3A" w14:textId="250B62F9" w:rsidR="0093221A" w:rsidRDefault="0093221A" w:rsidP="00CE7C36">
            <w:pPr>
              <w:spacing w:after="120" w:line="240" w:lineRule="auto"/>
              <w:jc w:val="center"/>
            </w:pPr>
            <w:r>
              <w:rPr>
                <w:rFonts w:ascii="Calibri" w:hAnsi="Calibri"/>
                <w:color w:val="000000"/>
              </w:rPr>
              <w:t>CCP</w:t>
            </w:r>
          </w:p>
        </w:tc>
        <w:tc>
          <w:tcPr>
            <w:tcW w:w="1727" w:type="dxa"/>
            <w:shd w:val="clear" w:color="auto" w:fill="auto"/>
          </w:tcPr>
          <w:p w14:paraId="035EC227" w14:textId="1DFFFF41" w:rsidR="0093221A" w:rsidRDefault="009161F1" w:rsidP="00CE7C36">
            <w:pPr>
              <w:spacing w:after="120" w:line="240" w:lineRule="auto"/>
              <w:jc w:val="center"/>
            </w:pPr>
            <w:r>
              <w:t>D24</w:t>
            </w:r>
          </w:p>
        </w:tc>
      </w:tr>
      <w:tr w:rsidR="00DE56CF" w14:paraId="68D8B5D5" w14:textId="77777777" w:rsidTr="00DE56CF">
        <w:tc>
          <w:tcPr>
            <w:tcW w:w="529" w:type="dxa"/>
            <w:shd w:val="clear" w:color="auto" w:fill="auto"/>
          </w:tcPr>
          <w:p w14:paraId="659F25AA" w14:textId="40E0A8B9" w:rsidR="0093221A" w:rsidRDefault="0093221A" w:rsidP="00CE7C36">
            <w:pPr>
              <w:spacing w:after="120" w:line="240" w:lineRule="auto"/>
              <w:jc w:val="center"/>
            </w:pPr>
            <w:r>
              <w:rPr>
                <w:rFonts w:ascii="Calibri" w:hAnsi="Calibri"/>
                <w:color w:val="000000"/>
              </w:rPr>
              <w:t>10</w:t>
            </w:r>
          </w:p>
        </w:tc>
        <w:tc>
          <w:tcPr>
            <w:tcW w:w="3976" w:type="dxa"/>
            <w:shd w:val="clear" w:color="auto" w:fill="auto"/>
          </w:tcPr>
          <w:p w14:paraId="2574E8CA" w14:textId="05B598E1" w:rsidR="0093221A" w:rsidRDefault="0093221A" w:rsidP="00CE7C36">
            <w:pPr>
              <w:spacing w:after="120" w:line="240" w:lineRule="auto"/>
            </w:pPr>
            <w:r>
              <w:rPr>
                <w:rFonts w:ascii="Calibri" w:hAnsi="Calibri"/>
                <w:color w:val="000000"/>
              </w:rPr>
              <w:t>Rubber and plastics</w:t>
            </w:r>
          </w:p>
        </w:tc>
        <w:tc>
          <w:tcPr>
            <w:tcW w:w="2076" w:type="dxa"/>
            <w:shd w:val="clear" w:color="auto" w:fill="auto"/>
          </w:tcPr>
          <w:p w14:paraId="111354CB" w14:textId="22B690C9" w:rsidR="0093221A" w:rsidRDefault="0093221A" w:rsidP="00CE7C36">
            <w:pPr>
              <w:spacing w:after="120" w:line="240" w:lineRule="auto"/>
            </w:pPr>
            <w:r>
              <w:rPr>
                <w:rFonts w:ascii="Calibri" w:hAnsi="Calibri"/>
                <w:color w:val="000000"/>
              </w:rPr>
              <w:t>Rubber</w:t>
            </w:r>
          </w:p>
        </w:tc>
        <w:tc>
          <w:tcPr>
            <w:tcW w:w="708" w:type="dxa"/>
            <w:shd w:val="clear" w:color="auto" w:fill="auto"/>
          </w:tcPr>
          <w:p w14:paraId="2DA8A732" w14:textId="50DD2677" w:rsidR="0093221A" w:rsidRDefault="0093221A" w:rsidP="00CE7C36">
            <w:pPr>
              <w:spacing w:after="120" w:line="240" w:lineRule="auto"/>
              <w:jc w:val="center"/>
            </w:pPr>
            <w:r>
              <w:rPr>
                <w:rFonts w:ascii="Calibri" w:hAnsi="Calibri"/>
                <w:color w:val="000000"/>
              </w:rPr>
              <w:t>RBP</w:t>
            </w:r>
          </w:p>
        </w:tc>
        <w:tc>
          <w:tcPr>
            <w:tcW w:w="1727" w:type="dxa"/>
            <w:shd w:val="clear" w:color="auto" w:fill="auto"/>
          </w:tcPr>
          <w:p w14:paraId="3A22EC86" w14:textId="5C501E26" w:rsidR="0093221A" w:rsidRDefault="009161F1" w:rsidP="00CE7C36">
            <w:pPr>
              <w:spacing w:after="120" w:line="240" w:lineRule="auto"/>
              <w:jc w:val="center"/>
            </w:pPr>
            <w:r>
              <w:t>D25</w:t>
            </w:r>
          </w:p>
        </w:tc>
      </w:tr>
      <w:tr w:rsidR="00DE56CF" w14:paraId="57A922A4" w14:textId="77777777" w:rsidTr="00DE56CF">
        <w:tc>
          <w:tcPr>
            <w:tcW w:w="529" w:type="dxa"/>
            <w:shd w:val="clear" w:color="auto" w:fill="auto"/>
          </w:tcPr>
          <w:p w14:paraId="0E248073" w14:textId="4F198CF4" w:rsidR="0093221A" w:rsidRDefault="0093221A" w:rsidP="00CE7C36">
            <w:pPr>
              <w:spacing w:after="120" w:line="240" w:lineRule="auto"/>
              <w:jc w:val="center"/>
            </w:pPr>
            <w:r>
              <w:rPr>
                <w:rFonts w:ascii="Calibri" w:hAnsi="Calibri"/>
                <w:color w:val="000000"/>
              </w:rPr>
              <w:t>11</w:t>
            </w:r>
          </w:p>
        </w:tc>
        <w:tc>
          <w:tcPr>
            <w:tcW w:w="3976" w:type="dxa"/>
            <w:shd w:val="clear" w:color="auto" w:fill="auto"/>
          </w:tcPr>
          <w:p w14:paraId="296084FC" w14:textId="224151CC" w:rsidR="0093221A" w:rsidRDefault="0093221A" w:rsidP="00CE7C36">
            <w:pPr>
              <w:spacing w:after="120" w:line="240" w:lineRule="auto"/>
            </w:pPr>
            <w:r>
              <w:rPr>
                <w:rFonts w:ascii="Calibri" w:hAnsi="Calibri"/>
                <w:color w:val="000000"/>
              </w:rPr>
              <w:t>Other non-metallic mineral</w:t>
            </w:r>
          </w:p>
        </w:tc>
        <w:tc>
          <w:tcPr>
            <w:tcW w:w="2076" w:type="dxa"/>
            <w:shd w:val="clear" w:color="auto" w:fill="auto"/>
          </w:tcPr>
          <w:p w14:paraId="76DA7CC7" w14:textId="3EEBBAD4" w:rsidR="0093221A" w:rsidRDefault="0093221A" w:rsidP="00CE7C36">
            <w:pPr>
              <w:spacing w:after="120" w:line="240" w:lineRule="auto"/>
            </w:pPr>
            <w:r>
              <w:rPr>
                <w:rFonts w:ascii="Calibri" w:hAnsi="Calibri"/>
                <w:color w:val="000000"/>
              </w:rPr>
              <w:t>Other minerals</w:t>
            </w:r>
          </w:p>
        </w:tc>
        <w:tc>
          <w:tcPr>
            <w:tcW w:w="708" w:type="dxa"/>
            <w:shd w:val="clear" w:color="auto" w:fill="auto"/>
          </w:tcPr>
          <w:p w14:paraId="36F1D834" w14:textId="746B27EF" w:rsidR="0093221A" w:rsidRDefault="0093221A" w:rsidP="00CE7C36">
            <w:pPr>
              <w:spacing w:after="120" w:line="240" w:lineRule="auto"/>
              <w:jc w:val="center"/>
            </w:pPr>
            <w:r>
              <w:rPr>
                <w:rFonts w:ascii="Calibri" w:hAnsi="Calibri"/>
                <w:color w:val="000000"/>
              </w:rPr>
              <w:t>ONM</w:t>
            </w:r>
          </w:p>
        </w:tc>
        <w:tc>
          <w:tcPr>
            <w:tcW w:w="1727" w:type="dxa"/>
            <w:shd w:val="clear" w:color="auto" w:fill="auto"/>
          </w:tcPr>
          <w:p w14:paraId="77000ABE" w14:textId="0BAA228B" w:rsidR="0093221A" w:rsidRDefault="009161F1" w:rsidP="00CE7C36">
            <w:pPr>
              <w:spacing w:after="120" w:line="240" w:lineRule="auto"/>
              <w:jc w:val="center"/>
            </w:pPr>
            <w:r>
              <w:t>D26</w:t>
            </w:r>
          </w:p>
        </w:tc>
      </w:tr>
      <w:tr w:rsidR="00DE56CF" w14:paraId="75E903E4" w14:textId="77777777" w:rsidTr="00DE56CF">
        <w:tc>
          <w:tcPr>
            <w:tcW w:w="529" w:type="dxa"/>
            <w:shd w:val="clear" w:color="auto" w:fill="auto"/>
          </w:tcPr>
          <w:p w14:paraId="286AA604" w14:textId="4DE8029F" w:rsidR="0093221A" w:rsidRDefault="0093221A" w:rsidP="00CE7C36">
            <w:pPr>
              <w:spacing w:after="120" w:line="240" w:lineRule="auto"/>
              <w:jc w:val="center"/>
            </w:pPr>
            <w:r>
              <w:rPr>
                <w:rFonts w:ascii="Calibri" w:hAnsi="Calibri"/>
                <w:color w:val="000000"/>
              </w:rPr>
              <w:t>12</w:t>
            </w:r>
          </w:p>
        </w:tc>
        <w:tc>
          <w:tcPr>
            <w:tcW w:w="3976" w:type="dxa"/>
            <w:shd w:val="clear" w:color="auto" w:fill="auto"/>
          </w:tcPr>
          <w:p w14:paraId="1E6FAF03" w14:textId="58B95EE8" w:rsidR="0093221A" w:rsidRDefault="0093221A" w:rsidP="00CE7C36">
            <w:pPr>
              <w:spacing w:after="120" w:line="240" w:lineRule="auto"/>
            </w:pPr>
            <w:r>
              <w:rPr>
                <w:rFonts w:ascii="Calibri" w:hAnsi="Calibri"/>
                <w:color w:val="000000"/>
              </w:rPr>
              <w:t>Basic metals and fabricated metal</w:t>
            </w:r>
          </w:p>
        </w:tc>
        <w:tc>
          <w:tcPr>
            <w:tcW w:w="2076" w:type="dxa"/>
            <w:shd w:val="clear" w:color="auto" w:fill="auto"/>
          </w:tcPr>
          <w:p w14:paraId="3D99CB79" w14:textId="5A7ADF9E" w:rsidR="0093221A" w:rsidRDefault="0093221A" w:rsidP="00CE7C36">
            <w:pPr>
              <w:spacing w:after="120" w:line="240" w:lineRule="auto"/>
            </w:pPr>
            <w:r>
              <w:rPr>
                <w:rFonts w:ascii="Calibri" w:hAnsi="Calibri"/>
                <w:color w:val="000000"/>
              </w:rPr>
              <w:t>Metals</w:t>
            </w:r>
          </w:p>
        </w:tc>
        <w:tc>
          <w:tcPr>
            <w:tcW w:w="708" w:type="dxa"/>
            <w:shd w:val="clear" w:color="auto" w:fill="auto"/>
          </w:tcPr>
          <w:p w14:paraId="501FC270" w14:textId="36E19B79" w:rsidR="0093221A" w:rsidRDefault="0093221A" w:rsidP="00CE7C36">
            <w:pPr>
              <w:spacing w:after="120" w:line="240" w:lineRule="auto"/>
              <w:jc w:val="center"/>
            </w:pPr>
            <w:r>
              <w:rPr>
                <w:rFonts w:ascii="Calibri" w:hAnsi="Calibri"/>
                <w:color w:val="000000"/>
              </w:rPr>
              <w:t>MFM</w:t>
            </w:r>
          </w:p>
        </w:tc>
        <w:tc>
          <w:tcPr>
            <w:tcW w:w="1727" w:type="dxa"/>
            <w:shd w:val="clear" w:color="auto" w:fill="auto"/>
          </w:tcPr>
          <w:p w14:paraId="6D732896" w14:textId="2D14074A" w:rsidR="0093221A" w:rsidRDefault="009161F1" w:rsidP="00CE7C36">
            <w:pPr>
              <w:spacing w:after="120" w:line="240" w:lineRule="auto"/>
              <w:jc w:val="center"/>
            </w:pPr>
            <w:r>
              <w:t>D27–28</w:t>
            </w:r>
          </w:p>
        </w:tc>
      </w:tr>
      <w:tr w:rsidR="00DE56CF" w14:paraId="29DC87A3" w14:textId="77777777" w:rsidTr="00DE56CF">
        <w:tc>
          <w:tcPr>
            <w:tcW w:w="529" w:type="dxa"/>
            <w:shd w:val="clear" w:color="auto" w:fill="auto"/>
          </w:tcPr>
          <w:p w14:paraId="40920860" w14:textId="08163A17" w:rsidR="0093221A" w:rsidRDefault="0093221A" w:rsidP="00CE7C36">
            <w:pPr>
              <w:spacing w:after="120" w:line="240" w:lineRule="auto"/>
              <w:jc w:val="center"/>
            </w:pPr>
            <w:r>
              <w:rPr>
                <w:rFonts w:ascii="Calibri" w:hAnsi="Calibri"/>
                <w:color w:val="000000"/>
              </w:rPr>
              <w:t>13</w:t>
            </w:r>
          </w:p>
        </w:tc>
        <w:tc>
          <w:tcPr>
            <w:tcW w:w="3976" w:type="dxa"/>
            <w:shd w:val="clear" w:color="auto" w:fill="auto"/>
          </w:tcPr>
          <w:p w14:paraId="3D5825D7" w14:textId="57BF429F" w:rsidR="0093221A" w:rsidRDefault="0093221A" w:rsidP="00CE7C36">
            <w:pPr>
              <w:spacing w:after="120" w:line="240" w:lineRule="auto"/>
            </w:pPr>
            <w:r>
              <w:rPr>
                <w:rFonts w:ascii="Calibri" w:hAnsi="Calibri"/>
                <w:color w:val="000000"/>
              </w:rPr>
              <w:t>Machinery, not elsewhere classified</w:t>
            </w:r>
          </w:p>
        </w:tc>
        <w:tc>
          <w:tcPr>
            <w:tcW w:w="2076" w:type="dxa"/>
            <w:shd w:val="clear" w:color="auto" w:fill="auto"/>
          </w:tcPr>
          <w:p w14:paraId="79B07036" w14:textId="5F6BA56D" w:rsidR="0093221A" w:rsidRDefault="0093221A" w:rsidP="00CE7C36">
            <w:pPr>
              <w:spacing w:after="120" w:line="240" w:lineRule="auto"/>
            </w:pPr>
            <w:r>
              <w:rPr>
                <w:rFonts w:ascii="Calibri" w:hAnsi="Calibri"/>
                <w:color w:val="000000"/>
              </w:rPr>
              <w:t>Other machinery</w:t>
            </w:r>
          </w:p>
        </w:tc>
        <w:tc>
          <w:tcPr>
            <w:tcW w:w="708" w:type="dxa"/>
            <w:shd w:val="clear" w:color="auto" w:fill="auto"/>
          </w:tcPr>
          <w:p w14:paraId="00CDAFEC" w14:textId="3FB6345E" w:rsidR="0093221A" w:rsidRDefault="0093221A" w:rsidP="00CE7C36">
            <w:pPr>
              <w:spacing w:after="120" w:line="240" w:lineRule="auto"/>
              <w:jc w:val="center"/>
            </w:pPr>
            <w:r>
              <w:rPr>
                <w:rFonts w:ascii="Calibri" w:hAnsi="Calibri"/>
                <w:color w:val="000000"/>
              </w:rPr>
              <w:t>MCH</w:t>
            </w:r>
          </w:p>
        </w:tc>
        <w:tc>
          <w:tcPr>
            <w:tcW w:w="1727" w:type="dxa"/>
            <w:shd w:val="clear" w:color="auto" w:fill="auto"/>
          </w:tcPr>
          <w:p w14:paraId="6DE29E37" w14:textId="788F3E0F" w:rsidR="0093221A" w:rsidRDefault="009161F1" w:rsidP="00CE7C36">
            <w:pPr>
              <w:spacing w:after="120" w:line="240" w:lineRule="auto"/>
              <w:jc w:val="center"/>
            </w:pPr>
            <w:r>
              <w:t>D29</w:t>
            </w:r>
          </w:p>
        </w:tc>
      </w:tr>
      <w:tr w:rsidR="00DE56CF" w14:paraId="641B6035" w14:textId="77777777" w:rsidTr="00DE56CF">
        <w:tc>
          <w:tcPr>
            <w:tcW w:w="529" w:type="dxa"/>
            <w:shd w:val="clear" w:color="auto" w:fill="auto"/>
          </w:tcPr>
          <w:p w14:paraId="27D28595" w14:textId="4C03D7F5" w:rsidR="0093221A" w:rsidRDefault="0093221A" w:rsidP="00CE7C36">
            <w:pPr>
              <w:spacing w:after="120" w:line="240" w:lineRule="auto"/>
              <w:jc w:val="center"/>
            </w:pPr>
            <w:r>
              <w:rPr>
                <w:rFonts w:ascii="Calibri" w:hAnsi="Calibri"/>
                <w:color w:val="000000"/>
              </w:rPr>
              <w:t>14</w:t>
            </w:r>
          </w:p>
        </w:tc>
        <w:tc>
          <w:tcPr>
            <w:tcW w:w="3976" w:type="dxa"/>
            <w:shd w:val="clear" w:color="auto" w:fill="auto"/>
          </w:tcPr>
          <w:p w14:paraId="525B6258" w14:textId="4A80BBBA" w:rsidR="0093221A" w:rsidRDefault="0093221A" w:rsidP="00CE7C36">
            <w:pPr>
              <w:spacing w:after="120" w:line="240" w:lineRule="auto"/>
            </w:pPr>
            <w:r>
              <w:rPr>
                <w:rFonts w:ascii="Calibri" w:hAnsi="Calibri"/>
                <w:color w:val="000000"/>
              </w:rPr>
              <w:t>Electrical and optical equipment</w:t>
            </w:r>
          </w:p>
        </w:tc>
        <w:tc>
          <w:tcPr>
            <w:tcW w:w="2076" w:type="dxa"/>
            <w:shd w:val="clear" w:color="auto" w:fill="auto"/>
          </w:tcPr>
          <w:p w14:paraId="16D8B32C" w14:textId="47AEB3B9" w:rsidR="0093221A" w:rsidRDefault="0093221A" w:rsidP="00CE7C36">
            <w:pPr>
              <w:spacing w:after="120" w:line="240" w:lineRule="auto"/>
            </w:pPr>
            <w:r>
              <w:rPr>
                <w:rFonts w:ascii="Calibri" w:hAnsi="Calibri"/>
                <w:color w:val="000000"/>
              </w:rPr>
              <w:t>Electricals</w:t>
            </w:r>
          </w:p>
        </w:tc>
        <w:tc>
          <w:tcPr>
            <w:tcW w:w="708" w:type="dxa"/>
            <w:shd w:val="clear" w:color="auto" w:fill="auto"/>
          </w:tcPr>
          <w:p w14:paraId="125E535D" w14:textId="1431A24B" w:rsidR="0093221A" w:rsidRDefault="0093221A" w:rsidP="00CE7C36">
            <w:pPr>
              <w:spacing w:after="120" w:line="240" w:lineRule="auto"/>
              <w:jc w:val="center"/>
            </w:pPr>
            <w:r>
              <w:rPr>
                <w:rFonts w:ascii="Calibri" w:hAnsi="Calibri"/>
                <w:color w:val="000000"/>
              </w:rPr>
              <w:t>EOE</w:t>
            </w:r>
          </w:p>
        </w:tc>
        <w:tc>
          <w:tcPr>
            <w:tcW w:w="1727" w:type="dxa"/>
            <w:shd w:val="clear" w:color="auto" w:fill="auto"/>
          </w:tcPr>
          <w:p w14:paraId="47B0C8FD" w14:textId="135F295E" w:rsidR="0093221A" w:rsidRDefault="009161F1" w:rsidP="00CE7C36">
            <w:pPr>
              <w:spacing w:after="120" w:line="240" w:lineRule="auto"/>
              <w:jc w:val="center"/>
            </w:pPr>
            <w:r>
              <w:t>D30–33</w:t>
            </w:r>
          </w:p>
        </w:tc>
      </w:tr>
      <w:tr w:rsidR="00DE56CF" w14:paraId="6E0A9516" w14:textId="77777777" w:rsidTr="00DE56CF">
        <w:tc>
          <w:tcPr>
            <w:tcW w:w="529" w:type="dxa"/>
            <w:shd w:val="clear" w:color="auto" w:fill="auto"/>
          </w:tcPr>
          <w:p w14:paraId="06DDC9FF" w14:textId="4F2BC1CE" w:rsidR="0093221A" w:rsidRDefault="0093221A" w:rsidP="00CE7C36">
            <w:pPr>
              <w:spacing w:after="120" w:line="240" w:lineRule="auto"/>
              <w:jc w:val="center"/>
            </w:pPr>
            <w:r>
              <w:rPr>
                <w:rFonts w:ascii="Calibri" w:hAnsi="Calibri"/>
                <w:color w:val="000000"/>
              </w:rPr>
              <w:t>15</w:t>
            </w:r>
          </w:p>
        </w:tc>
        <w:tc>
          <w:tcPr>
            <w:tcW w:w="3976" w:type="dxa"/>
            <w:shd w:val="clear" w:color="auto" w:fill="auto"/>
          </w:tcPr>
          <w:p w14:paraId="059ADE68" w14:textId="5CB6DC44" w:rsidR="0093221A" w:rsidRDefault="0093221A" w:rsidP="00CE7C36">
            <w:pPr>
              <w:spacing w:after="120" w:line="240" w:lineRule="auto"/>
            </w:pPr>
            <w:r>
              <w:rPr>
                <w:rFonts w:ascii="Calibri" w:hAnsi="Calibri"/>
                <w:color w:val="000000"/>
              </w:rPr>
              <w:t>Transport equipment</w:t>
            </w:r>
          </w:p>
        </w:tc>
        <w:tc>
          <w:tcPr>
            <w:tcW w:w="2076" w:type="dxa"/>
            <w:shd w:val="clear" w:color="auto" w:fill="auto"/>
          </w:tcPr>
          <w:p w14:paraId="2152FA0D" w14:textId="6E2D1423" w:rsidR="0093221A" w:rsidRDefault="0093221A" w:rsidP="00CE7C36">
            <w:pPr>
              <w:spacing w:after="120" w:line="240" w:lineRule="auto"/>
            </w:pPr>
            <w:r>
              <w:rPr>
                <w:rFonts w:ascii="Calibri" w:hAnsi="Calibri"/>
                <w:color w:val="000000"/>
              </w:rPr>
              <w:t>Transport equipment</w:t>
            </w:r>
          </w:p>
        </w:tc>
        <w:tc>
          <w:tcPr>
            <w:tcW w:w="708" w:type="dxa"/>
            <w:shd w:val="clear" w:color="auto" w:fill="auto"/>
          </w:tcPr>
          <w:p w14:paraId="074F7607" w14:textId="526A7115" w:rsidR="0093221A" w:rsidRDefault="0093221A" w:rsidP="00CE7C36">
            <w:pPr>
              <w:spacing w:after="120" w:line="240" w:lineRule="auto"/>
              <w:jc w:val="center"/>
            </w:pPr>
            <w:r>
              <w:rPr>
                <w:rFonts w:ascii="Calibri" w:hAnsi="Calibri"/>
                <w:color w:val="000000"/>
              </w:rPr>
              <w:t>TRE</w:t>
            </w:r>
          </w:p>
        </w:tc>
        <w:tc>
          <w:tcPr>
            <w:tcW w:w="1727" w:type="dxa"/>
            <w:shd w:val="clear" w:color="auto" w:fill="auto"/>
          </w:tcPr>
          <w:p w14:paraId="0E6FB1F4" w14:textId="46DE2895" w:rsidR="0093221A" w:rsidRDefault="008B6832" w:rsidP="00CE7C36">
            <w:pPr>
              <w:spacing w:after="120" w:line="240" w:lineRule="auto"/>
              <w:jc w:val="center"/>
            </w:pPr>
            <w:r>
              <w:t>D34–35</w:t>
            </w:r>
          </w:p>
        </w:tc>
      </w:tr>
      <w:tr w:rsidR="00DE56CF" w14:paraId="78E44DFB" w14:textId="77777777" w:rsidTr="00DE56CF">
        <w:tc>
          <w:tcPr>
            <w:tcW w:w="529" w:type="dxa"/>
            <w:shd w:val="clear" w:color="auto" w:fill="auto"/>
          </w:tcPr>
          <w:p w14:paraId="2C02D0EB" w14:textId="588121E5" w:rsidR="0093221A" w:rsidRDefault="0093221A" w:rsidP="00CE7C36">
            <w:pPr>
              <w:spacing w:after="120" w:line="240" w:lineRule="auto"/>
              <w:jc w:val="center"/>
            </w:pPr>
            <w:r>
              <w:rPr>
                <w:rFonts w:ascii="Calibri" w:hAnsi="Calibri"/>
                <w:color w:val="000000"/>
              </w:rPr>
              <w:t>16</w:t>
            </w:r>
          </w:p>
        </w:tc>
        <w:tc>
          <w:tcPr>
            <w:tcW w:w="3976" w:type="dxa"/>
            <w:shd w:val="clear" w:color="auto" w:fill="auto"/>
          </w:tcPr>
          <w:p w14:paraId="03158976" w14:textId="6CFE4447" w:rsidR="0093221A" w:rsidRDefault="0093221A" w:rsidP="00CE7C36">
            <w:pPr>
              <w:spacing w:after="120" w:line="240" w:lineRule="auto"/>
            </w:pPr>
            <w:r>
              <w:rPr>
                <w:rFonts w:ascii="Calibri" w:hAnsi="Calibri"/>
                <w:color w:val="000000"/>
              </w:rPr>
              <w:t>Manufacturing, not elsewhere classified; recycling</w:t>
            </w:r>
          </w:p>
        </w:tc>
        <w:tc>
          <w:tcPr>
            <w:tcW w:w="2076" w:type="dxa"/>
            <w:shd w:val="clear" w:color="auto" w:fill="auto"/>
          </w:tcPr>
          <w:p w14:paraId="6C472F48" w14:textId="718E3BD2" w:rsidR="0093221A" w:rsidRDefault="0093221A" w:rsidP="00CE7C36">
            <w:pPr>
              <w:spacing w:after="120" w:line="240" w:lineRule="auto"/>
            </w:pPr>
            <w:r>
              <w:rPr>
                <w:rFonts w:ascii="Calibri" w:hAnsi="Calibri"/>
                <w:color w:val="000000"/>
              </w:rPr>
              <w:t>Other manufacturing</w:t>
            </w:r>
          </w:p>
        </w:tc>
        <w:tc>
          <w:tcPr>
            <w:tcW w:w="708" w:type="dxa"/>
            <w:shd w:val="clear" w:color="auto" w:fill="auto"/>
          </w:tcPr>
          <w:p w14:paraId="01EDDEF0" w14:textId="7899D402" w:rsidR="0093221A" w:rsidRDefault="0093221A" w:rsidP="00CE7C36">
            <w:pPr>
              <w:spacing w:after="120" w:line="240" w:lineRule="auto"/>
              <w:jc w:val="center"/>
            </w:pPr>
            <w:r>
              <w:rPr>
                <w:rFonts w:ascii="Calibri" w:hAnsi="Calibri"/>
                <w:color w:val="000000"/>
              </w:rPr>
              <w:t>MFG</w:t>
            </w:r>
          </w:p>
        </w:tc>
        <w:tc>
          <w:tcPr>
            <w:tcW w:w="1727" w:type="dxa"/>
            <w:shd w:val="clear" w:color="auto" w:fill="auto"/>
          </w:tcPr>
          <w:p w14:paraId="1D8E5875" w14:textId="148C10F3" w:rsidR="0093221A" w:rsidRDefault="008B6832" w:rsidP="00CE7C36">
            <w:pPr>
              <w:spacing w:after="120" w:line="240" w:lineRule="auto"/>
              <w:jc w:val="center"/>
            </w:pPr>
            <w:r>
              <w:t>D36–37</w:t>
            </w:r>
          </w:p>
        </w:tc>
      </w:tr>
      <w:tr w:rsidR="00DE56CF" w14:paraId="44F76F4A" w14:textId="77777777" w:rsidTr="00DE56CF">
        <w:tc>
          <w:tcPr>
            <w:tcW w:w="529" w:type="dxa"/>
            <w:shd w:val="clear" w:color="auto" w:fill="auto"/>
          </w:tcPr>
          <w:p w14:paraId="7CCBB8DE" w14:textId="40674025" w:rsidR="0093221A" w:rsidRDefault="0093221A" w:rsidP="00CE7C36">
            <w:pPr>
              <w:spacing w:after="120" w:line="240" w:lineRule="auto"/>
              <w:jc w:val="center"/>
            </w:pPr>
            <w:r>
              <w:rPr>
                <w:rFonts w:ascii="Calibri" w:hAnsi="Calibri"/>
                <w:color w:val="000000"/>
              </w:rPr>
              <w:t>17</w:t>
            </w:r>
          </w:p>
        </w:tc>
        <w:tc>
          <w:tcPr>
            <w:tcW w:w="3976" w:type="dxa"/>
            <w:shd w:val="clear" w:color="auto" w:fill="auto"/>
          </w:tcPr>
          <w:p w14:paraId="2E80149C" w14:textId="5414A92D" w:rsidR="0093221A" w:rsidRDefault="0093221A" w:rsidP="00CE7C36">
            <w:pPr>
              <w:spacing w:after="120" w:line="240" w:lineRule="auto"/>
            </w:pPr>
            <w:r>
              <w:rPr>
                <w:rFonts w:ascii="Calibri" w:hAnsi="Calibri"/>
                <w:color w:val="000000"/>
              </w:rPr>
              <w:t>Electricity, gas and water supply</w:t>
            </w:r>
          </w:p>
        </w:tc>
        <w:tc>
          <w:tcPr>
            <w:tcW w:w="2076" w:type="dxa"/>
            <w:shd w:val="clear" w:color="auto" w:fill="auto"/>
          </w:tcPr>
          <w:p w14:paraId="02A3772C" w14:textId="37AB061B" w:rsidR="0093221A" w:rsidRDefault="0093221A" w:rsidP="00CE7C36">
            <w:pPr>
              <w:spacing w:after="120" w:line="240" w:lineRule="auto"/>
            </w:pPr>
            <w:r>
              <w:rPr>
                <w:rFonts w:ascii="Calibri" w:hAnsi="Calibri"/>
                <w:color w:val="000000"/>
              </w:rPr>
              <w:t>Utilities</w:t>
            </w:r>
          </w:p>
        </w:tc>
        <w:tc>
          <w:tcPr>
            <w:tcW w:w="708" w:type="dxa"/>
            <w:shd w:val="clear" w:color="auto" w:fill="auto"/>
          </w:tcPr>
          <w:p w14:paraId="541F85EF" w14:textId="3715FCB8" w:rsidR="0093221A" w:rsidRDefault="0093221A" w:rsidP="00CE7C36">
            <w:pPr>
              <w:spacing w:after="120" w:line="240" w:lineRule="auto"/>
              <w:jc w:val="center"/>
            </w:pPr>
            <w:r>
              <w:rPr>
                <w:rFonts w:ascii="Calibri" w:hAnsi="Calibri"/>
                <w:color w:val="000000"/>
              </w:rPr>
              <w:t>UTL</w:t>
            </w:r>
          </w:p>
        </w:tc>
        <w:tc>
          <w:tcPr>
            <w:tcW w:w="1727" w:type="dxa"/>
            <w:shd w:val="clear" w:color="auto" w:fill="auto"/>
          </w:tcPr>
          <w:p w14:paraId="58620F72" w14:textId="5C72E8F5" w:rsidR="0093221A" w:rsidRDefault="008B6832" w:rsidP="00CE7C36">
            <w:pPr>
              <w:spacing w:after="120" w:line="240" w:lineRule="auto"/>
              <w:jc w:val="center"/>
            </w:pPr>
            <w:r>
              <w:t>E</w:t>
            </w:r>
          </w:p>
        </w:tc>
      </w:tr>
      <w:tr w:rsidR="00DE56CF" w14:paraId="332D8F07" w14:textId="77777777" w:rsidTr="00DE56CF">
        <w:tc>
          <w:tcPr>
            <w:tcW w:w="529" w:type="dxa"/>
            <w:shd w:val="clear" w:color="auto" w:fill="auto"/>
          </w:tcPr>
          <w:p w14:paraId="67B00B77" w14:textId="618D008C" w:rsidR="0093221A" w:rsidRDefault="0093221A" w:rsidP="00CE7C36">
            <w:pPr>
              <w:spacing w:after="120" w:line="240" w:lineRule="auto"/>
              <w:jc w:val="center"/>
            </w:pPr>
            <w:r>
              <w:rPr>
                <w:rFonts w:ascii="Calibri" w:hAnsi="Calibri"/>
                <w:color w:val="000000"/>
              </w:rPr>
              <w:t>18</w:t>
            </w:r>
          </w:p>
        </w:tc>
        <w:tc>
          <w:tcPr>
            <w:tcW w:w="3976" w:type="dxa"/>
            <w:shd w:val="clear" w:color="auto" w:fill="auto"/>
          </w:tcPr>
          <w:p w14:paraId="67B4D45B" w14:textId="795AF5AA" w:rsidR="0093221A" w:rsidRDefault="0093221A" w:rsidP="00CE7C36">
            <w:pPr>
              <w:spacing w:after="120" w:line="240" w:lineRule="auto"/>
            </w:pPr>
            <w:r>
              <w:rPr>
                <w:rFonts w:ascii="Calibri" w:hAnsi="Calibri"/>
                <w:color w:val="000000"/>
              </w:rPr>
              <w:t>Construction</w:t>
            </w:r>
          </w:p>
        </w:tc>
        <w:tc>
          <w:tcPr>
            <w:tcW w:w="2076" w:type="dxa"/>
            <w:shd w:val="clear" w:color="auto" w:fill="auto"/>
          </w:tcPr>
          <w:p w14:paraId="1F439821" w14:textId="318F6FCC" w:rsidR="0093221A" w:rsidRDefault="0093221A" w:rsidP="00CE7C36">
            <w:pPr>
              <w:spacing w:after="120" w:line="240" w:lineRule="auto"/>
            </w:pPr>
            <w:r>
              <w:rPr>
                <w:rFonts w:ascii="Calibri" w:hAnsi="Calibri"/>
                <w:color w:val="000000"/>
              </w:rPr>
              <w:t>Construction</w:t>
            </w:r>
          </w:p>
        </w:tc>
        <w:tc>
          <w:tcPr>
            <w:tcW w:w="708" w:type="dxa"/>
            <w:shd w:val="clear" w:color="auto" w:fill="auto"/>
          </w:tcPr>
          <w:p w14:paraId="7F2FE122" w14:textId="66C0B475" w:rsidR="0093221A" w:rsidRDefault="0093221A" w:rsidP="00CE7C36">
            <w:pPr>
              <w:spacing w:after="120" w:line="240" w:lineRule="auto"/>
              <w:jc w:val="center"/>
            </w:pPr>
            <w:r>
              <w:rPr>
                <w:rFonts w:ascii="Calibri" w:hAnsi="Calibri"/>
                <w:color w:val="000000"/>
              </w:rPr>
              <w:t>CON</w:t>
            </w:r>
          </w:p>
        </w:tc>
        <w:tc>
          <w:tcPr>
            <w:tcW w:w="1727" w:type="dxa"/>
            <w:shd w:val="clear" w:color="auto" w:fill="auto"/>
          </w:tcPr>
          <w:p w14:paraId="6ADCC990" w14:textId="3F5FDF10" w:rsidR="0093221A" w:rsidRDefault="008B6832" w:rsidP="00CE7C36">
            <w:pPr>
              <w:spacing w:after="120" w:line="240" w:lineRule="auto"/>
              <w:jc w:val="center"/>
            </w:pPr>
            <w:r>
              <w:t>F</w:t>
            </w:r>
          </w:p>
        </w:tc>
      </w:tr>
      <w:tr w:rsidR="00DE56CF" w14:paraId="2E446E5A" w14:textId="77777777" w:rsidTr="00DE56CF">
        <w:tc>
          <w:tcPr>
            <w:tcW w:w="529" w:type="dxa"/>
            <w:shd w:val="clear" w:color="auto" w:fill="auto"/>
          </w:tcPr>
          <w:p w14:paraId="17827DDE" w14:textId="09D7D40F" w:rsidR="0093221A" w:rsidRDefault="0093221A" w:rsidP="00CE7C36">
            <w:pPr>
              <w:spacing w:after="120" w:line="240" w:lineRule="auto"/>
              <w:jc w:val="center"/>
            </w:pPr>
            <w:r>
              <w:rPr>
                <w:rFonts w:ascii="Calibri" w:hAnsi="Calibri"/>
                <w:color w:val="000000"/>
              </w:rPr>
              <w:t>19</w:t>
            </w:r>
          </w:p>
        </w:tc>
        <w:tc>
          <w:tcPr>
            <w:tcW w:w="3976" w:type="dxa"/>
            <w:shd w:val="clear" w:color="auto" w:fill="auto"/>
          </w:tcPr>
          <w:p w14:paraId="04236ED7" w14:textId="37EEF7FA" w:rsidR="0093221A" w:rsidRDefault="0093221A" w:rsidP="00CE7C36">
            <w:pPr>
              <w:spacing w:after="120" w:line="240" w:lineRule="auto"/>
            </w:pPr>
            <w:r>
              <w:rPr>
                <w:rFonts w:ascii="Calibri" w:hAnsi="Calibri"/>
                <w:color w:val="000000"/>
              </w:rPr>
              <w:t>Sale and repair of motor vehicles and motorcycles; retail sale of fuel</w:t>
            </w:r>
          </w:p>
        </w:tc>
        <w:tc>
          <w:tcPr>
            <w:tcW w:w="2076" w:type="dxa"/>
            <w:shd w:val="clear" w:color="auto" w:fill="auto"/>
          </w:tcPr>
          <w:p w14:paraId="5E5FE2A1" w14:textId="65ABF1F5" w:rsidR="0093221A" w:rsidRDefault="0093221A" w:rsidP="00CE7C36">
            <w:pPr>
              <w:spacing w:after="120" w:line="240" w:lineRule="auto"/>
            </w:pPr>
            <w:r>
              <w:rPr>
                <w:rFonts w:ascii="Calibri" w:hAnsi="Calibri"/>
                <w:color w:val="000000"/>
              </w:rPr>
              <w:t>Sale of motor vehicles</w:t>
            </w:r>
          </w:p>
        </w:tc>
        <w:tc>
          <w:tcPr>
            <w:tcW w:w="708" w:type="dxa"/>
            <w:shd w:val="clear" w:color="auto" w:fill="auto"/>
          </w:tcPr>
          <w:p w14:paraId="1F8620FE" w14:textId="106E306E" w:rsidR="0093221A" w:rsidRDefault="0093221A" w:rsidP="00CE7C36">
            <w:pPr>
              <w:spacing w:after="120" w:line="240" w:lineRule="auto"/>
              <w:jc w:val="center"/>
            </w:pPr>
            <w:r>
              <w:rPr>
                <w:rFonts w:ascii="Calibri" w:hAnsi="Calibri"/>
                <w:color w:val="000000"/>
              </w:rPr>
              <w:t>MTV</w:t>
            </w:r>
          </w:p>
        </w:tc>
        <w:tc>
          <w:tcPr>
            <w:tcW w:w="1727" w:type="dxa"/>
            <w:shd w:val="clear" w:color="auto" w:fill="auto"/>
          </w:tcPr>
          <w:p w14:paraId="77AC7654" w14:textId="603B38A6" w:rsidR="0093221A" w:rsidRDefault="008B6832" w:rsidP="00CE7C36">
            <w:pPr>
              <w:spacing w:after="120" w:line="240" w:lineRule="auto"/>
              <w:jc w:val="center"/>
            </w:pPr>
            <w:r>
              <w:t>G50</w:t>
            </w:r>
          </w:p>
        </w:tc>
      </w:tr>
      <w:tr w:rsidR="00DE56CF" w14:paraId="35E98EE5" w14:textId="77777777" w:rsidTr="00DE56CF">
        <w:tc>
          <w:tcPr>
            <w:tcW w:w="529" w:type="dxa"/>
            <w:shd w:val="clear" w:color="auto" w:fill="auto"/>
          </w:tcPr>
          <w:p w14:paraId="45D8A6F9" w14:textId="6E449911" w:rsidR="0093221A" w:rsidRDefault="0093221A" w:rsidP="00CE7C36">
            <w:pPr>
              <w:spacing w:after="120" w:line="240" w:lineRule="auto"/>
              <w:jc w:val="center"/>
            </w:pPr>
            <w:r>
              <w:rPr>
                <w:rFonts w:ascii="Calibri" w:hAnsi="Calibri"/>
                <w:color w:val="000000"/>
              </w:rPr>
              <w:t>20</w:t>
            </w:r>
          </w:p>
        </w:tc>
        <w:tc>
          <w:tcPr>
            <w:tcW w:w="3976" w:type="dxa"/>
            <w:shd w:val="clear" w:color="auto" w:fill="auto"/>
          </w:tcPr>
          <w:p w14:paraId="238A7E38" w14:textId="58B1085A" w:rsidR="0093221A" w:rsidRDefault="0093221A" w:rsidP="00CE7C36">
            <w:pPr>
              <w:spacing w:after="120" w:line="240" w:lineRule="auto"/>
            </w:pPr>
            <w:r>
              <w:rPr>
                <w:rFonts w:ascii="Calibri" w:hAnsi="Calibri"/>
                <w:color w:val="000000"/>
              </w:rPr>
              <w:t>Wholesale trade, except of motor vehicles and motorcycles</w:t>
            </w:r>
          </w:p>
        </w:tc>
        <w:tc>
          <w:tcPr>
            <w:tcW w:w="2076" w:type="dxa"/>
            <w:shd w:val="clear" w:color="auto" w:fill="auto"/>
          </w:tcPr>
          <w:p w14:paraId="1318E311" w14:textId="1A9A432F" w:rsidR="0093221A" w:rsidRDefault="0093221A" w:rsidP="00CE7C36">
            <w:pPr>
              <w:spacing w:after="120" w:line="240" w:lineRule="auto"/>
            </w:pPr>
            <w:r>
              <w:rPr>
                <w:rFonts w:ascii="Calibri" w:hAnsi="Calibri"/>
                <w:color w:val="000000"/>
              </w:rPr>
              <w:t>Wholesale trade</w:t>
            </w:r>
          </w:p>
        </w:tc>
        <w:tc>
          <w:tcPr>
            <w:tcW w:w="708" w:type="dxa"/>
            <w:shd w:val="clear" w:color="auto" w:fill="auto"/>
          </w:tcPr>
          <w:p w14:paraId="3CCBC9E9" w14:textId="2B10176D" w:rsidR="0093221A" w:rsidRDefault="0093221A" w:rsidP="00CE7C36">
            <w:pPr>
              <w:spacing w:after="120" w:line="240" w:lineRule="auto"/>
              <w:jc w:val="center"/>
            </w:pPr>
            <w:r>
              <w:rPr>
                <w:rFonts w:ascii="Calibri" w:hAnsi="Calibri"/>
                <w:color w:val="000000"/>
              </w:rPr>
              <w:t>WST</w:t>
            </w:r>
          </w:p>
        </w:tc>
        <w:tc>
          <w:tcPr>
            <w:tcW w:w="1727" w:type="dxa"/>
            <w:shd w:val="clear" w:color="auto" w:fill="auto"/>
          </w:tcPr>
          <w:p w14:paraId="710DB51A" w14:textId="6C510228" w:rsidR="0093221A" w:rsidRDefault="008B6832" w:rsidP="00CE7C36">
            <w:pPr>
              <w:spacing w:after="120" w:line="240" w:lineRule="auto"/>
              <w:jc w:val="center"/>
            </w:pPr>
            <w:r>
              <w:t>G51</w:t>
            </w:r>
          </w:p>
        </w:tc>
      </w:tr>
      <w:tr w:rsidR="00DE56CF" w14:paraId="5AAC7BA7" w14:textId="77777777" w:rsidTr="00DE56CF">
        <w:tc>
          <w:tcPr>
            <w:tcW w:w="529" w:type="dxa"/>
            <w:shd w:val="clear" w:color="auto" w:fill="auto"/>
          </w:tcPr>
          <w:p w14:paraId="4B63C34E" w14:textId="235F70AA" w:rsidR="0093221A" w:rsidRDefault="0093221A" w:rsidP="00CE7C36">
            <w:pPr>
              <w:spacing w:after="120" w:line="240" w:lineRule="auto"/>
              <w:jc w:val="center"/>
            </w:pPr>
            <w:r>
              <w:rPr>
                <w:rFonts w:ascii="Calibri" w:hAnsi="Calibri"/>
                <w:color w:val="000000"/>
              </w:rPr>
              <w:t>21</w:t>
            </w:r>
          </w:p>
        </w:tc>
        <w:tc>
          <w:tcPr>
            <w:tcW w:w="3976" w:type="dxa"/>
            <w:shd w:val="clear" w:color="auto" w:fill="auto"/>
          </w:tcPr>
          <w:p w14:paraId="4D4872B5" w14:textId="1F71E8DA" w:rsidR="0093221A" w:rsidRDefault="0093221A" w:rsidP="00CE7C36">
            <w:pPr>
              <w:spacing w:after="120" w:line="240" w:lineRule="auto"/>
            </w:pPr>
            <w:r>
              <w:rPr>
                <w:rFonts w:ascii="Calibri" w:hAnsi="Calibri"/>
                <w:color w:val="000000"/>
              </w:rPr>
              <w:t>Retail trade and repair, except of motor vehicles and motorcycles</w:t>
            </w:r>
          </w:p>
        </w:tc>
        <w:tc>
          <w:tcPr>
            <w:tcW w:w="2076" w:type="dxa"/>
            <w:shd w:val="clear" w:color="auto" w:fill="auto"/>
          </w:tcPr>
          <w:p w14:paraId="6F656EC1" w14:textId="6FFEA46C" w:rsidR="0093221A" w:rsidRDefault="0093221A" w:rsidP="00CE7C36">
            <w:pPr>
              <w:spacing w:after="120" w:line="240" w:lineRule="auto"/>
            </w:pPr>
            <w:r>
              <w:rPr>
                <w:rFonts w:ascii="Calibri" w:hAnsi="Calibri"/>
                <w:color w:val="000000"/>
              </w:rPr>
              <w:t>Retail trade &amp; repair</w:t>
            </w:r>
          </w:p>
        </w:tc>
        <w:tc>
          <w:tcPr>
            <w:tcW w:w="708" w:type="dxa"/>
            <w:shd w:val="clear" w:color="auto" w:fill="auto"/>
          </w:tcPr>
          <w:p w14:paraId="2156DCA0" w14:textId="16F6AA0A" w:rsidR="0093221A" w:rsidRDefault="0093221A" w:rsidP="00CE7C36">
            <w:pPr>
              <w:spacing w:after="120" w:line="240" w:lineRule="auto"/>
              <w:jc w:val="center"/>
            </w:pPr>
            <w:r>
              <w:rPr>
                <w:rFonts w:ascii="Calibri" w:hAnsi="Calibri"/>
                <w:color w:val="000000"/>
              </w:rPr>
              <w:t>RTR</w:t>
            </w:r>
          </w:p>
        </w:tc>
        <w:tc>
          <w:tcPr>
            <w:tcW w:w="1727" w:type="dxa"/>
            <w:shd w:val="clear" w:color="auto" w:fill="auto"/>
          </w:tcPr>
          <w:p w14:paraId="1C5A9901" w14:textId="3439A18D" w:rsidR="0093221A" w:rsidRDefault="008B6832" w:rsidP="00CE7C36">
            <w:pPr>
              <w:spacing w:after="120" w:line="240" w:lineRule="auto"/>
              <w:jc w:val="center"/>
            </w:pPr>
            <w:r>
              <w:t>G52</w:t>
            </w:r>
          </w:p>
        </w:tc>
      </w:tr>
      <w:tr w:rsidR="00DE56CF" w14:paraId="595AEEFC" w14:textId="77777777" w:rsidTr="00DE56CF">
        <w:tc>
          <w:tcPr>
            <w:tcW w:w="529" w:type="dxa"/>
            <w:shd w:val="clear" w:color="auto" w:fill="auto"/>
          </w:tcPr>
          <w:p w14:paraId="414DA565" w14:textId="0FE5FD34" w:rsidR="0093221A" w:rsidRDefault="0093221A" w:rsidP="00CE7C36">
            <w:pPr>
              <w:spacing w:after="120" w:line="240" w:lineRule="auto"/>
              <w:jc w:val="center"/>
            </w:pPr>
            <w:r>
              <w:rPr>
                <w:rFonts w:ascii="Calibri" w:hAnsi="Calibri"/>
                <w:color w:val="000000"/>
              </w:rPr>
              <w:t>22</w:t>
            </w:r>
          </w:p>
        </w:tc>
        <w:tc>
          <w:tcPr>
            <w:tcW w:w="3976" w:type="dxa"/>
            <w:shd w:val="clear" w:color="auto" w:fill="auto"/>
          </w:tcPr>
          <w:p w14:paraId="5ACEF3AC" w14:textId="052F76E1" w:rsidR="0093221A" w:rsidRDefault="0093221A" w:rsidP="00CE7C36">
            <w:pPr>
              <w:spacing w:after="120" w:line="240" w:lineRule="auto"/>
            </w:pPr>
            <w:r>
              <w:rPr>
                <w:rFonts w:ascii="Calibri" w:hAnsi="Calibri"/>
                <w:color w:val="000000"/>
              </w:rPr>
              <w:t>Hotels and restaurants</w:t>
            </w:r>
          </w:p>
        </w:tc>
        <w:tc>
          <w:tcPr>
            <w:tcW w:w="2076" w:type="dxa"/>
            <w:shd w:val="clear" w:color="auto" w:fill="auto"/>
          </w:tcPr>
          <w:p w14:paraId="50670179" w14:textId="08F0580E" w:rsidR="0093221A" w:rsidRDefault="0093221A" w:rsidP="00CE7C36">
            <w:pPr>
              <w:spacing w:after="120" w:line="240" w:lineRule="auto"/>
            </w:pPr>
            <w:r>
              <w:rPr>
                <w:rFonts w:ascii="Calibri" w:hAnsi="Calibri"/>
                <w:color w:val="000000"/>
              </w:rPr>
              <w:t>Hotels &amp; restaurants</w:t>
            </w:r>
          </w:p>
        </w:tc>
        <w:tc>
          <w:tcPr>
            <w:tcW w:w="708" w:type="dxa"/>
            <w:shd w:val="clear" w:color="auto" w:fill="auto"/>
          </w:tcPr>
          <w:p w14:paraId="1AB05FB1" w14:textId="076EBB0D" w:rsidR="0093221A" w:rsidRDefault="0093221A" w:rsidP="00CE7C36">
            <w:pPr>
              <w:spacing w:after="120" w:line="240" w:lineRule="auto"/>
              <w:jc w:val="center"/>
            </w:pPr>
            <w:r>
              <w:rPr>
                <w:rFonts w:ascii="Calibri" w:hAnsi="Calibri"/>
                <w:color w:val="000000"/>
              </w:rPr>
              <w:t>HRS</w:t>
            </w:r>
          </w:p>
        </w:tc>
        <w:tc>
          <w:tcPr>
            <w:tcW w:w="1727" w:type="dxa"/>
            <w:shd w:val="clear" w:color="auto" w:fill="auto"/>
          </w:tcPr>
          <w:p w14:paraId="7B53CFE1" w14:textId="21F768B4" w:rsidR="0093221A" w:rsidRDefault="008B6832" w:rsidP="00CE7C36">
            <w:pPr>
              <w:spacing w:after="120" w:line="240" w:lineRule="auto"/>
              <w:jc w:val="center"/>
            </w:pPr>
            <w:r>
              <w:t>H</w:t>
            </w:r>
          </w:p>
        </w:tc>
      </w:tr>
      <w:tr w:rsidR="00DE56CF" w14:paraId="6247DE4D" w14:textId="77777777" w:rsidTr="00DE56CF">
        <w:tc>
          <w:tcPr>
            <w:tcW w:w="529" w:type="dxa"/>
            <w:shd w:val="clear" w:color="auto" w:fill="auto"/>
          </w:tcPr>
          <w:p w14:paraId="1E93951B" w14:textId="3E0A8A69" w:rsidR="0093221A" w:rsidRDefault="0093221A" w:rsidP="00CE7C36">
            <w:pPr>
              <w:spacing w:after="120" w:line="240" w:lineRule="auto"/>
              <w:jc w:val="center"/>
            </w:pPr>
            <w:r>
              <w:rPr>
                <w:rFonts w:ascii="Calibri" w:hAnsi="Calibri"/>
                <w:color w:val="000000"/>
              </w:rPr>
              <w:t>23</w:t>
            </w:r>
          </w:p>
        </w:tc>
        <w:tc>
          <w:tcPr>
            <w:tcW w:w="3976" w:type="dxa"/>
            <w:shd w:val="clear" w:color="auto" w:fill="auto"/>
          </w:tcPr>
          <w:p w14:paraId="1ECBEC0D" w14:textId="356CA9D3" w:rsidR="0093221A" w:rsidRDefault="0093221A" w:rsidP="00CE7C36">
            <w:pPr>
              <w:spacing w:after="120" w:line="240" w:lineRule="auto"/>
            </w:pPr>
            <w:r>
              <w:rPr>
                <w:rFonts w:ascii="Calibri" w:hAnsi="Calibri"/>
                <w:color w:val="000000"/>
              </w:rPr>
              <w:t>Inland transport</w:t>
            </w:r>
          </w:p>
        </w:tc>
        <w:tc>
          <w:tcPr>
            <w:tcW w:w="2076" w:type="dxa"/>
            <w:shd w:val="clear" w:color="auto" w:fill="auto"/>
          </w:tcPr>
          <w:p w14:paraId="102B6DE4" w14:textId="24BBC8AA" w:rsidR="0093221A" w:rsidRDefault="0093221A" w:rsidP="00CE7C36">
            <w:pPr>
              <w:spacing w:after="120" w:line="240" w:lineRule="auto"/>
            </w:pPr>
            <w:r>
              <w:rPr>
                <w:rFonts w:ascii="Calibri" w:hAnsi="Calibri"/>
                <w:color w:val="000000"/>
              </w:rPr>
              <w:t>Inland transport</w:t>
            </w:r>
          </w:p>
        </w:tc>
        <w:tc>
          <w:tcPr>
            <w:tcW w:w="708" w:type="dxa"/>
            <w:shd w:val="clear" w:color="auto" w:fill="auto"/>
          </w:tcPr>
          <w:p w14:paraId="6D237C06" w14:textId="530DE066" w:rsidR="0093221A" w:rsidRDefault="0093221A" w:rsidP="00CE7C36">
            <w:pPr>
              <w:spacing w:after="120" w:line="240" w:lineRule="auto"/>
              <w:jc w:val="center"/>
            </w:pPr>
            <w:r>
              <w:rPr>
                <w:rFonts w:ascii="Calibri" w:hAnsi="Calibri"/>
                <w:color w:val="000000"/>
              </w:rPr>
              <w:t>ITR</w:t>
            </w:r>
          </w:p>
        </w:tc>
        <w:tc>
          <w:tcPr>
            <w:tcW w:w="1727" w:type="dxa"/>
            <w:shd w:val="clear" w:color="auto" w:fill="auto"/>
          </w:tcPr>
          <w:p w14:paraId="0559D4DD" w14:textId="66E2DA58" w:rsidR="0093221A" w:rsidRDefault="008B6832" w:rsidP="00CE7C36">
            <w:pPr>
              <w:spacing w:after="120" w:line="240" w:lineRule="auto"/>
              <w:jc w:val="center"/>
            </w:pPr>
            <w:r>
              <w:t>I60</w:t>
            </w:r>
          </w:p>
        </w:tc>
      </w:tr>
      <w:tr w:rsidR="000E5E8A" w14:paraId="3B269499" w14:textId="77777777" w:rsidTr="00DE56CF">
        <w:tc>
          <w:tcPr>
            <w:tcW w:w="529" w:type="dxa"/>
            <w:shd w:val="clear" w:color="auto" w:fill="auto"/>
          </w:tcPr>
          <w:p w14:paraId="08941DAF" w14:textId="060E8F2A" w:rsidR="000E5E8A" w:rsidRDefault="000E5E8A" w:rsidP="00CE7C36">
            <w:pPr>
              <w:spacing w:after="120" w:line="240" w:lineRule="auto"/>
              <w:jc w:val="center"/>
              <w:rPr>
                <w:rFonts w:ascii="Calibri" w:hAnsi="Calibri"/>
                <w:color w:val="000000"/>
              </w:rPr>
            </w:pPr>
            <w:r>
              <w:rPr>
                <w:rFonts w:ascii="Calibri" w:hAnsi="Calibri"/>
                <w:color w:val="000000"/>
              </w:rPr>
              <w:t>24</w:t>
            </w:r>
          </w:p>
        </w:tc>
        <w:tc>
          <w:tcPr>
            <w:tcW w:w="3976" w:type="dxa"/>
            <w:shd w:val="clear" w:color="auto" w:fill="auto"/>
          </w:tcPr>
          <w:p w14:paraId="35436784" w14:textId="779702D0" w:rsidR="000E5E8A" w:rsidRDefault="000E5E8A" w:rsidP="00CE7C36">
            <w:pPr>
              <w:spacing w:after="120" w:line="240" w:lineRule="auto"/>
              <w:rPr>
                <w:rFonts w:ascii="Calibri" w:hAnsi="Calibri"/>
                <w:color w:val="000000"/>
              </w:rPr>
            </w:pPr>
            <w:r>
              <w:rPr>
                <w:rFonts w:ascii="Calibri" w:hAnsi="Calibri"/>
                <w:color w:val="000000"/>
              </w:rPr>
              <w:t>Water transport</w:t>
            </w:r>
          </w:p>
        </w:tc>
        <w:tc>
          <w:tcPr>
            <w:tcW w:w="2076" w:type="dxa"/>
            <w:shd w:val="clear" w:color="auto" w:fill="auto"/>
          </w:tcPr>
          <w:p w14:paraId="75E6FB7B" w14:textId="7753ED7B" w:rsidR="000E5E8A" w:rsidRDefault="000E5E8A" w:rsidP="00CE7C36">
            <w:pPr>
              <w:spacing w:after="120" w:line="240" w:lineRule="auto"/>
              <w:rPr>
                <w:rFonts w:ascii="Calibri" w:hAnsi="Calibri"/>
                <w:color w:val="000000"/>
              </w:rPr>
            </w:pPr>
            <w:r>
              <w:rPr>
                <w:rFonts w:ascii="Calibri" w:hAnsi="Calibri"/>
                <w:color w:val="000000"/>
              </w:rPr>
              <w:t>Water transport</w:t>
            </w:r>
          </w:p>
        </w:tc>
        <w:tc>
          <w:tcPr>
            <w:tcW w:w="708" w:type="dxa"/>
            <w:shd w:val="clear" w:color="auto" w:fill="auto"/>
          </w:tcPr>
          <w:p w14:paraId="394A974B" w14:textId="69CA74B4" w:rsidR="000E5E8A" w:rsidRDefault="000E5E8A" w:rsidP="00CE7C36">
            <w:pPr>
              <w:spacing w:after="120" w:line="240" w:lineRule="auto"/>
              <w:jc w:val="center"/>
              <w:rPr>
                <w:rFonts w:ascii="Calibri" w:hAnsi="Calibri"/>
                <w:color w:val="000000"/>
              </w:rPr>
            </w:pPr>
            <w:r>
              <w:rPr>
                <w:rFonts w:ascii="Calibri" w:hAnsi="Calibri"/>
                <w:color w:val="000000"/>
              </w:rPr>
              <w:t>WTR</w:t>
            </w:r>
          </w:p>
        </w:tc>
        <w:tc>
          <w:tcPr>
            <w:tcW w:w="1727" w:type="dxa"/>
            <w:shd w:val="clear" w:color="auto" w:fill="auto"/>
          </w:tcPr>
          <w:p w14:paraId="7D9AEA97" w14:textId="1F3CE226" w:rsidR="000E5E8A" w:rsidRDefault="008B6832" w:rsidP="00CE7C36">
            <w:pPr>
              <w:spacing w:after="120" w:line="240" w:lineRule="auto"/>
              <w:jc w:val="center"/>
            </w:pPr>
            <w:r>
              <w:t>I61</w:t>
            </w:r>
          </w:p>
        </w:tc>
      </w:tr>
      <w:tr w:rsidR="000E5E8A" w14:paraId="62709494" w14:textId="77777777" w:rsidTr="00DE56CF">
        <w:tc>
          <w:tcPr>
            <w:tcW w:w="529" w:type="dxa"/>
            <w:shd w:val="clear" w:color="auto" w:fill="auto"/>
          </w:tcPr>
          <w:p w14:paraId="683CC607" w14:textId="16EC0252" w:rsidR="000E5E8A" w:rsidRDefault="000E5E8A" w:rsidP="00CE7C36">
            <w:pPr>
              <w:spacing w:after="120" w:line="240" w:lineRule="auto"/>
              <w:jc w:val="center"/>
              <w:rPr>
                <w:rFonts w:ascii="Calibri" w:hAnsi="Calibri"/>
                <w:color w:val="000000"/>
              </w:rPr>
            </w:pPr>
            <w:r>
              <w:rPr>
                <w:rFonts w:ascii="Calibri" w:hAnsi="Calibri"/>
                <w:color w:val="000000"/>
              </w:rPr>
              <w:t>25</w:t>
            </w:r>
          </w:p>
        </w:tc>
        <w:tc>
          <w:tcPr>
            <w:tcW w:w="3976" w:type="dxa"/>
            <w:shd w:val="clear" w:color="auto" w:fill="auto"/>
          </w:tcPr>
          <w:p w14:paraId="7E85F0A0" w14:textId="7721D0F6" w:rsidR="000E5E8A" w:rsidRDefault="000E5E8A" w:rsidP="00CE7C36">
            <w:pPr>
              <w:spacing w:after="120" w:line="240" w:lineRule="auto"/>
              <w:rPr>
                <w:rFonts w:ascii="Calibri" w:hAnsi="Calibri"/>
                <w:color w:val="000000"/>
              </w:rPr>
            </w:pPr>
            <w:r>
              <w:rPr>
                <w:rFonts w:ascii="Calibri" w:hAnsi="Calibri"/>
                <w:color w:val="000000"/>
              </w:rPr>
              <w:t>Air transport</w:t>
            </w:r>
          </w:p>
        </w:tc>
        <w:tc>
          <w:tcPr>
            <w:tcW w:w="2076" w:type="dxa"/>
            <w:shd w:val="clear" w:color="auto" w:fill="auto"/>
          </w:tcPr>
          <w:p w14:paraId="736D3484" w14:textId="675A7104" w:rsidR="000E5E8A" w:rsidRDefault="000E5E8A" w:rsidP="00CE7C36">
            <w:pPr>
              <w:spacing w:after="120" w:line="240" w:lineRule="auto"/>
              <w:rPr>
                <w:rFonts w:ascii="Calibri" w:hAnsi="Calibri"/>
                <w:color w:val="000000"/>
              </w:rPr>
            </w:pPr>
            <w:r>
              <w:rPr>
                <w:rFonts w:ascii="Calibri" w:hAnsi="Calibri"/>
                <w:color w:val="000000"/>
              </w:rPr>
              <w:t>Air transport</w:t>
            </w:r>
          </w:p>
        </w:tc>
        <w:tc>
          <w:tcPr>
            <w:tcW w:w="708" w:type="dxa"/>
            <w:shd w:val="clear" w:color="auto" w:fill="auto"/>
          </w:tcPr>
          <w:p w14:paraId="3F8498AD" w14:textId="13AE85D7" w:rsidR="000E5E8A" w:rsidRDefault="000E5E8A" w:rsidP="00CE7C36">
            <w:pPr>
              <w:spacing w:after="120" w:line="240" w:lineRule="auto"/>
              <w:jc w:val="center"/>
              <w:rPr>
                <w:rFonts w:ascii="Calibri" w:hAnsi="Calibri"/>
                <w:color w:val="000000"/>
              </w:rPr>
            </w:pPr>
            <w:r>
              <w:rPr>
                <w:rFonts w:ascii="Calibri" w:hAnsi="Calibri"/>
                <w:color w:val="000000"/>
              </w:rPr>
              <w:t>ATR</w:t>
            </w:r>
          </w:p>
        </w:tc>
        <w:tc>
          <w:tcPr>
            <w:tcW w:w="1727" w:type="dxa"/>
            <w:shd w:val="clear" w:color="auto" w:fill="auto"/>
          </w:tcPr>
          <w:p w14:paraId="5CE1EDE7" w14:textId="40EAB72E" w:rsidR="000E5E8A" w:rsidRDefault="008B6832" w:rsidP="00CE7C36">
            <w:pPr>
              <w:spacing w:after="120" w:line="240" w:lineRule="auto"/>
              <w:jc w:val="center"/>
            </w:pPr>
            <w:r>
              <w:t>I62</w:t>
            </w:r>
          </w:p>
        </w:tc>
      </w:tr>
      <w:tr w:rsidR="000E5E8A" w14:paraId="25C6952C" w14:textId="77777777" w:rsidTr="00DE56CF">
        <w:tc>
          <w:tcPr>
            <w:tcW w:w="529" w:type="dxa"/>
            <w:shd w:val="clear" w:color="auto" w:fill="auto"/>
          </w:tcPr>
          <w:p w14:paraId="4807CCB7" w14:textId="29514559" w:rsidR="000E5E8A" w:rsidRDefault="000E5E8A" w:rsidP="00CE7C36">
            <w:pPr>
              <w:spacing w:after="120" w:line="240" w:lineRule="auto"/>
              <w:jc w:val="center"/>
              <w:rPr>
                <w:rFonts w:ascii="Calibri" w:hAnsi="Calibri"/>
                <w:color w:val="000000"/>
              </w:rPr>
            </w:pPr>
            <w:r>
              <w:rPr>
                <w:rFonts w:ascii="Calibri" w:hAnsi="Calibri"/>
                <w:color w:val="000000"/>
              </w:rPr>
              <w:t>26</w:t>
            </w:r>
          </w:p>
        </w:tc>
        <w:tc>
          <w:tcPr>
            <w:tcW w:w="3976" w:type="dxa"/>
            <w:shd w:val="clear" w:color="auto" w:fill="auto"/>
          </w:tcPr>
          <w:p w14:paraId="6E4550C9" w14:textId="2DDE42AC" w:rsidR="000E5E8A" w:rsidRDefault="000E5E8A" w:rsidP="00CE7C36">
            <w:pPr>
              <w:spacing w:after="120" w:line="240" w:lineRule="auto"/>
              <w:rPr>
                <w:rFonts w:ascii="Calibri" w:hAnsi="Calibri"/>
                <w:color w:val="000000"/>
              </w:rPr>
            </w:pPr>
            <w:r>
              <w:rPr>
                <w:rFonts w:ascii="Calibri" w:hAnsi="Calibri"/>
                <w:color w:val="000000"/>
              </w:rPr>
              <w:t>Other supporting transport activities</w:t>
            </w:r>
          </w:p>
        </w:tc>
        <w:tc>
          <w:tcPr>
            <w:tcW w:w="2076" w:type="dxa"/>
            <w:shd w:val="clear" w:color="auto" w:fill="auto"/>
          </w:tcPr>
          <w:p w14:paraId="743913B8" w14:textId="42B08412" w:rsidR="000E5E8A" w:rsidRDefault="000E5E8A" w:rsidP="00CE7C36">
            <w:pPr>
              <w:spacing w:after="120" w:line="240" w:lineRule="auto"/>
              <w:rPr>
                <w:rFonts w:ascii="Calibri" w:hAnsi="Calibri"/>
                <w:color w:val="000000"/>
              </w:rPr>
            </w:pPr>
            <w:r>
              <w:rPr>
                <w:rFonts w:ascii="Calibri" w:hAnsi="Calibri"/>
                <w:color w:val="000000"/>
              </w:rPr>
              <w:t>Other transport services</w:t>
            </w:r>
          </w:p>
        </w:tc>
        <w:tc>
          <w:tcPr>
            <w:tcW w:w="708" w:type="dxa"/>
            <w:shd w:val="clear" w:color="auto" w:fill="auto"/>
          </w:tcPr>
          <w:p w14:paraId="4CB67ED7" w14:textId="08C77A3D" w:rsidR="000E5E8A" w:rsidRDefault="000E5E8A" w:rsidP="00CE7C36">
            <w:pPr>
              <w:spacing w:after="120" w:line="240" w:lineRule="auto"/>
              <w:jc w:val="center"/>
              <w:rPr>
                <w:rFonts w:ascii="Calibri" w:hAnsi="Calibri"/>
                <w:color w:val="000000"/>
              </w:rPr>
            </w:pPr>
            <w:r>
              <w:rPr>
                <w:rFonts w:ascii="Calibri" w:hAnsi="Calibri"/>
                <w:color w:val="000000"/>
              </w:rPr>
              <w:t>OTR</w:t>
            </w:r>
          </w:p>
        </w:tc>
        <w:tc>
          <w:tcPr>
            <w:tcW w:w="1727" w:type="dxa"/>
            <w:shd w:val="clear" w:color="auto" w:fill="auto"/>
          </w:tcPr>
          <w:p w14:paraId="102CE7D5" w14:textId="3A490550" w:rsidR="000E5E8A" w:rsidRDefault="008B6832" w:rsidP="00CE7C36">
            <w:pPr>
              <w:spacing w:after="120" w:line="240" w:lineRule="auto"/>
              <w:jc w:val="center"/>
            </w:pPr>
            <w:r>
              <w:t>I63</w:t>
            </w:r>
          </w:p>
        </w:tc>
      </w:tr>
      <w:tr w:rsidR="00DE56CF" w14:paraId="12F6A777" w14:textId="77777777" w:rsidTr="00DE56CF">
        <w:tc>
          <w:tcPr>
            <w:tcW w:w="529" w:type="dxa"/>
            <w:shd w:val="clear" w:color="auto" w:fill="auto"/>
          </w:tcPr>
          <w:p w14:paraId="6B482762" w14:textId="67A92583" w:rsidR="000E5E8A" w:rsidRDefault="000E5E8A" w:rsidP="00CE7C36">
            <w:pPr>
              <w:spacing w:after="120" w:line="240" w:lineRule="auto"/>
              <w:jc w:val="center"/>
              <w:rPr>
                <w:rFonts w:ascii="Calibri" w:hAnsi="Calibri"/>
                <w:color w:val="000000"/>
              </w:rPr>
            </w:pPr>
            <w:r>
              <w:rPr>
                <w:rFonts w:ascii="Calibri" w:hAnsi="Calibri"/>
                <w:color w:val="000000"/>
              </w:rPr>
              <w:t>27</w:t>
            </w:r>
          </w:p>
        </w:tc>
        <w:tc>
          <w:tcPr>
            <w:tcW w:w="3976" w:type="dxa"/>
            <w:shd w:val="clear" w:color="auto" w:fill="auto"/>
          </w:tcPr>
          <w:p w14:paraId="4A1BB9FC" w14:textId="5F110AFF" w:rsidR="000E5E8A" w:rsidRDefault="000E5E8A" w:rsidP="00CE7C36">
            <w:pPr>
              <w:spacing w:after="120" w:line="240" w:lineRule="auto"/>
              <w:rPr>
                <w:rFonts w:ascii="Calibri" w:hAnsi="Calibri"/>
                <w:color w:val="000000"/>
              </w:rPr>
            </w:pPr>
            <w:r>
              <w:rPr>
                <w:rFonts w:ascii="Calibri" w:hAnsi="Calibri"/>
                <w:color w:val="000000"/>
              </w:rPr>
              <w:t>Post and telecommunications</w:t>
            </w:r>
          </w:p>
        </w:tc>
        <w:tc>
          <w:tcPr>
            <w:tcW w:w="2076" w:type="dxa"/>
            <w:shd w:val="clear" w:color="auto" w:fill="auto"/>
          </w:tcPr>
          <w:p w14:paraId="24BADB3B" w14:textId="2BDFD4DF" w:rsidR="000E5E8A" w:rsidRDefault="000E5E8A" w:rsidP="00CE7C36">
            <w:pPr>
              <w:spacing w:after="120" w:line="240" w:lineRule="auto"/>
              <w:rPr>
                <w:rFonts w:ascii="Calibri" w:hAnsi="Calibri"/>
                <w:color w:val="000000"/>
              </w:rPr>
            </w:pPr>
            <w:r>
              <w:rPr>
                <w:rFonts w:ascii="Calibri" w:hAnsi="Calibri"/>
                <w:color w:val="000000"/>
              </w:rPr>
              <w:t>Telecommunications</w:t>
            </w:r>
          </w:p>
        </w:tc>
        <w:tc>
          <w:tcPr>
            <w:tcW w:w="708" w:type="dxa"/>
            <w:shd w:val="clear" w:color="auto" w:fill="auto"/>
          </w:tcPr>
          <w:p w14:paraId="2F792261" w14:textId="44F628A2" w:rsidR="000E5E8A" w:rsidRDefault="000E5E8A" w:rsidP="00CE7C36">
            <w:pPr>
              <w:spacing w:after="120" w:line="240" w:lineRule="auto"/>
              <w:jc w:val="center"/>
              <w:rPr>
                <w:rFonts w:ascii="Calibri" w:hAnsi="Calibri"/>
                <w:color w:val="000000"/>
              </w:rPr>
            </w:pPr>
            <w:r>
              <w:rPr>
                <w:rFonts w:ascii="Calibri" w:hAnsi="Calibri"/>
                <w:color w:val="000000"/>
              </w:rPr>
              <w:t>TEL</w:t>
            </w:r>
          </w:p>
        </w:tc>
        <w:tc>
          <w:tcPr>
            <w:tcW w:w="1727" w:type="dxa"/>
            <w:shd w:val="clear" w:color="auto" w:fill="auto"/>
          </w:tcPr>
          <w:p w14:paraId="5528A2B4" w14:textId="327785DE" w:rsidR="000E5E8A" w:rsidRDefault="008B6832" w:rsidP="00CE7C36">
            <w:pPr>
              <w:spacing w:after="120" w:line="240" w:lineRule="auto"/>
              <w:jc w:val="center"/>
            </w:pPr>
            <w:r>
              <w:t>I64</w:t>
            </w:r>
          </w:p>
        </w:tc>
      </w:tr>
      <w:tr w:rsidR="00DE56CF" w14:paraId="7118D6DA" w14:textId="77777777" w:rsidTr="00DE56CF">
        <w:tc>
          <w:tcPr>
            <w:tcW w:w="529" w:type="dxa"/>
            <w:shd w:val="clear" w:color="auto" w:fill="auto"/>
          </w:tcPr>
          <w:p w14:paraId="1B832C11" w14:textId="32819C7A" w:rsidR="000E5E8A" w:rsidRDefault="000E5E8A" w:rsidP="00CE7C36">
            <w:pPr>
              <w:spacing w:after="120" w:line="240" w:lineRule="auto"/>
              <w:jc w:val="center"/>
              <w:rPr>
                <w:rFonts w:ascii="Calibri" w:hAnsi="Calibri"/>
                <w:color w:val="000000"/>
              </w:rPr>
            </w:pPr>
            <w:r>
              <w:rPr>
                <w:rFonts w:ascii="Calibri" w:hAnsi="Calibri"/>
                <w:color w:val="000000"/>
              </w:rPr>
              <w:t>28</w:t>
            </w:r>
          </w:p>
        </w:tc>
        <w:tc>
          <w:tcPr>
            <w:tcW w:w="3976" w:type="dxa"/>
            <w:shd w:val="clear" w:color="auto" w:fill="auto"/>
          </w:tcPr>
          <w:p w14:paraId="123E459F" w14:textId="315CD50E" w:rsidR="000E5E8A" w:rsidRDefault="000E5E8A" w:rsidP="00CE7C36">
            <w:pPr>
              <w:spacing w:after="120" w:line="240" w:lineRule="auto"/>
              <w:rPr>
                <w:rFonts w:ascii="Calibri" w:hAnsi="Calibri"/>
                <w:color w:val="000000"/>
              </w:rPr>
            </w:pPr>
            <w:r>
              <w:rPr>
                <w:rFonts w:ascii="Calibri" w:hAnsi="Calibri"/>
                <w:color w:val="000000"/>
              </w:rPr>
              <w:t>Financial intermediation</w:t>
            </w:r>
          </w:p>
        </w:tc>
        <w:tc>
          <w:tcPr>
            <w:tcW w:w="2076" w:type="dxa"/>
            <w:shd w:val="clear" w:color="auto" w:fill="auto"/>
          </w:tcPr>
          <w:p w14:paraId="7A019623" w14:textId="516640AB" w:rsidR="000E5E8A" w:rsidRDefault="000E5E8A" w:rsidP="00CE7C36">
            <w:pPr>
              <w:spacing w:after="120" w:line="240" w:lineRule="auto"/>
              <w:rPr>
                <w:rFonts w:ascii="Calibri" w:hAnsi="Calibri"/>
                <w:color w:val="000000"/>
              </w:rPr>
            </w:pPr>
            <w:r>
              <w:rPr>
                <w:rFonts w:ascii="Calibri" w:hAnsi="Calibri"/>
                <w:color w:val="000000"/>
              </w:rPr>
              <w:t>Finance</w:t>
            </w:r>
          </w:p>
        </w:tc>
        <w:tc>
          <w:tcPr>
            <w:tcW w:w="708" w:type="dxa"/>
            <w:shd w:val="clear" w:color="auto" w:fill="auto"/>
          </w:tcPr>
          <w:p w14:paraId="29E9B174" w14:textId="5ACBBE01" w:rsidR="000E5E8A" w:rsidRDefault="000E5E8A" w:rsidP="00CE7C36">
            <w:pPr>
              <w:spacing w:after="120" w:line="240" w:lineRule="auto"/>
              <w:jc w:val="center"/>
              <w:rPr>
                <w:rFonts w:ascii="Calibri" w:hAnsi="Calibri"/>
                <w:color w:val="000000"/>
              </w:rPr>
            </w:pPr>
            <w:r>
              <w:rPr>
                <w:rFonts w:ascii="Calibri" w:hAnsi="Calibri"/>
                <w:color w:val="000000"/>
              </w:rPr>
              <w:t>FIN</w:t>
            </w:r>
          </w:p>
        </w:tc>
        <w:tc>
          <w:tcPr>
            <w:tcW w:w="1727" w:type="dxa"/>
            <w:shd w:val="clear" w:color="auto" w:fill="auto"/>
          </w:tcPr>
          <w:p w14:paraId="054988FC" w14:textId="04FC467F" w:rsidR="000E5E8A" w:rsidRDefault="008B6832" w:rsidP="00CE7C36">
            <w:pPr>
              <w:spacing w:after="120" w:line="240" w:lineRule="auto"/>
              <w:jc w:val="center"/>
            </w:pPr>
            <w:r>
              <w:t>J65–67</w:t>
            </w:r>
          </w:p>
        </w:tc>
      </w:tr>
      <w:tr w:rsidR="00DE56CF" w14:paraId="315EB65E" w14:textId="77777777" w:rsidTr="00DE56CF">
        <w:tc>
          <w:tcPr>
            <w:tcW w:w="529" w:type="dxa"/>
            <w:shd w:val="clear" w:color="auto" w:fill="auto"/>
          </w:tcPr>
          <w:p w14:paraId="60F768F2" w14:textId="55451D0E" w:rsidR="000E5E8A" w:rsidRDefault="000E5E8A" w:rsidP="00CE7C36">
            <w:pPr>
              <w:spacing w:after="120" w:line="240" w:lineRule="auto"/>
              <w:jc w:val="center"/>
              <w:rPr>
                <w:rFonts w:ascii="Calibri" w:hAnsi="Calibri"/>
                <w:color w:val="000000"/>
              </w:rPr>
            </w:pPr>
            <w:r>
              <w:rPr>
                <w:rFonts w:ascii="Calibri" w:hAnsi="Calibri"/>
                <w:color w:val="000000"/>
              </w:rPr>
              <w:t>29</w:t>
            </w:r>
          </w:p>
        </w:tc>
        <w:tc>
          <w:tcPr>
            <w:tcW w:w="3976" w:type="dxa"/>
            <w:shd w:val="clear" w:color="auto" w:fill="auto"/>
          </w:tcPr>
          <w:p w14:paraId="0E820095" w14:textId="5778831E" w:rsidR="000E5E8A" w:rsidRDefault="000E5E8A" w:rsidP="00CE7C36">
            <w:pPr>
              <w:spacing w:after="120" w:line="240" w:lineRule="auto"/>
              <w:rPr>
                <w:rFonts w:ascii="Calibri" w:hAnsi="Calibri"/>
                <w:color w:val="000000"/>
              </w:rPr>
            </w:pPr>
            <w:r>
              <w:rPr>
                <w:rFonts w:ascii="Calibri" w:hAnsi="Calibri"/>
                <w:color w:val="000000"/>
              </w:rPr>
              <w:t>Real estate activities</w:t>
            </w:r>
          </w:p>
        </w:tc>
        <w:tc>
          <w:tcPr>
            <w:tcW w:w="2076" w:type="dxa"/>
            <w:shd w:val="clear" w:color="auto" w:fill="auto"/>
          </w:tcPr>
          <w:p w14:paraId="2C5D007D" w14:textId="454AF85B" w:rsidR="000E5E8A" w:rsidRDefault="000E5E8A" w:rsidP="00CE7C36">
            <w:pPr>
              <w:spacing w:after="120" w:line="240" w:lineRule="auto"/>
              <w:rPr>
                <w:rFonts w:ascii="Calibri" w:hAnsi="Calibri"/>
                <w:color w:val="000000"/>
              </w:rPr>
            </w:pPr>
            <w:r>
              <w:rPr>
                <w:rFonts w:ascii="Calibri" w:hAnsi="Calibri"/>
                <w:color w:val="000000"/>
              </w:rPr>
              <w:t>Real estate</w:t>
            </w:r>
          </w:p>
        </w:tc>
        <w:tc>
          <w:tcPr>
            <w:tcW w:w="708" w:type="dxa"/>
            <w:shd w:val="clear" w:color="auto" w:fill="auto"/>
          </w:tcPr>
          <w:p w14:paraId="06E88345" w14:textId="68268875" w:rsidR="000E5E8A" w:rsidRDefault="000E5E8A" w:rsidP="00CE7C36">
            <w:pPr>
              <w:spacing w:after="120" w:line="240" w:lineRule="auto"/>
              <w:jc w:val="center"/>
              <w:rPr>
                <w:rFonts w:ascii="Calibri" w:hAnsi="Calibri"/>
                <w:color w:val="000000"/>
              </w:rPr>
            </w:pPr>
            <w:r>
              <w:rPr>
                <w:rFonts w:ascii="Calibri" w:hAnsi="Calibri"/>
                <w:color w:val="000000"/>
              </w:rPr>
              <w:t>REA</w:t>
            </w:r>
          </w:p>
        </w:tc>
        <w:tc>
          <w:tcPr>
            <w:tcW w:w="1727" w:type="dxa"/>
            <w:shd w:val="clear" w:color="auto" w:fill="auto"/>
          </w:tcPr>
          <w:p w14:paraId="2100A8F6" w14:textId="586FD8D1" w:rsidR="000E5E8A" w:rsidRDefault="008B6832" w:rsidP="00CE7C36">
            <w:pPr>
              <w:spacing w:after="120" w:line="240" w:lineRule="auto"/>
              <w:jc w:val="center"/>
            </w:pPr>
            <w:r>
              <w:t>K70</w:t>
            </w:r>
          </w:p>
        </w:tc>
      </w:tr>
      <w:tr w:rsidR="00DE56CF" w14:paraId="50673232" w14:textId="77777777" w:rsidTr="00DE56CF">
        <w:tc>
          <w:tcPr>
            <w:tcW w:w="529" w:type="dxa"/>
            <w:shd w:val="clear" w:color="auto" w:fill="auto"/>
          </w:tcPr>
          <w:p w14:paraId="1986F530" w14:textId="294DE2B2" w:rsidR="000E5E8A" w:rsidRDefault="000E5E8A" w:rsidP="00CE7C36">
            <w:pPr>
              <w:spacing w:after="120" w:line="240" w:lineRule="auto"/>
              <w:jc w:val="center"/>
              <w:rPr>
                <w:rFonts w:ascii="Calibri" w:hAnsi="Calibri"/>
                <w:color w:val="000000"/>
              </w:rPr>
            </w:pPr>
            <w:r>
              <w:rPr>
                <w:rFonts w:ascii="Calibri" w:hAnsi="Calibri"/>
                <w:color w:val="000000"/>
              </w:rPr>
              <w:lastRenderedPageBreak/>
              <w:t>30</w:t>
            </w:r>
          </w:p>
        </w:tc>
        <w:tc>
          <w:tcPr>
            <w:tcW w:w="3976" w:type="dxa"/>
            <w:shd w:val="clear" w:color="auto" w:fill="auto"/>
          </w:tcPr>
          <w:p w14:paraId="6978FF63" w14:textId="2BFE999C" w:rsidR="000E5E8A" w:rsidRDefault="000E5E8A" w:rsidP="00CE7C36">
            <w:pPr>
              <w:spacing w:after="120" w:line="240" w:lineRule="auto"/>
              <w:rPr>
                <w:rFonts w:ascii="Calibri" w:hAnsi="Calibri"/>
                <w:color w:val="000000"/>
              </w:rPr>
            </w:pPr>
            <w:r>
              <w:rPr>
                <w:rFonts w:ascii="Calibri" w:hAnsi="Calibri"/>
                <w:color w:val="000000"/>
              </w:rPr>
              <w:t>Renting of machinery &amp; equipment and other business activities</w:t>
            </w:r>
          </w:p>
        </w:tc>
        <w:tc>
          <w:tcPr>
            <w:tcW w:w="2076" w:type="dxa"/>
            <w:shd w:val="clear" w:color="auto" w:fill="auto"/>
          </w:tcPr>
          <w:p w14:paraId="61EA67B5" w14:textId="6157D26E" w:rsidR="000E5E8A" w:rsidRDefault="000E5E8A" w:rsidP="00CE7C36">
            <w:pPr>
              <w:spacing w:after="120" w:line="240" w:lineRule="auto"/>
              <w:rPr>
                <w:rFonts w:ascii="Calibri" w:hAnsi="Calibri"/>
                <w:color w:val="000000"/>
              </w:rPr>
            </w:pPr>
            <w:r>
              <w:rPr>
                <w:rFonts w:ascii="Calibri" w:hAnsi="Calibri"/>
                <w:color w:val="000000"/>
              </w:rPr>
              <w:t>Other business services</w:t>
            </w:r>
          </w:p>
        </w:tc>
        <w:tc>
          <w:tcPr>
            <w:tcW w:w="708" w:type="dxa"/>
            <w:shd w:val="clear" w:color="auto" w:fill="auto"/>
          </w:tcPr>
          <w:p w14:paraId="7899766C" w14:textId="0130C139" w:rsidR="000E5E8A" w:rsidRDefault="000E5E8A" w:rsidP="00CE7C36">
            <w:pPr>
              <w:spacing w:after="120" w:line="240" w:lineRule="auto"/>
              <w:jc w:val="center"/>
              <w:rPr>
                <w:rFonts w:ascii="Calibri" w:hAnsi="Calibri"/>
                <w:color w:val="000000"/>
              </w:rPr>
            </w:pPr>
            <w:r>
              <w:rPr>
                <w:rFonts w:ascii="Calibri" w:hAnsi="Calibri"/>
                <w:color w:val="000000"/>
              </w:rPr>
              <w:t>OBA</w:t>
            </w:r>
          </w:p>
        </w:tc>
        <w:tc>
          <w:tcPr>
            <w:tcW w:w="1727" w:type="dxa"/>
            <w:shd w:val="clear" w:color="auto" w:fill="auto"/>
          </w:tcPr>
          <w:p w14:paraId="32610E1D" w14:textId="65797D5A" w:rsidR="000E5E8A" w:rsidRDefault="003B2F32" w:rsidP="00CE7C36">
            <w:pPr>
              <w:spacing w:after="120" w:line="240" w:lineRule="auto"/>
              <w:jc w:val="center"/>
            </w:pPr>
            <w:r>
              <w:t>K71–74</w:t>
            </w:r>
          </w:p>
        </w:tc>
      </w:tr>
      <w:tr w:rsidR="00DE56CF" w14:paraId="3A9BCBC6" w14:textId="77777777" w:rsidTr="00DE56CF">
        <w:tc>
          <w:tcPr>
            <w:tcW w:w="529" w:type="dxa"/>
            <w:shd w:val="clear" w:color="auto" w:fill="auto"/>
          </w:tcPr>
          <w:p w14:paraId="21FD82D4" w14:textId="46715377" w:rsidR="000E5E8A" w:rsidRDefault="000E5E8A" w:rsidP="00CE7C36">
            <w:pPr>
              <w:spacing w:after="120" w:line="240" w:lineRule="auto"/>
              <w:jc w:val="center"/>
              <w:rPr>
                <w:rFonts w:ascii="Calibri" w:hAnsi="Calibri"/>
                <w:color w:val="000000"/>
              </w:rPr>
            </w:pPr>
            <w:r>
              <w:rPr>
                <w:rFonts w:ascii="Calibri" w:hAnsi="Calibri"/>
                <w:color w:val="000000"/>
              </w:rPr>
              <w:t>31</w:t>
            </w:r>
          </w:p>
        </w:tc>
        <w:tc>
          <w:tcPr>
            <w:tcW w:w="3976" w:type="dxa"/>
            <w:shd w:val="clear" w:color="auto" w:fill="auto"/>
          </w:tcPr>
          <w:p w14:paraId="1590D09E" w14:textId="049BD912" w:rsidR="000E5E8A" w:rsidRDefault="000E5E8A" w:rsidP="00CE7C36">
            <w:pPr>
              <w:spacing w:after="120" w:line="240" w:lineRule="auto"/>
              <w:rPr>
                <w:rFonts w:ascii="Calibri" w:hAnsi="Calibri"/>
                <w:color w:val="000000"/>
              </w:rPr>
            </w:pPr>
            <w:r>
              <w:rPr>
                <w:rFonts w:ascii="Calibri" w:hAnsi="Calibri"/>
                <w:color w:val="000000"/>
              </w:rPr>
              <w:t xml:space="preserve">Public administration and </w:t>
            </w:r>
            <w:proofErr w:type="spellStart"/>
            <w:r>
              <w:rPr>
                <w:rFonts w:ascii="Calibri" w:hAnsi="Calibri"/>
                <w:color w:val="000000"/>
              </w:rPr>
              <w:t>defence</w:t>
            </w:r>
            <w:proofErr w:type="spellEnd"/>
            <w:r>
              <w:rPr>
                <w:rFonts w:ascii="Calibri" w:hAnsi="Calibri"/>
                <w:color w:val="000000"/>
              </w:rPr>
              <w:t>; compulsory social security</w:t>
            </w:r>
          </w:p>
        </w:tc>
        <w:tc>
          <w:tcPr>
            <w:tcW w:w="2076" w:type="dxa"/>
            <w:shd w:val="clear" w:color="auto" w:fill="auto"/>
          </w:tcPr>
          <w:p w14:paraId="6F9FE974" w14:textId="69E34880" w:rsidR="000E5E8A" w:rsidRDefault="000E5E8A" w:rsidP="00CE7C36">
            <w:pPr>
              <w:spacing w:after="120" w:line="240" w:lineRule="auto"/>
              <w:rPr>
                <w:rFonts w:ascii="Calibri" w:hAnsi="Calibri"/>
                <w:color w:val="000000"/>
              </w:rPr>
            </w:pPr>
            <w:r>
              <w:rPr>
                <w:rFonts w:ascii="Calibri" w:hAnsi="Calibri"/>
                <w:color w:val="000000"/>
              </w:rPr>
              <w:t>Public administration</w:t>
            </w:r>
          </w:p>
        </w:tc>
        <w:tc>
          <w:tcPr>
            <w:tcW w:w="708" w:type="dxa"/>
            <w:shd w:val="clear" w:color="auto" w:fill="auto"/>
          </w:tcPr>
          <w:p w14:paraId="64CBFFD9" w14:textId="4F6142D8" w:rsidR="000E5E8A" w:rsidRDefault="000E5E8A" w:rsidP="00CE7C36">
            <w:pPr>
              <w:spacing w:after="120" w:line="240" w:lineRule="auto"/>
              <w:jc w:val="center"/>
              <w:rPr>
                <w:rFonts w:ascii="Calibri" w:hAnsi="Calibri"/>
                <w:color w:val="000000"/>
              </w:rPr>
            </w:pPr>
            <w:r>
              <w:rPr>
                <w:rFonts w:ascii="Calibri" w:hAnsi="Calibri"/>
                <w:color w:val="000000"/>
              </w:rPr>
              <w:t>PAD</w:t>
            </w:r>
          </w:p>
        </w:tc>
        <w:tc>
          <w:tcPr>
            <w:tcW w:w="1727" w:type="dxa"/>
            <w:shd w:val="clear" w:color="auto" w:fill="auto"/>
          </w:tcPr>
          <w:p w14:paraId="012319A7" w14:textId="00CAD8DD" w:rsidR="000E5E8A" w:rsidRDefault="003B2F32" w:rsidP="00CE7C36">
            <w:pPr>
              <w:spacing w:after="120" w:line="240" w:lineRule="auto"/>
              <w:jc w:val="center"/>
            </w:pPr>
            <w:r>
              <w:t>L</w:t>
            </w:r>
          </w:p>
        </w:tc>
      </w:tr>
      <w:tr w:rsidR="00DE56CF" w14:paraId="6B0C435D" w14:textId="77777777" w:rsidTr="00DE56CF">
        <w:tc>
          <w:tcPr>
            <w:tcW w:w="529" w:type="dxa"/>
            <w:shd w:val="clear" w:color="auto" w:fill="auto"/>
          </w:tcPr>
          <w:p w14:paraId="05E535F0" w14:textId="614E4B55" w:rsidR="000E5E8A" w:rsidRDefault="000E5E8A" w:rsidP="00CE7C36">
            <w:pPr>
              <w:spacing w:after="120" w:line="240" w:lineRule="auto"/>
              <w:jc w:val="center"/>
              <w:rPr>
                <w:rFonts w:ascii="Calibri" w:hAnsi="Calibri"/>
                <w:color w:val="000000"/>
              </w:rPr>
            </w:pPr>
            <w:r>
              <w:rPr>
                <w:rFonts w:ascii="Calibri" w:hAnsi="Calibri"/>
                <w:color w:val="000000"/>
              </w:rPr>
              <w:t>32</w:t>
            </w:r>
          </w:p>
        </w:tc>
        <w:tc>
          <w:tcPr>
            <w:tcW w:w="3976" w:type="dxa"/>
            <w:shd w:val="clear" w:color="auto" w:fill="auto"/>
          </w:tcPr>
          <w:p w14:paraId="4552F04F" w14:textId="13ACE72E" w:rsidR="000E5E8A" w:rsidRDefault="000E5E8A" w:rsidP="00CE7C36">
            <w:pPr>
              <w:spacing w:after="120" w:line="240" w:lineRule="auto"/>
              <w:rPr>
                <w:rFonts w:ascii="Calibri" w:hAnsi="Calibri"/>
                <w:color w:val="000000"/>
              </w:rPr>
            </w:pPr>
            <w:r>
              <w:rPr>
                <w:rFonts w:ascii="Calibri" w:hAnsi="Calibri"/>
                <w:color w:val="000000"/>
              </w:rPr>
              <w:t>Education</w:t>
            </w:r>
          </w:p>
        </w:tc>
        <w:tc>
          <w:tcPr>
            <w:tcW w:w="2076" w:type="dxa"/>
            <w:shd w:val="clear" w:color="auto" w:fill="auto"/>
          </w:tcPr>
          <w:p w14:paraId="19D9E26A" w14:textId="6B2D8761" w:rsidR="000E5E8A" w:rsidRDefault="000E5E8A" w:rsidP="00CE7C36">
            <w:pPr>
              <w:spacing w:after="120" w:line="240" w:lineRule="auto"/>
              <w:rPr>
                <w:rFonts w:ascii="Calibri" w:hAnsi="Calibri"/>
                <w:color w:val="000000"/>
              </w:rPr>
            </w:pPr>
            <w:r>
              <w:rPr>
                <w:rFonts w:ascii="Calibri" w:hAnsi="Calibri"/>
                <w:color w:val="000000"/>
              </w:rPr>
              <w:t>Education</w:t>
            </w:r>
          </w:p>
        </w:tc>
        <w:tc>
          <w:tcPr>
            <w:tcW w:w="708" w:type="dxa"/>
            <w:shd w:val="clear" w:color="auto" w:fill="auto"/>
          </w:tcPr>
          <w:p w14:paraId="56CFBC92" w14:textId="4CAF92DE" w:rsidR="000E5E8A" w:rsidRDefault="000E5E8A" w:rsidP="00CE7C36">
            <w:pPr>
              <w:spacing w:after="120" w:line="240" w:lineRule="auto"/>
              <w:jc w:val="center"/>
              <w:rPr>
                <w:rFonts w:ascii="Calibri" w:hAnsi="Calibri"/>
                <w:color w:val="000000"/>
              </w:rPr>
            </w:pPr>
            <w:r>
              <w:rPr>
                <w:rFonts w:ascii="Calibri" w:hAnsi="Calibri"/>
                <w:color w:val="000000"/>
              </w:rPr>
              <w:t>EDU</w:t>
            </w:r>
          </w:p>
        </w:tc>
        <w:tc>
          <w:tcPr>
            <w:tcW w:w="1727" w:type="dxa"/>
            <w:shd w:val="clear" w:color="auto" w:fill="auto"/>
          </w:tcPr>
          <w:p w14:paraId="7A82127D" w14:textId="00EE50BC" w:rsidR="000E5E8A" w:rsidRDefault="003B2F32" w:rsidP="00CE7C36">
            <w:pPr>
              <w:spacing w:after="120" w:line="240" w:lineRule="auto"/>
              <w:jc w:val="center"/>
            </w:pPr>
            <w:r>
              <w:t>M</w:t>
            </w:r>
          </w:p>
        </w:tc>
      </w:tr>
      <w:tr w:rsidR="000E5E8A" w14:paraId="55D86FDC" w14:textId="77777777" w:rsidTr="00DE56CF">
        <w:tc>
          <w:tcPr>
            <w:tcW w:w="529" w:type="dxa"/>
            <w:shd w:val="clear" w:color="auto" w:fill="auto"/>
          </w:tcPr>
          <w:p w14:paraId="19B898A4" w14:textId="06A22798" w:rsidR="000E5E8A" w:rsidRDefault="000E5E8A" w:rsidP="00CE7C36">
            <w:pPr>
              <w:spacing w:after="120" w:line="240" w:lineRule="auto"/>
              <w:jc w:val="center"/>
              <w:rPr>
                <w:rFonts w:ascii="Calibri" w:hAnsi="Calibri"/>
                <w:color w:val="000000"/>
              </w:rPr>
            </w:pPr>
            <w:r>
              <w:rPr>
                <w:rFonts w:ascii="Calibri" w:hAnsi="Calibri"/>
                <w:color w:val="000000"/>
              </w:rPr>
              <w:t>33</w:t>
            </w:r>
          </w:p>
        </w:tc>
        <w:tc>
          <w:tcPr>
            <w:tcW w:w="3976" w:type="dxa"/>
            <w:shd w:val="clear" w:color="auto" w:fill="auto"/>
          </w:tcPr>
          <w:p w14:paraId="59C49DD9" w14:textId="15D596A3" w:rsidR="000E5E8A" w:rsidRDefault="000E5E8A" w:rsidP="00CE7C36">
            <w:pPr>
              <w:spacing w:after="120" w:line="240" w:lineRule="auto"/>
              <w:rPr>
                <w:rFonts w:ascii="Calibri" w:hAnsi="Calibri"/>
                <w:color w:val="000000"/>
              </w:rPr>
            </w:pPr>
            <w:r>
              <w:rPr>
                <w:rFonts w:ascii="Calibri" w:hAnsi="Calibri"/>
                <w:color w:val="000000"/>
              </w:rPr>
              <w:t>Health and social work</w:t>
            </w:r>
          </w:p>
        </w:tc>
        <w:tc>
          <w:tcPr>
            <w:tcW w:w="2076" w:type="dxa"/>
            <w:shd w:val="clear" w:color="auto" w:fill="auto"/>
          </w:tcPr>
          <w:p w14:paraId="66E8789A" w14:textId="3E00A955" w:rsidR="000E5E8A" w:rsidRDefault="000E5E8A" w:rsidP="00CE7C36">
            <w:pPr>
              <w:spacing w:after="120" w:line="240" w:lineRule="auto"/>
              <w:rPr>
                <w:rFonts w:ascii="Calibri" w:hAnsi="Calibri"/>
                <w:color w:val="000000"/>
              </w:rPr>
            </w:pPr>
            <w:r>
              <w:rPr>
                <w:rFonts w:ascii="Calibri" w:hAnsi="Calibri"/>
                <w:color w:val="000000"/>
              </w:rPr>
              <w:t>Social work</w:t>
            </w:r>
          </w:p>
        </w:tc>
        <w:tc>
          <w:tcPr>
            <w:tcW w:w="708" w:type="dxa"/>
            <w:shd w:val="clear" w:color="auto" w:fill="auto"/>
          </w:tcPr>
          <w:p w14:paraId="7F67A5ED" w14:textId="3A6CEB9C" w:rsidR="000E5E8A" w:rsidRDefault="000E5E8A" w:rsidP="00CE7C36">
            <w:pPr>
              <w:spacing w:after="120" w:line="240" w:lineRule="auto"/>
              <w:jc w:val="center"/>
              <w:rPr>
                <w:rFonts w:ascii="Calibri" w:hAnsi="Calibri"/>
                <w:color w:val="000000"/>
              </w:rPr>
            </w:pPr>
            <w:r>
              <w:rPr>
                <w:rFonts w:ascii="Calibri" w:hAnsi="Calibri"/>
                <w:color w:val="000000"/>
              </w:rPr>
              <w:t>HSW</w:t>
            </w:r>
          </w:p>
        </w:tc>
        <w:tc>
          <w:tcPr>
            <w:tcW w:w="1727" w:type="dxa"/>
            <w:shd w:val="clear" w:color="auto" w:fill="auto"/>
          </w:tcPr>
          <w:p w14:paraId="46556A36" w14:textId="519BE37C" w:rsidR="000E5E8A" w:rsidRDefault="003B2F32" w:rsidP="00CE7C36">
            <w:pPr>
              <w:spacing w:after="120" w:line="240" w:lineRule="auto"/>
              <w:jc w:val="center"/>
            </w:pPr>
            <w:r>
              <w:t>N</w:t>
            </w:r>
          </w:p>
        </w:tc>
      </w:tr>
      <w:tr w:rsidR="000E5E8A" w14:paraId="35275A7C" w14:textId="77777777" w:rsidTr="00DE56CF">
        <w:tc>
          <w:tcPr>
            <w:tcW w:w="529" w:type="dxa"/>
            <w:shd w:val="clear" w:color="auto" w:fill="auto"/>
          </w:tcPr>
          <w:p w14:paraId="29BA924C" w14:textId="4E3094F4" w:rsidR="000E5E8A" w:rsidRDefault="000E5E8A" w:rsidP="00CE7C36">
            <w:pPr>
              <w:spacing w:after="120" w:line="240" w:lineRule="auto"/>
              <w:jc w:val="center"/>
              <w:rPr>
                <w:rFonts w:ascii="Calibri" w:hAnsi="Calibri"/>
                <w:color w:val="000000"/>
              </w:rPr>
            </w:pPr>
            <w:r>
              <w:rPr>
                <w:rFonts w:ascii="Calibri" w:hAnsi="Calibri"/>
                <w:color w:val="000000"/>
              </w:rPr>
              <w:t>34</w:t>
            </w:r>
          </w:p>
        </w:tc>
        <w:tc>
          <w:tcPr>
            <w:tcW w:w="3976" w:type="dxa"/>
            <w:shd w:val="clear" w:color="auto" w:fill="auto"/>
          </w:tcPr>
          <w:p w14:paraId="758B3DEE" w14:textId="38CF3A05" w:rsidR="000E5E8A" w:rsidRDefault="000E5E8A" w:rsidP="00CE7C36">
            <w:pPr>
              <w:spacing w:after="120" w:line="240" w:lineRule="auto"/>
              <w:rPr>
                <w:rFonts w:ascii="Calibri" w:hAnsi="Calibri"/>
                <w:color w:val="000000"/>
              </w:rPr>
            </w:pPr>
            <w:r>
              <w:rPr>
                <w:rFonts w:ascii="Calibri" w:hAnsi="Calibri"/>
                <w:color w:val="000000"/>
              </w:rPr>
              <w:t>Other community, social and personal services</w:t>
            </w:r>
          </w:p>
        </w:tc>
        <w:tc>
          <w:tcPr>
            <w:tcW w:w="2076" w:type="dxa"/>
            <w:shd w:val="clear" w:color="auto" w:fill="auto"/>
          </w:tcPr>
          <w:p w14:paraId="79D3C8DF" w14:textId="00F1A272" w:rsidR="000E5E8A" w:rsidRDefault="000E5E8A" w:rsidP="00CE7C36">
            <w:pPr>
              <w:spacing w:after="120" w:line="240" w:lineRule="auto"/>
              <w:rPr>
                <w:rFonts w:ascii="Calibri" w:hAnsi="Calibri"/>
                <w:color w:val="000000"/>
              </w:rPr>
            </w:pPr>
            <w:r>
              <w:rPr>
                <w:rFonts w:ascii="Calibri" w:hAnsi="Calibri"/>
                <w:color w:val="000000"/>
              </w:rPr>
              <w:t>Other personal services</w:t>
            </w:r>
          </w:p>
        </w:tc>
        <w:tc>
          <w:tcPr>
            <w:tcW w:w="708" w:type="dxa"/>
            <w:shd w:val="clear" w:color="auto" w:fill="auto"/>
          </w:tcPr>
          <w:p w14:paraId="4CCE0521" w14:textId="50F18D9C" w:rsidR="000E5E8A" w:rsidRDefault="000E5E8A" w:rsidP="00CE7C36">
            <w:pPr>
              <w:spacing w:after="120" w:line="240" w:lineRule="auto"/>
              <w:jc w:val="center"/>
              <w:rPr>
                <w:rFonts w:ascii="Calibri" w:hAnsi="Calibri"/>
                <w:color w:val="000000"/>
              </w:rPr>
            </w:pPr>
            <w:r>
              <w:rPr>
                <w:rFonts w:ascii="Calibri" w:hAnsi="Calibri"/>
                <w:color w:val="000000"/>
              </w:rPr>
              <w:t>OSV</w:t>
            </w:r>
          </w:p>
        </w:tc>
        <w:tc>
          <w:tcPr>
            <w:tcW w:w="1727" w:type="dxa"/>
            <w:shd w:val="clear" w:color="auto" w:fill="auto"/>
          </w:tcPr>
          <w:p w14:paraId="16A78F0B" w14:textId="6472F14F" w:rsidR="000E5E8A" w:rsidRDefault="003B2F32" w:rsidP="00CE7C36">
            <w:pPr>
              <w:spacing w:after="120" w:line="240" w:lineRule="auto"/>
              <w:jc w:val="center"/>
            </w:pPr>
            <w:r>
              <w:t>O</w:t>
            </w:r>
          </w:p>
        </w:tc>
      </w:tr>
      <w:tr w:rsidR="000E5E8A" w14:paraId="06E78A69" w14:textId="77777777" w:rsidTr="00DE56CF">
        <w:tc>
          <w:tcPr>
            <w:tcW w:w="529" w:type="dxa"/>
            <w:shd w:val="clear" w:color="auto" w:fill="auto"/>
          </w:tcPr>
          <w:p w14:paraId="6A09A62C" w14:textId="5DD27B3A" w:rsidR="000E5E8A" w:rsidRDefault="000E5E8A" w:rsidP="00CE7C36">
            <w:pPr>
              <w:spacing w:after="120" w:line="240" w:lineRule="auto"/>
              <w:jc w:val="center"/>
              <w:rPr>
                <w:rFonts w:ascii="Calibri" w:hAnsi="Calibri"/>
                <w:color w:val="000000"/>
              </w:rPr>
            </w:pPr>
            <w:r>
              <w:rPr>
                <w:rFonts w:ascii="Calibri" w:hAnsi="Calibri"/>
                <w:color w:val="000000"/>
              </w:rPr>
              <w:t>35</w:t>
            </w:r>
          </w:p>
        </w:tc>
        <w:tc>
          <w:tcPr>
            <w:tcW w:w="3976" w:type="dxa"/>
            <w:shd w:val="clear" w:color="auto" w:fill="auto"/>
          </w:tcPr>
          <w:p w14:paraId="0F38C9DE" w14:textId="6ECE5867" w:rsidR="000E5E8A" w:rsidRDefault="000E5E8A" w:rsidP="00CE7C36">
            <w:pPr>
              <w:spacing w:after="120" w:line="240" w:lineRule="auto"/>
              <w:rPr>
                <w:rFonts w:ascii="Calibri" w:hAnsi="Calibri"/>
                <w:color w:val="000000"/>
              </w:rPr>
            </w:pPr>
            <w:r>
              <w:rPr>
                <w:rFonts w:ascii="Calibri" w:hAnsi="Calibri"/>
                <w:color w:val="000000"/>
              </w:rPr>
              <w:t>Private households with employed persons</w:t>
            </w:r>
          </w:p>
        </w:tc>
        <w:tc>
          <w:tcPr>
            <w:tcW w:w="2076" w:type="dxa"/>
            <w:shd w:val="clear" w:color="auto" w:fill="auto"/>
          </w:tcPr>
          <w:p w14:paraId="10A501FF" w14:textId="7D225CAD" w:rsidR="000E5E8A" w:rsidRDefault="000E5E8A" w:rsidP="00CE7C36">
            <w:pPr>
              <w:spacing w:after="120" w:line="240" w:lineRule="auto"/>
              <w:rPr>
                <w:rFonts w:ascii="Calibri" w:hAnsi="Calibri"/>
                <w:color w:val="000000"/>
              </w:rPr>
            </w:pPr>
            <w:r>
              <w:rPr>
                <w:rFonts w:ascii="Calibri" w:hAnsi="Calibri"/>
                <w:color w:val="000000"/>
              </w:rPr>
              <w:t>Private households</w:t>
            </w:r>
          </w:p>
        </w:tc>
        <w:tc>
          <w:tcPr>
            <w:tcW w:w="708" w:type="dxa"/>
            <w:shd w:val="clear" w:color="auto" w:fill="auto"/>
          </w:tcPr>
          <w:p w14:paraId="254A5DE5" w14:textId="2A4A6364" w:rsidR="000E5E8A" w:rsidRDefault="000E5E8A" w:rsidP="00CE7C36">
            <w:pPr>
              <w:spacing w:after="120" w:line="240" w:lineRule="auto"/>
              <w:jc w:val="center"/>
              <w:rPr>
                <w:rFonts w:ascii="Calibri" w:hAnsi="Calibri"/>
                <w:color w:val="000000"/>
              </w:rPr>
            </w:pPr>
            <w:r>
              <w:rPr>
                <w:rFonts w:ascii="Calibri" w:hAnsi="Calibri"/>
                <w:color w:val="000000"/>
              </w:rPr>
              <w:t>PHE</w:t>
            </w:r>
          </w:p>
        </w:tc>
        <w:tc>
          <w:tcPr>
            <w:tcW w:w="1727" w:type="dxa"/>
            <w:shd w:val="clear" w:color="auto" w:fill="auto"/>
          </w:tcPr>
          <w:p w14:paraId="3100CDE5" w14:textId="28A04C73" w:rsidR="000E5E8A" w:rsidRDefault="003B2F32" w:rsidP="00CE7C36">
            <w:pPr>
              <w:spacing w:after="120" w:line="240" w:lineRule="auto"/>
              <w:jc w:val="center"/>
            </w:pPr>
            <w:r>
              <w:t>P</w:t>
            </w:r>
          </w:p>
        </w:tc>
      </w:tr>
    </w:tbl>
    <w:p w14:paraId="64A30773" w14:textId="2EB54FFD" w:rsidR="00AD00A7" w:rsidRDefault="00AD00A7" w:rsidP="00AD00A7">
      <w:pPr>
        <w:pStyle w:val="NotesAbbreviations"/>
      </w:pPr>
      <w:r>
        <w:t>ADB = Asian Development Bank</w:t>
      </w:r>
      <w:r w:rsidR="001D3CF5">
        <w:t xml:space="preserve">. </w:t>
      </w:r>
    </w:p>
    <w:p w14:paraId="5D61C315" w14:textId="26129D00" w:rsidR="00AD00A7" w:rsidRDefault="00AD00A7" w:rsidP="00AD00A7">
      <w:pPr>
        <w:pStyle w:val="NotesBottom"/>
      </w:pPr>
      <w:r>
        <w:t xml:space="preserve">Source: </w:t>
      </w:r>
      <w:r>
        <w:tab/>
        <w:t xml:space="preserve">Asian Development Bank. Multiregional Input–Output Database. </w:t>
      </w:r>
      <w:r w:rsidRPr="0004229A">
        <w:t>https://mrio.adbx.online</w:t>
      </w:r>
      <w:r>
        <w:t xml:space="preserve"> (accessed 1 August 2021)</w:t>
      </w:r>
      <w:r w:rsidR="009467D7">
        <w:t>.</w:t>
      </w:r>
    </w:p>
    <w:sectPr w:rsidR="00AD00A7" w:rsidSect="00A63B35">
      <w:footerReference w:type="even" r:id="rId34"/>
      <w:footerReference w:type="default" r:id="rId3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C9B0B" w14:textId="77777777" w:rsidR="0064634B" w:rsidRDefault="0064634B" w:rsidP="000A7ABA">
      <w:r>
        <w:separator/>
      </w:r>
    </w:p>
  </w:endnote>
  <w:endnote w:type="continuationSeparator" w:id="0">
    <w:p w14:paraId="74450106" w14:textId="77777777" w:rsidR="0064634B" w:rsidRDefault="0064634B" w:rsidP="000A7ABA">
      <w:r>
        <w:continuationSeparator/>
      </w:r>
    </w:p>
  </w:endnote>
  <w:endnote w:type="continuationNotice" w:id="1">
    <w:p w14:paraId="7B170E42" w14:textId="77777777" w:rsidR="0064634B" w:rsidRDefault="006463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Ideal Sans Light">
    <w:altName w:val="Calibri"/>
    <w:panose1 w:val="020B0604020202020204"/>
    <w:charset w:val="00"/>
    <w:family w:val="modern"/>
    <w:notTrueType/>
    <w:pitch w:val="variable"/>
    <w:sig w:usb0="A10000FF" w:usb1="5000005B" w:usb2="00000000" w:usb3="00000000" w:csb0="0000009B"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0447322"/>
      <w:docPartObj>
        <w:docPartGallery w:val="Page Numbers (Bottom of Page)"/>
        <w:docPartUnique/>
      </w:docPartObj>
    </w:sdtPr>
    <w:sdtContent>
      <w:p w14:paraId="2746F20B" w14:textId="77777777" w:rsidR="00A30642" w:rsidRDefault="00A30642" w:rsidP="00DC58E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C04977" w14:textId="77777777" w:rsidR="00A30642" w:rsidRDefault="00A306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1408618"/>
      <w:docPartObj>
        <w:docPartGallery w:val="Page Numbers (Bottom of Page)"/>
        <w:docPartUnique/>
      </w:docPartObj>
    </w:sdtPr>
    <w:sdtContent>
      <w:p w14:paraId="67E1F321" w14:textId="77777777" w:rsidR="00A30642" w:rsidRDefault="00A30642" w:rsidP="00DC58E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39252F" w14:textId="77777777" w:rsidR="00A30642" w:rsidRDefault="00A306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62377" w14:textId="77777777" w:rsidR="0064634B" w:rsidRDefault="0064634B" w:rsidP="000A7ABA">
      <w:r>
        <w:separator/>
      </w:r>
    </w:p>
  </w:footnote>
  <w:footnote w:type="continuationSeparator" w:id="0">
    <w:p w14:paraId="44F0FAD2" w14:textId="77777777" w:rsidR="0064634B" w:rsidRDefault="0064634B" w:rsidP="000A7ABA">
      <w:r>
        <w:continuationSeparator/>
      </w:r>
    </w:p>
  </w:footnote>
  <w:footnote w:type="continuationNotice" w:id="1">
    <w:p w14:paraId="1C7FEA49" w14:textId="77777777" w:rsidR="0064634B" w:rsidRDefault="0064634B"/>
  </w:footnote>
  <w:footnote w:id="2">
    <w:p w14:paraId="04C944E5" w14:textId="77777777" w:rsidR="00C30027" w:rsidRDefault="00C30027" w:rsidP="00C30027">
      <w:pPr>
        <w:pStyle w:val="FootnoteText"/>
      </w:pPr>
      <w:r>
        <w:rPr>
          <w:rStyle w:val="FootnoteReference"/>
        </w:rPr>
        <w:footnoteRef/>
      </w:r>
      <w:r>
        <w:t xml:space="preserve"> World Bank. </w:t>
      </w:r>
      <w:r w:rsidRPr="0069584D">
        <w:t>https://datahelpdesk.worldbank.org/knowledgebase/articles/906519-world-bank-country-and-lending-groups</w:t>
      </w:r>
      <w:r>
        <w:t xml:space="preserve"> (accessed 19 June 2023).</w:t>
      </w:r>
    </w:p>
  </w:footnote>
  <w:footnote w:id="3">
    <w:p w14:paraId="3864AE07" w14:textId="77777777" w:rsidR="00C30027" w:rsidRDefault="00C30027" w:rsidP="00C30027">
      <w:pPr>
        <w:pStyle w:val="FootnoteText"/>
      </w:pPr>
      <w:r>
        <w:rPr>
          <w:rStyle w:val="FootnoteReference"/>
        </w:rPr>
        <w:footnoteRef/>
      </w:r>
      <w:r>
        <w:t xml:space="preserve"> United Nations. Human Development Index. </w:t>
      </w:r>
      <w:r w:rsidRPr="00B1011E">
        <w:t>https://hdr.undp.org/data-center/human-development-index#/indicies/HDI</w:t>
      </w:r>
      <w:r>
        <w:t xml:space="preserve"> (accessed 22 June 2023).</w:t>
      </w:r>
    </w:p>
  </w:footnote>
  <w:footnote w:id="4">
    <w:p w14:paraId="3D0D2D06" w14:textId="77777777" w:rsidR="00C30027" w:rsidRDefault="00C30027" w:rsidP="00C30027">
      <w:pPr>
        <w:pStyle w:val="FootnoteText"/>
      </w:pPr>
      <w:r>
        <w:rPr>
          <w:rStyle w:val="FootnoteReference"/>
        </w:rPr>
        <w:footnoteRef/>
      </w:r>
      <w:r>
        <w:t xml:space="preserve"> BP. </w:t>
      </w:r>
      <w:r w:rsidRPr="003435C3">
        <w:rPr>
          <w:i/>
          <w:iCs/>
        </w:rPr>
        <w:t>Statistical Review of World Energy</w:t>
      </w:r>
      <w:r>
        <w:t xml:space="preserve"> </w:t>
      </w:r>
      <w:r w:rsidRPr="002F176A">
        <w:rPr>
          <w:i/>
          <w:iCs/>
        </w:rPr>
        <w:t>2022</w:t>
      </w:r>
      <w:r>
        <w:t xml:space="preserve">. </w:t>
      </w:r>
      <w:r w:rsidRPr="003435C3">
        <w:t>https://www.bp.com/en/global/corporate/energy-economics/statistical-review-of-world-energy/downloads.html</w:t>
      </w:r>
      <w:r>
        <w:t xml:space="preserve"> (accessed 21 June 2023).</w:t>
      </w:r>
    </w:p>
  </w:footnote>
  <w:footnote w:id="5">
    <w:p w14:paraId="3D8517AC" w14:textId="77777777" w:rsidR="00C30027" w:rsidRDefault="00C30027" w:rsidP="00C30027">
      <w:pPr>
        <w:pStyle w:val="FootnoteText"/>
      </w:pPr>
      <w:r>
        <w:rPr>
          <w:rStyle w:val="FootnoteReference"/>
        </w:rPr>
        <w:footnoteRef/>
      </w:r>
      <w:r>
        <w:t xml:space="preserve"> World Bank. World Development Indicators (May 2023). </w:t>
      </w:r>
      <w:r w:rsidRPr="002F176A">
        <w:t>https://data.worldbank.org/indicator/NY.GDP.MKTP.KN</w:t>
      </w:r>
      <w:r>
        <w:t xml:space="preserve"> (accessed 21 June 2023).</w:t>
      </w:r>
    </w:p>
  </w:footnote>
  <w:footnote w:id="6">
    <w:p w14:paraId="23135894" w14:textId="77777777" w:rsidR="00C30027" w:rsidRDefault="00C30027" w:rsidP="00C30027">
      <w:pPr>
        <w:pStyle w:val="FootnoteText"/>
      </w:pPr>
      <w:r>
        <w:rPr>
          <w:rStyle w:val="FootnoteReference"/>
        </w:rPr>
        <w:footnoteRef/>
      </w:r>
      <w:r>
        <w:t xml:space="preserve"> BP. </w:t>
      </w:r>
      <w:r w:rsidRPr="003435C3">
        <w:rPr>
          <w:i/>
          <w:iCs/>
        </w:rPr>
        <w:t>Statistical Review of World Energy</w:t>
      </w:r>
      <w:r>
        <w:t xml:space="preserve"> </w:t>
      </w:r>
      <w:r w:rsidRPr="002F176A">
        <w:rPr>
          <w:i/>
          <w:iCs/>
        </w:rPr>
        <w:t>2022</w:t>
      </w:r>
      <w:r>
        <w:t xml:space="preserve">. </w:t>
      </w:r>
      <w:r w:rsidRPr="003435C3">
        <w:t>https://www.bp.com/en/global/corporate/energy-economics/statistical-review-of-world-energy/downloads.html</w:t>
      </w:r>
      <w:r>
        <w:t xml:space="preserve"> (accessed 21 June 2023).</w:t>
      </w:r>
    </w:p>
  </w:footnote>
  <w:footnote w:id="7">
    <w:p w14:paraId="3839EC0D" w14:textId="77777777" w:rsidR="00C30027" w:rsidRDefault="00C30027" w:rsidP="00C30027">
      <w:pPr>
        <w:pStyle w:val="FootnoteText"/>
      </w:pPr>
      <w:r>
        <w:rPr>
          <w:rStyle w:val="FootnoteReference"/>
        </w:rPr>
        <w:footnoteRef/>
      </w:r>
      <w:r>
        <w:t xml:space="preserve"> BP. </w:t>
      </w:r>
      <w:r w:rsidRPr="003435C3">
        <w:rPr>
          <w:i/>
          <w:iCs/>
        </w:rPr>
        <w:t>Statistical Review of World Energy</w:t>
      </w:r>
      <w:r>
        <w:t xml:space="preserve"> </w:t>
      </w:r>
      <w:r w:rsidRPr="002F176A">
        <w:rPr>
          <w:i/>
          <w:iCs/>
        </w:rPr>
        <w:t>2022</w:t>
      </w:r>
      <w:r>
        <w:t xml:space="preserve">. </w:t>
      </w:r>
      <w:r w:rsidRPr="003435C3">
        <w:t>https://www.bp.com/en/global/corporate/energy-economics/statistical-review-of-world-energy/downloads.html</w:t>
      </w:r>
      <w:r>
        <w:t xml:space="preserve"> (accessed 21 June 2023).</w:t>
      </w:r>
    </w:p>
  </w:footnote>
  <w:footnote w:id="8">
    <w:p w14:paraId="28EC8F58" w14:textId="77777777" w:rsidR="00C30027" w:rsidRDefault="00C30027" w:rsidP="00C30027">
      <w:pPr>
        <w:pStyle w:val="FootnoteText"/>
      </w:pPr>
      <w:r>
        <w:rPr>
          <w:rStyle w:val="FootnoteReference"/>
        </w:rPr>
        <w:footnoteRef/>
      </w:r>
      <w:r>
        <w:t xml:space="preserve"> BP. </w:t>
      </w:r>
      <w:r w:rsidRPr="003435C3">
        <w:rPr>
          <w:i/>
          <w:iCs/>
        </w:rPr>
        <w:t>Statistical Review of World Energy</w:t>
      </w:r>
      <w:r>
        <w:t xml:space="preserve"> </w:t>
      </w:r>
      <w:r w:rsidRPr="002F176A">
        <w:rPr>
          <w:i/>
          <w:iCs/>
        </w:rPr>
        <w:t>2022</w:t>
      </w:r>
      <w:r>
        <w:t xml:space="preserve">. </w:t>
      </w:r>
      <w:r w:rsidRPr="003435C3">
        <w:t>https://www.bp.com/en/global/corporate/energy-economics/statistical-review-of-world-energy/downloads.html</w:t>
      </w:r>
      <w:r>
        <w:t xml:space="preserve"> (accessed 21 June 2023).</w:t>
      </w:r>
    </w:p>
  </w:footnote>
  <w:footnote w:id="9">
    <w:p w14:paraId="0C0B8AC3" w14:textId="548209AF" w:rsidR="00AB3605" w:rsidRDefault="00AB3605">
      <w:pPr>
        <w:pStyle w:val="FootnoteText"/>
      </w:pPr>
      <w:r>
        <w:rPr>
          <w:rStyle w:val="FootnoteReference"/>
        </w:rPr>
        <w:footnoteRef/>
      </w:r>
      <w:r>
        <w:t xml:space="preserve"> For an overview of the concept, see </w:t>
      </w:r>
      <w:r w:rsidR="001D7892">
        <w:t>Inomata</w:t>
      </w:r>
      <w:r>
        <w:t xml:space="preserve">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35125042"/>
    <w:lvl w:ilvl="0">
      <w:start w:val="1"/>
      <w:numFmt w:val="decimal"/>
      <w:pStyle w:val="ListNumber"/>
      <w:lvlText w:val="%1."/>
      <w:lvlJc w:val="left"/>
      <w:pPr>
        <w:tabs>
          <w:tab w:val="num" w:pos="360"/>
        </w:tabs>
        <w:ind w:left="360" w:hanging="360"/>
      </w:pPr>
    </w:lvl>
  </w:abstractNum>
  <w:abstractNum w:abstractNumId="1" w15:restartNumberingAfterBreak="0">
    <w:nsid w:val="027C0998"/>
    <w:multiLevelType w:val="hybridMultilevel"/>
    <w:tmpl w:val="76F40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F03B5"/>
    <w:multiLevelType w:val="hybridMultilevel"/>
    <w:tmpl w:val="B75A6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9115E"/>
    <w:multiLevelType w:val="hybridMultilevel"/>
    <w:tmpl w:val="6FCE8FCE"/>
    <w:lvl w:ilvl="0" w:tplc="34090001">
      <w:start w:val="1"/>
      <w:numFmt w:val="bullet"/>
      <w:lvlText w:val=""/>
      <w:lvlJc w:val="left"/>
      <w:pPr>
        <w:ind w:left="720" w:hanging="360"/>
      </w:pPr>
      <w:rPr>
        <w:rFonts w:ascii="Symbol" w:hAnsi="Symbol"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7CC4EC1"/>
    <w:multiLevelType w:val="hybridMultilevel"/>
    <w:tmpl w:val="F2A0AF68"/>
    <w:lvl w:ilvl="0" w:tplc="F0E8944E">
      <w:start w:val="1"/>
      <w:numFmt w:val="decimal"/>
      <w:lvlText w:val="%1"/>
      <w:lvlJc w:val="left"/>
      <w:pPr>
        <w:ind w:left="1220" w:hanging="8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F0724B"/>
    <w:multiLevelType w:val="hybridMultilevel"/>
    <w:tmpl w:val="FD3CA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DF1E97"/>
    <w:multiLevelType w:val="hybridMultilevel"/>
    <w:tmpl w:val="573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92464"/>
    <w:multiLevelType w:val="hybridMultilevel"/>
    <w:tmpl w:val="BDA27C0E"/>
    <w:lvl w:ilvl="0" w:tplc="4314C7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4B5594"/>
    <w:multiLevelType w:val="hybridMultilevel"/>
    <w:tmpl w:val="3118B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AC6768"/>
    <w:multiLevelType w:val="multilevel"/>
    <w:tmpl w:val="3FFE5F8A"/>
    <w:styleLink w:val="CurrentList1"/>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3E54D3"/>
    <w:multiLevelType w:val="hybridMultilevel"/>
    <w:tmpl w:val="A402481A"/>
    <w:lvl w:ilvl="0" w:tplc="34090001">
      <w:start w:val="1"/>
      <w:numFmt w:val="bullet"/>
      <w:lvlText w:val=""/>
      <w:lvlJc w:val="left"/>
      <w:pPr>
        <w:ind w:left="720" w:hanging="360"/>
      </w:pPr>
      <w:rPr>
        <w:rFonts w:ascii="Symbol" w:hAnsi="Symbol"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7757DEB"/>
    <w:multiLevelType w:val="multilevel"/>
    <w:tmpl w:val="573E50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C237432"/>
    <w:multiLevelType w:val="hybridMultilevel"/>
    <w:tmpl w:val="DBE8D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14A73"/>
    <w:multiLevelType w:val="hybridMultilevel"/>
    <w:tmpl w:val="D66CA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4D6A74"/>
    <w:multiLevelType w:val="hybridMultilevel"/>
    <w:tmpl w:val="C85E5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A2624A"/>
    <w:multiLevelType w:val="hybridMultilevel"/>
    <w:tmpl w:val="DCE49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C020E7"/>
    <w:multiLevelType w:val="multilevel"/>
    <w:tmpl w:val="58B6A8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1FF0B2C"/>
    <w:multiLevelType w:val="hybridMultilevel"/>
    <w:tmpl w:val="823CC6F8"/>
    <w:lvl w:ilvl="0" w:tplc="34090015">
      <w:start w:val="1"/>
      <w:numFmt w:val="upperLetter"/>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 w15:restartNumberingAfterBreak="0">
    <w:nsid w:val="4B443016"/>
    <w:multiLevelType w:val="multilevel"/>
    <w:tmpl w:val="B0227708"/>
    <w:lvl w:ilvl="0">
      <w:start w:val="1"/>
      <w:numFmt w:val="decimal"/>
      <w:pStyle w:val="Heading1"/>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1AB5A8B"/>
    <w:multiLevelType w:val="hybridMultilevel"/>
    <w:tmpl w:val="3DA2C5B4"/>
    <w:lvl w:ilvl="0" w:tplc="434C41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D76862"/>
    <w:multiLevelType w:val="multilevel"/>
    <w:tmpl w:val="0A1C20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423E95"/>
    <w:multiLevelType w:val="hybridMultilevel"/>
    <w:tmpl w:val="2C2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AF6C48"/>
    <w:multiLevelType w:val="hybridMultilevel"/>
    <w:tmpl w:val="1D8A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0A6A5B"/>
    <w:multiLevelType w:val="hybridMultilevel"/>
    <w:tmpl w:val="3B209C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6E2C45"/>
    <w:multiLevelType w:val="hybridMultilevel"/>
    <w:tmpl w:val="0AD4A5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6CBD4D6B"/>
    <w:multiLevelType w:val="multilevel"/>
    <w:tmpl w:val="1B88AC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E97953"/>
    <w:multiLevelType w:val="hybridMultilevel"/>
    <w:tmpl w:val="8D8A9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10318E"/>
    <w:multiLevelType w:val="hybridMultilevel"/>
    <w:tmpl w:val="B83E9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14075A"/>
    <w:multiLevelType w:val="multilevel"/>
    <w:tmpl w:val="8FA41C24"/>
    <w:styleLink w:val="CurrentList2"/>
    <w:lvl w:ilvl="0">
      <w:start w:val="1"/>
      <w:numFmt w:val="decimal"/>
      <w:lvlText w:val="%1"/>
      <w:lvlJc w:val="left"/>
      <w:pPr>
        <w:tabs>
          <w:tab w:val="num" w:pos="851"/>
        </w:tabs>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90347FE"/>
    <w:multiLevelType w:val="hybridMultilevel"/>
    <w:tmpl w:val="D8365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0D676D"/>
    <w:multiLevelType w:val="hybridMultilevel"/>
    <w:tmpl w:val="60A62354"/>
    <w:lvl w:ilvl="0" w:tplc="D02EFAC6">
      <w:start w:val="1"/>
      <w:numFmt w:val="decimal"/>
      <w:lvlText w:val="%1."/>
      <w:lvlJc w:val="left"/>
      <w:pPr>
        <w:ind w:left="720" w:hanging="360"/>
      </w:pPr>
      <w:rPr>
        <w:rFonts w:ascii="Calibri" w:hAnsi="Calibri" w:cs="Calibri"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427D3"/>
    <w:multiLevelType w:val="hybridMultilevel"/>
    <w:tmpl w:val="ECD2F28A"/>
    <w:lvl w:ilvl="0" w:tplc="0409000F">
      <w:start w:val="1"/>
      <w:numFmt w:val="decimal"/>
      <w:lvlText w:val="%1."/>
      <w:lvlJc w:val="left"/>
      <w:pPr>
        <w:ind w:left="3659" w:hanging="360"/>
      </w:pPr>
    </w:lvl>
    <w:lvl w:ilvl="1" w:tplc="04090019" w:tentative="1">
      <w:start w:val="1"/>
      <w:numFmt w:val="lowerLetter"/>
      <w:lvlText w:val="%2."/>
      <w:lvlJc w:val="left"/>
      <w:pPr>
        <w:ind w:left="4379" w:hanging="360"/>
      </w:pPr>
    </w:lvl>
    <w:lvl w:ilvl="2" w:tplc="0409001B" w:tentative="1">
      <w:start w:val="1"/>
      <w:numFmt w:val="lowerRoman"/>
      <w:lvlText w:val="%3."/>
      <w:lvlJc w:val="right"/>
      <w:pPr>
        <w:ind w:left="5099" w:hanging="180"/>
      </w:pPr>
    </w:lvl>
    <w:lvl w:ilvl="3" w:tplc="0409000F" w:tentative="1">
      <w:start w:val="1"/>
      <w:numFmt w:val="decimal"/>
      <w:lvlText w:val="%4."/>
      <w:lvlJc w:val="left"/>
      <w:pPr>
        <w:ind w:left="5819" w:hanging="360"/>
      </w:pPr>
    </w:lvl>
    <w:lvl w:ilvl="4" w:tplc="04090019" w:tentative="1">
      <w:start w:val="1"/>
      <w:numFmt w:val="lowerLetter"/>
      <w:lvlText w:val="%5."/>
      <w:lvlJc w:val="left"/>
      <w:pPr>
        <w:ind w:left="6539" w:hanging="360"/>
      </w:pPr>
    </w:lvl>
    <w:lvl w:ilvl="5" w:tplc="0409001B" w:tentative="1">
      <w:start w:val="1"/>
      <w:numFmt w:val="lowerRoman"/>
      <w:lvlText w:val="%6."/>
      <w:lvlJc w:val="right"/>
      <w:pPr>
        <w:ind w:left="7259" w:hanging="180"/>
      </w:pPr>
    </w:lvl>
    <w:lvl w:ilvl="6" w:tplc="0409000F" w:tentative="1">
      <w:start w:val="1"/>
      <w:numFmt w:val="decimal"/>
      <w:lvlText w:val="%7."/>
      <w:lvlJc w:val="left"/>
      <w:pPr>
        <w:ind w:left="7979" w:hanging="360"/>
      </w:pPr>
    </w:lvl>
    <w:lvl w:ilvl="7" w:tplc="04090019" w:tentative="1">
      <w:start w:val="1"/>
      <w:numFmt w:val="lowerLetter"/>
      <w:lvlText w:val="%8."/>
      <w:lvlJc w:val="left"/>
      <w:pPr>
        <w:ind w:left="8699" w:hanging="360"/>
      </w:pPr>
    </w:lvl>
    <w:lvl w:ilvl="8" w:tplc="0409001B" w:tentative="1">
      <w:start w:val="1"/>
      <w:numFmt w:val="lowerRoman"/>
      <w:lvlText w:val="%9."/>
      <w:lvlJc w:val="right"/>
      <w:pPr>
        <w:ind w:left="9419" w:hanging="180"/>
      </w:pPr>
    </w:lvl>
  </w:abstractNum>
  <w:num w:numId="1" w16cid:durableId="285935868">
    <w:abstractNumId w:val="19"/>
  </w:num>
  <w:num w:numId="2" w16cid:durableId="939095939">
    <w:abstractNumId w:val="3"/>
  </w:num>
  <w:num w:numId="3" w16cid:durableId="1553808499">
    <w:abstractNumId w:val="10"/>
  </w:num>
  <w:num w:numId="4" w16cid:durableId="1948388785">
    <w:abstractNumId w:val="17"/>
  </w:num>
  <w:num w:numId="5" w16cid:durableId="1505826104">
    <w:abstractNumId w:val="5"/>
  </w:num>
  <w:num w:numId="6" w16cid:durableId="1602029842">
    <w:abstractNumId w:val="25"/>
  </w:num>
  <w:num w:numId="7" w16cid:durableId="201675666">
    <w:abstractNumId w:val="20"/>
  </w:num>
  <w:num w:numId="8" w16cid:durableId="1230655949">
    <w:abstractNumId w:val="24"/>
  </w:num>
  <w:num w:numId="9" w16cid:durableId="1243485774">
    <w:abstractNumId w:val="27"/>
  </w:num>
  <w:num w:numId="10" w16cid:durableId="1922834334">
    <w:abstractNumId w:val="8"/>
  </w:num>
  <w:num w:numId="11" w16cid:durableId="1784348784">
    <w:abstractNumId w:val="14"/>
  </w:num>
  <w:num w:numId="12" w16cid:durableId="561136826">
    <w:abstractNumId w:val="16"/>
  </w:num>
  <w:num w:numId="13" w16cid:durableId="1784349119">
    <w:abstractNumId w:val="29"/>
  </w:num>
  <w:num w:numId="14" w16cid:durableId="1144394356">
    <w:abstractNumId w:val="7"/>
  </w:num>
  <w:num w:numId="15" w16cid:durableId="1881093268">
    <w:abstractNumId w:val="21"/>
  </w:num>
  <w:num w:numId="16" w16cid:durableId="948390451">
    <w:abstractNumId w:val="4"/>
  </w:num>
  <w:num w:numId="17" w16cid:durableId="443965785">
    <w:abstractNumId w:val="23"/>
  </w:num>
  <w:num w:numId="18" w16cid:durableId="625626212">
    <w:abstractNumId w:val="6"/>
  </w:num>
  <w:num w:numId="19" w16cid:durableId="1079181474">
    <w:abstractNumId w:val="12"/>
  </w:num>
  <w:num w:numId="20" w16cid:durableId="2028553475">
    <w:abstractNumId w:val="26"/>
  </w:num>
  <w:num w:numId="21" w16cid:durableId="135101269">
    <w:abstractNumId w:val="11"/>
  </w:num>
  <w:num w:numId="22" w16cid:durableId="2088304920">
    <w:abstractNumId w:val="15"/>
  </w:num>
  <w:num w:numId="23" w16cid:durableId="226502642">
    <w:abstractNumId w:val="2"/>
  </w:num>
  <w:num w:numId="24" w16cid:durableId="1790393881">
    <w:abstractNumId w:val="18"/>
  </w:num>
  <w:num w:numId="25" w16cid:durableId="679820359">
    <w:abstractNumId w:val="1"/>
  </w:num>
  <w:num w:numId="26" w16cid:durableId="1577283120">
    <w:abstractNumId w:val="9"/>
  </w:num>
  <w:num w:numId="27" w16cid:durableId="142701676">
    <w:abstractNumId w:val="28"/>
  </w:num>
  <w:num w:numId="28" w16cid:durableId="954210363">
    <w:abstractNumId w:val="13"/>
  </w:num>
  <w:num w:numId="29" w16cid:durableId="493421567">
    <w:abstractNumId w:val="31"/>
  </w:num>
  <w:num w:numId="30" w16cid:durableId="1730806031">
    <w:abstractNumId w:val="30"/>
  </w:num>
  <w:num w:numId="31" w16cid:durableId="1533958630">
    <w:abstractNumId w:val="0"/>
  </w:num>
  <w:num w:numId="32" w16cid:durableId="158676545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67A"/>
    <w:rsid w:val="000000F5"/>
    <w:rsid w:val="00000196"/>
    <w:rsid w:val="000004D7"/>
    <w:rsid w:val="000005A8"/>
    <w:rsid w:val="000005F2"/>
    <w:rsid w:val="00000DAC"/>
    <w:rsid w:val="00000DCD"/>
    <w:rsid w:val="00000E00"/>
    <w:rsid w:val="00001050"/>
    <w:rsid w:val="000013EA"/>
    <w:rsid w:val="000017F2"/>
    <w:rsid w:val="00002AAD"/>
    <w:rsid w:val="00002ADC"/>
    <w:rsid w:val="00002B93"/>
    <w:rsid w:val="00002CE1"/>
    <w:rsid w:val="0000397F"/>
    <w:rsid w:val="00003FC4"/>
    <w:rsid w:val="0000608E"/>
    <w:rsid w:val="0000766B"/>
    <w:rsid w:val="0000796E"/>
    <w:rsid w:val="00007BAF"/>
    <w:rsid w:val="00007D5C"/>
    <w:rsid w:val="00007ED2"/>
    <w:rsid w:val="000101F4"/>
    <w:rsid w:val="00010AEE"/>
    <w:rsid w:val="00010CAE"/>
    <w:rsid w:val="00010D4C"/>
    <w:rsid w:val="00010D98"/>
    <w:rsid w:val="000110DA"/>
    <w:rsid w:val="00011203"/>
    <w:rsid w:val="0001134B"/>
    <w:rsid w:val="0001193B"/>
    <w:rsid w:val="00011BEC"/>
    <w:rsid w:val="000131B6"/>
    <w:rsid w:val="00013F74"/>
    <w:rsid w:val="0001540C"/>
    <w:rsid w:val="000160F3"/>
    <w:rsid w:val="0001677E"/>
    <w:rsid w:val="0001728D"/>
    <w:rsid w:val="00017557"/>
    <w:rsid w:val="000177AD"/>
    <w:rsid w:val="00017DB6"/>
    <w:rsid w:val="00017EDF"/>
    <w:rsid w:val="00020686"/>
    <w:rsid w:val="00020C57"/>
    <w:rsid w:val="00021141"/>
    <w:rsid w:val="0002125D"/>
    <w:rsid w:val="000217B1"/>
    <w:rsid w:val="00021866"/>
    <w:rsid w:val="0002189C"/>
    <w:rsid w:val="00021B40"/>
    <w:rsid w:val="0002331E"/>
    <w:rsid w:val="0002345A"/>
    <w:rsid w:val="00023C21"/>
    <w:rsid w:val="00023FB5"/>
    <w:rsid w:val="000243D1"/>
    <w:rsid w:val="000247A3"/>
    <w:rsid w:val="00024C31"/>
    <w:rsid w:val="00024D5C"/>
    <w:rsid w:val="00024E4D"/>
    <w:rsid w:val="000250BF"/>
    <w:rsid w:val="00025118"/>
    <w:rsid w:val="00025187"/>
    <w:rsid w:val="00025264"/>
    <w:rsid w:val="000254D0"/>
    <w:rsid w:val="0002553E"/>
    <w:rsid w:val="00025F26"/>
    <w:rsid w:val="00026248"/>
    <w:rsid w:val="000262BD"/>
    <w:rsid w:val="00027431"/>
    <w:rsid w:val="00027486"/>
    <w:rsid w:val="00027622"/>
    <w:rsid w:val="00027846"/>
    <w:rsid w:val="000304F5"/>
    <w:rsid w:val="0003083A"/>
    <w:rsid w:val="000309EA"/>
    <w:rsid w:val="00030B5C"/>
    <w:rsid w:val="00030EFA"/>
    <w:rsid w:val="0003188A"/>
    <w:rsid w:val="00031B87"/>
    <w:rsid w:val="00031EA7"/>
    <w:rsid w:val="00032004"/>
    <w:rsid w:val="0003387E"/>
    <w:rsid w:val="00033FEA"/>
    <w:rsid w:val="00034079"/>
    <w:rsid w:val="000341E1"/>
    <w:rsid w:val="00034F98"/>
    <w:rsid w:val="000350BD"/>
    <w:rsid w:val="000350CE"/>
    <w:rsid w:val="000353D2"/>
    <w:rsid w:val="00036339"/>
    <w:rsid w:val="00036524"/>
    <w:rsid w:val="00036543"/>
    <w:rsid w:val="0003665A"/>
    <w:rsid w:val="00036A8C"/>
    <w:rsid w:val="0003717F"/>
    <w:rsid w:val="00037742"/>
    <w:rsid w:val="00037A11"/>
    <w:rsid w:val="00037BFD"/>
    <w:rsid w:val="0004043F"/>
    <w:rsid w:val="0004050E"/>
    <w:rsid w:val="0004079F"/>
    <w:rsid w:val="000408E3"/>
    <w:rsid w:val="00040971"/>
    <w:rsid w:val="00041076"/>
    <w:rsid w:val="00041D3F"/>
    <w:rsid w:val="0004227A"/>
    <w:rsid w:val="0004229A"/>
    <w:rsid w:val="0004299D"/>
    <w:rsid w:val="00043CA9"/>
    <w:rsid w:val="00043DF2"/>
    <w:rsid w:val="00044141"/>
    <w:rsid w:val="0004435B"/>
    <w:rsid w:val="000444B4"/>
    <w:rsid w:val="00044F8C"/>
    <w:rsid w:val="00046A9A"/>
    <w:rsid w:val="00046B0E"/>
    <w:rsid w:val="00047374"/>
    <w:rsid w:val="0004750C"/>
    <w:rsid w:val="00047B0C"/>
    <w:rsid w:val="00047B44"/>
    <w:rsid w:val="00051419"/>
    <w:rsid w:val="000514DD"/>
    <w:rsid w:val="00051658"/>
    <w:rsid w:val="00052A9C"/>
    <w:rsid w:val="000534D7"/>
    <w:rsid w:val="00053812"/>
    <w:rsid w:val="000539A9"/>
    <w:rsid w:val="000539C6"/>
    <w:rsid w:val="00053BD2"/>
    <w:rsid w:val="000544BA"/>
    <w:rsid w:val="00054551"/>
    <w:rsid w:val="00054572"/>
    <w:rsid w:val="00054A1A"/>
    <w:rsid w:val="0005564D"/>
    <w:rsid w:val="00055CC1"/>
    <w:rsid w:val="0005626B"/>
    <w:rsid w:val="00056690"/>
    <w:rsid w:val="00056F95"/>
    <w:rsid w:val="00057296"/>
    <w:rsid w:val="0005757A"/>
    <w:rsid w:val="00060952"/>
    <w:rsid w:val="00060B95"/>
    <w:rsid w:val="00060E24"/>
    <w:rsid w:val="00060F0C"/>
    <w:rsid w:val="0006145D"/>
    <w:rsid w:val="00061E17"/>
    <w:rsid w:val="00062A98"/>
    <w:rsid w:val="00063182"/>
    <w:rsid w:val="00063602"/>
    <w:rsid w:val="0006393C"/>
    <w:rsid w:val="00063D73"/>
    <w:rsid w:val="00063F7D"/>
    <w:rsid w:val="0006472C"/>
    <w:rsid w:val="00064C79"/>
    <w:rsid w:val="00064E13"/>
    <w:rsid w:val="00067091"/>
    <w:rsid w:val="00067456"/>
    <w:rsid w:val="00067C43"/>
    <w:rsid w:val="000713D7"/>
    <w:rsid w:val="00071542"/>
    <w:rsid w:val="00071D72"/>
    <w:rsid w:val="00072A58"/>
    <w:rsid w:val="00072F3F"/>
    <w:rsid w:val="0007311A"/>
    <w:rsid w:val="00073285"/>
    <w:rsid w:val="000734C2"/>
    <w:rsid w:val="00073564"/>
    <w:rsid w:val="000747E2"/>
    <w:rsid w:val="000750EA"/>
    <w:rsid w:val="00075CC4"/>
    <w:rsid w:val="00076330"/>
    <w:rsid w:val="00076620"/>
    <w:rsid w:val="00076BAB"/>
    <w:rsid w:val="00076CB8"/>
    <w:rsid w:val="00076E5C"/>
    <w:rsid w:val="0007704B"/>
    <w:rsid w:val="00077604"/>
    <w:rsid w:val="000779E8"/>
    <w:rsid w:val="00077F0A"/>
    <w:rsid w:val="000807A4"/>
    <w:rsid w:val="00080D88"/>
    <w:rsid w:val="000811CF"/>
    <w:rsid w:val="000814AB"/>
    <w:rsid w:val="00082183"/>
    <w:rsid w:val="00083AC8"/>
    <w:rsid w:val="00084453"/>
    <w:rsid w:val="000850CB"/>
    <w:rsid w:val="00085266"/>
    <w:rsid w:val="000853A4"/>
    <w:rsid w:val="00085541"/>
    <w:rsid w:val="000855D6"/>
    <w:rsid w:val="00085886"/>
    <w:rsid w:val="00085CAB"/>
    <w:rsid w:val="000864A9"/>
    <w:rsid w:val="00086D94"/>
    <w:rsid w:val="0008717E"/>
    <w:rsid w:val="0009024D"/>
    <w:rsid w:val="0009054A"/>
    <w:rsid w:val="000907BE"/>
    <w:rsid w:val="0009141D"/>
    <w:rsid w:val="00091E82"/>
    <w:rsid w:val="00092111"/>
    <w:rsid w:val="00092569"/>
    <w:rsid w:val="000928DE"/>
    <w:rsid w:val="00093232"/>
    <w:rsid w:val="00093686"/>
    <w:rsid w:val="00094052"/>
    <w:rsid w:val="000948CC"/>
    <w:rsid w:val="000948FC"/>
    <w:rsid w:val="00094E44"/>
    <w:rsid w:val="00095783"/>
    <w:rsid w:val="00096161"/>
    <w:rsid w:val="000965FD"/>
    <w:rsid w:val="000975DF"/>
    <w:rsid w:val="00097608"/>
    <w:rsid w:val="000A0298"/>
    <w:rsid w:val="000A047C"/>
    <w:rsid w:val="000A0F65"/>
    <w:rsid w:val="000A153F"/>
    <w:rsid w:val="000A17ED"/>
    <w:rsid w:val="000A1A52"/>
    <w:rsid w:val="000A1F24"/>
    <w:rsid w:val="000A25BD"/>
    <w:rsid w:val="000A27AF"/>
    <w:rsid w:val="000A27CA"/>
    <w:rsid w:val="000A2845"/>
    <w:rsid w:val="000A316E"/>
    <w:rsid w:val="000A46E1"/>
    <w:rsid w:val="000A4EC3"/>
    <w:rsid w:val="000A542A"/>
    <w:rsid w:val="000A5477"/>
    <w:rsid w:val="000A55B9"/>
    <w:rsid w:val="000A59C9"/>
    <w:rsid w:val="000A6315"/>
    <w:rsid w:val="000A631C"/>
    <w:rsid w:val="000A6545"/>
    <w:rsid w:val="000A739C"/>
    <w:rsid w:val="000A7981"/>
    <w:rsid w:val="000A7ABA"/>
    <w:rsid w:val="000A7CF7"/>
    <w:rsid w:val="000B090C"/>
    <w:rsid w:val="000B1030"/>
    <w:rsid w:val="000B15AA"/>
    <w:rsid w:val="000B1AD5"/>
    <w:rsid w:val="000B2115"/>
    <w:rsid w:val="000B2301"/>
    <w:rsid w:val="000B26CA"/>
    <w:rsid w:val="000B2C23"/>
    <w:rsid w:val="000B321F"/>
    <w:rsid w:val="000B3972"/>
    <w:rsid w:val="000B39BC"/>
    <w:rsid w:val="000B3A08"/>
    <w:rsid w:val="000B3B2B"/>
    <w:rsid w:val="000B4079"/>
    <w:rsid w:val="000B431A"/>
    <w:rsid w:val="000B46E5"/>
    <w:rsid w:val="000B4D19"/>
    <w:rsid w:val="000B584C"/>
    <w:rsid w:val="000B5FC9"/>
    <w:rsid w:val="000B6159"/>
    <w:rsid w:val="000B61ED"/>
    <w:rsid w:val="000B768B"/>
    <w:rsid w:val="000C02ED"/>
    <w:rsid w:val="000C058E"/>
    <w:rsid w:val="000C0FA8"/>
    <w:rsid w:val="000C10DF"/>
    <w:rsid w:val="000C142A"/>
    <w:rsid w:val="000C142F"/>
    <w:rsid w:val="000C1664"/>
    <w:rsid w:val="000C1CEC"/>
    <w:rsid w:val="000C23AB"/>
    <w:rsid w:val="000C2430"/>
    <w:rsid w:val="000C28EE"/>
    <w:rsid w:val="000C2D84"/>
    <w:rsid w:val="000C3264"/>
    <w:rsid w:val="000C383A"/>
    <w:rsid w:val="000C3A45"/>
    <w:rsid w:val="000C40D7"/>
    <w:rsid w:val="000C4C95"/>
    <w:rsid w:val="000C5C0B"/>
    <w:rsid w:val="000C5C28"/>
    <w:rsid w:val="000C5E1F"/>
    <w:rsid w:val="000C61C2"/>
    <w:rsid w:val="000C6414"/>
    <w:rsid w:val="000C7739"/>
    <w:rsid w:val="000C7FA0"/>
    <w:rsid w:val="000D0313"/>
    <w:rsid w:val="000D055C"/>
    <w:rsid w:val="000D0664"/>
    <w:rsid w:val="000D0D3C"/>
    <w:rsid w:val="000D0FEC"/>
    <w:rsid w:val="000D1163"/>
    <w:rsid w:val="000D1507"/>
    <w:rsid w:val="000D1661"/>
    <w:rsid w:val="000D16DA"/>
    <w:rsid w:val="000D17C9"/>
    <w:rsid w:val="000D1894"/>
    <w:rsid w:val="000D29C7"/>
    <w:rsid w:val="000D389F"/>
    <w:rsid w:val="000D3BAF"/>
    <w:rsid w:val="000D3F27"/>
    <w:rsid w:val="000D491C"/>
    <w:rsid w:val="000D4991"/>
    <w:rsid w:val="000D51DC"/>
    <w:rsid w:val="000D5426"/>
    <w:rsid w:val="000D5438"/>
    <w:rsid w:val="000D5BD1"/>
    <w:rsid w:val="000D5E2C"/>
    <w:rsid w:val="000D61DB"/>
    <w:rsid w:val="000D6320"/>
    <w:rsid w:val="000D632F"/>
    <w:rsid w:val="000D6816"/>
    <w:rsid w:val="000D6DAB"/>
    <w:rsid w:val="000D7B68"/>
    <w:rsid w:val="000D7DC0"/>
    <w:rsid w:val="000E008A"/>
    <w:rsid w:val="000E0CBB"/>
    <w:rsid w:val="000E0EDF"/>
    <w:rsid w:val="000E0F2F"/>
    <w:rsid w:val="000E125A"/>
    <w:rsid w:val="000E1B14"/>
    <w:rsid w:val="000E1BA6"/>
    <w:rsid w:val="000E1CCD"/>
    <w:rsid w:val="000E2552"/>
    <w:rsid w:val="000E29FC"/>
    <w:rsid w:val="000E3350"/>
    <w:rsid w:val="000E36BA"/>
    <w:rsid w:val="000E384D"/>
    <w:rsid w:val="000E4A38"/>
    <w:rsid w:val="000E4B78"/>
    <w:rsid w:val="000E51D4"/>
    <w:rsid w:val="000E527C"/>
    <w:rsid w:val="000E57C7"/>
    <w:rsid w:val="000E5D17"/>
    <w:rsid w:val="000E5E8A"/>
    <w:rsid w:val="000E5F81"/>
    <w:rsid w:val="000E667B"/>
    <w:rsid w:val="000E670E"/>
    <w:rsid w:val="000E6CEF"/>
    <w:rsid w:val="000E6F29"/>
    <w:rsid w:val="000E78DE"/>
    <w:rsid w:val="000E7A76"/>
    <w:rsid w:val="000E7BC1"/>
    <w:rsid w:val="000F0701"/>
    <w:rsid w:val="000F0E56"/>
    <w:rsid w:val="000F1159"/>
    <w:rsid w:val="000F11FC"/>
    <w:rsid w:val="000F1841"/>
    <w:rsid w:val="000F18E3"/>
    <w:rsid w:val="000F1A92"/>
    <w:rsid w:val="000F2654"/>
    <w:rsid w:val="000F26DB"/>
    <w:rsid w:val="000F2FE3"/>
    <w:rsid w:val="000F324F"/>
    <w:rsid w:val="000F3637"/>
    <w:rsid w:val="000F3B4A"/>
    <w:rsid w:val="000F4BCD"/>
    <w:rsid w:val="000F4D32"/>
    <w:rsid w:val="000F5408"/>
    <w:rsid w:val="000F5C64"/>
    <w:rsid w:val="000F6076"/>
    <w:rsid w:val="000F62BB"/>
    <w:rsid w:val="000F65A0"/>
    <w:rsid w:val="000F69DD"/>
    <w:rsid w:val="000F6C8D"/>
    <w:rsid w:val="000F72C2"/>
    <w:rsid w:val="000F7377"/>
    <w:rsid w:val="000F74FB"/>
    <w:rsid w:val="000F7920"/>
    <w:rsid w:val="000F7C72"/>
    <w:rsid w:val="001005DA"/>
    <w:rsid w:val="00100678"/>
    <w:rsid w:val="0010069F"/>
    <w:rsid w:val="0010077B"/>
    <w:rsid w:val="001014A4"/>
    <w:rsid w:val="001014CA"/>
    <w:rsid w:val="001018A3"/>
    <w:rsid w:val="00101F69"/>
    <w:rsid w:val="00102808"/>
    <w:rsid w:val="00103454"/>
    <w:rsid w:val="00103C0F"/>
    <w:rsid w:val="001062EF"/>
    <w:rsid w:val="0010631B"/>
    <w:rsid w:val="001066C5"/>
    <w:rsid w:val="00106B34"/>
    <w:rsid w:val="00106D98"/>
    <w:rsid w:val="00106FD5"/>
    <w:rsid w:val="00107006"/>
    <w:rsid w:val="001078A4"/>
    <w:rsid w:val="00107BD0"/>
    <w:rsid w:val="00107FBC"/>
    <w:rsid w:val="0011123B"/>
    <w:rsid w:val="001117CC"/>
    <w:rsid w:val="0011269A"/>
    <w:rsid w:val="00113299"/>
    <w:rsid w:val="00113EB1"/>
    <w:rsid w:val="00114171"/>
    <w:rsid w:val="00114763"/>
    <w:rsid w:val="001149FC"/>
    <w:rsid w:val="00114DC2"/>
    <w:rsid w:val="00114EA2"/>
    <w:rsid w:val="0011512A"/>
    <w:rsid w:val="00115676"/>
    <w:rsid w:val="001158B8"/>
    <w:rsid w:val="00115C3B"/>
    <w:rsid w:val="00115D74"/>
    <w:rsid w:val="00116209"/>
    <w:rsid w:val="00116553"/>
    <w:rsid w:val="0011665E"/>
    <w:rsid w:val="001168D8"/>
    <w:rsid w:val="00116B4C"/>
    <w:rsid w:val="00116F12"/>
    <w:rsid w:val="0011776B"/>
    <w:rsid w:val="00120064"/>
    <w:rsid w:val="00120274"/>
    <w:rsid w:val="00120932"/>
    <w:rsid w:val="001209FD"/>
    <w:rsid w:val="00120D6F"/>
    <w:rsid w:val="00121366"/>
    <w:rsid w:val="001214CC"/>
    <w:rsid w:val="00121953"/>
    <w:rsid w:val="00122593"/>
    <w:rsid w:val="00122985"/>
    <w:rsid w:val="00123110"/>
    <w:rsid w:val="001231C9"/>
    <w:rsid w:val="00123849"/>
    <w:rsid w:val="00123BFD"/>
    <w:rsid w:val="00123CD9"/>
    <w:rsid w:val="00123D7D"/>
    <w:rsid w:val="001241A4"/>
    <w:rsid w:val="001244D2"/>
    <w:rsid w:val="001249FA"/>
    <w:rsid w:val="00124DCD"/>
    <w:rsid w:val="00124E17"/>
    <w:rsid w:val="001256F0"/>
    <w:rsid w:val="00125763"/>
    <w:rsid w:val="00125897"/>
    <w:rsid w:val="00125E8F"/>
    <w:rsid w:val="00127799"/>
    <w:rsid w:val="00127ACB"/>
    <w:rsid w:val="00127BA7"/>
    <w:rsid w:val="001304E4"/>
    <w:rsid w:val="00131034"/>
    <w:rsid w:val="001317D7"/>
    <w:rsid w:val="0013195E"/>
    <w:rsid w:val="00131DFD"/>
    <w:rsid w:val="001320E5"/>
    <w:rsid w:val="001329BC"/>
    <w:rsid w:val="00132B7B"/>
    <w:rsid w:val="00132C24"/>
    <w:rsid w:val="00132C9D"/>
    <w:rsid w:val="0013345E"/>
    <w:rsid w:val="001337DF"/>
    <w:rsid w:val="00133A6B"/>
    <w:rsid w:val="00133B12"/>
    <w:rsid w:val="0013444D"/>
    <w:rsid w:val="001345C3"/>
    <w:rsid w:val="001350CC"/>
    <w:rsid w:val="00135197"/>
    <w:rsid w:val="001355E2"/>
    <w:rsid w:val="0013562D"/>
    <w:rsid w:val="00135E17"/>
    <w:rsid w:val="001364D8"/>
    <w:rsid w:val="0013667A"/>
    <w:rsid w:val="001367C5"/>
    <w:rsid w:val="00136800"/>
    <w:rsid w:val="00136B92"/>
    <w:rsid w:val="00137B20"/>
    <w:rsid w:val="00137E0F"/>
    <w:rsid w:val="00140FC3"/>
    <w:rsid w:val="00140FC4"/>
    <w:rsid w:val="00141347"/>
    <w:rsid w:val="00141B1B"/>
    <w:rsid w:val="001422B4"/>
    <w:rsid w:val="0014255D"/>
    <w:rsid w:val="00142870"/>
    <w:rsid w:val="00142BB8"/>
    <w:rsid w:val="00142E11"/>
    <w:rsid w:val="00143221"/>
    <w:rsid w:val="00143754"/>
    <w:rsid w:val="00143A11"/>
    <w:rsid w:val="00143AF4"/>
    <w:rsid w:val="00143D56"/>
    <w:rsid w:val="0014444C"/>
    <w:rsid w:val="00144529"/>
    <w:rsid w:val="001452ED"/>
    <w:rsid w:val="001457CC"/>
    <w:rsid w:val="00147EE8"/>
    <w:rsid w:val="001508A2"/>
    <w:rsid w:val="00150AB9"/>
    <w:rsid w:val="00151482"/>
    <w:rsid w:val="00151576"/>
    <w:rsid w:val="00152167"/>
    <w:rsid w:val="0015317A"/>
    <w:rsid w:val="00153631"/>
    <w:rsid w:val="00153867"/>
    <w:rsid w:val="00153DBD"/>
    <w:rsid w:val="00154985"/>
    <w:rsid w:val="00155017"/>
    <w:rsid w:val="001555F9"/>
    <w:rsid w:val="00156BF3"/>
    <w:rsid w:val="00156C7C"/>
    <w:rsid w:val="001571AD"/>
    <w:rsid w:val="00160488"/>
    <w:rsid w:val="00160639"/>
    <w:rsid w:val="001618EB"/>
    <w:rsid w:val="00161CEE"/>
    <w:rsid w:val="00161F19"/>
    <w:rsid w:val="001622DC"/>
    <w:rsid w:val="00162760"/>
    <w:rsid w:val="001628BD"/>
    <w:rsid w:val="0016364D"/>
    <w:rsid w:val="00163B8F"/>
    <w:rsid w:val="00163CDB"/>
    <w:rsid w:val="0016402C"/>
    <w:rsid w:val="001641B9"/>
    <w:rsid w:val="0016482A"/>
    <w:rsid w:val="00164871"/>
    <w:rsid w:val="001648C5"/>
    <w:rsid w:val="0016498C"/>
    <w:rsid w:val="00164A98"/>
    <w:rsid w:val="00164F5D"/>
    <w:rsid w:val="00165070"/>
    <w:rsid w:val="0016557D"/>
    <w:rsid w:val="001657F8"/>
    <w:rsid w:val="00165DCA"/>
    <w:rsid w:val="001660F8"/>
    <w:rsid w:val="00166137"/>
    <w:rsid w:val="0016621A"/>
    <w:rsid w:val="001667D1"/>
    <w:rsid w:val="00166A73"/>
    <w:rsid w:val="001676AC"/>
    <w:rsid w:val="00167DDE"/>
    <w:rsid w:val="00170F36"/>
    <w:rsid w:val="00170FF9"/>
    <w:rsid w:val="00171221"/>
    <w:rsid w:val="0017133B"/>
    <w:rsid w:val="0017162C"/>
    <w:rsid w:val="00171A7B"/>
    <w:rsid w:val="00171C9E"/>
    <w:rsid w:val="0017312E"/>
    <w:rsid w:val="00173B1B"/>
    <w:rsid w:val="00174359"/>
    <w:rsid w:val="001743B3"/>
    <w:rsid w:val="0017488C"/>
    <w:rsid w:val="00174A4D"/>
    <w:rsid w:val="00174D25"/>
    <w:rsid w:val="001750FD"/>
    <w:rsid w:val="001751E4"/>
    <w:rsid w:val="00175418"/>
    <w:rsid w:val="001756AC"/>
    <w:rsid w:val="001757C8"/>
    <w:rsid w:val="00177262"/>
    <w:rsid w:val="00177557"/>
    <w:rsid w:val="00177A7D"/>
    <w:rsid w:val="00177EA4"/>
    <w:rsid w:val="00180A28"/>
    <w:rsid w:val="00180C1F"/>
    <w:rsid w:val="00181763"/>
    <w:rsid w:val="00182871"/>
    <w:rsid w:val="00182929"/>
    <w:rsid w:val="00182C69"/>
    <w:rsid w:val="00182F6F"/>
    <w:rsid w:val="00183834"/>
    <w:rsid w:val="00183CD3"/>
    <w:rsid w:val="00183EF4"/>
    <w:rsid w:val="00183FD7"/>
    <w:rsid w:val="00183FE0"/>
    <w:rsid w:val="001843A8"/>
    <w:rsid w:val="0018462B"/>
    <w:rsid w:val="00184A41"/>
    <w:rsid w:val="00184B0B"/>
    <w:rsid w:val="00184C3C"/>
    <w:rsid w:val="001851A4"/>
    <w:rsid w:val="0018532E"/>
    <w:rsid w:val="0018539B"/>
    <w:rsid w:val="00186A8B"/>
    <w:rsid w:val="00187395"/>
    <w:rsid w:val="00187454"/>
    <w:rsid w:val="00187730"/>
    <w:rsid w:val="00187E72"/>
    <w:rsid w:val="001901F9"/>
    <w:rsid w:val="00191134"/>
    <w:rsid w:val="00191512"/>
    <w:rsid w:val="00191B21"/>
    <w:rsid w:val="00191DEA"/>
    <w:rsid w:val="00191F42"/>
    <w:rsid w:val="0019253A"/>
    <w:rsid w:val="0019283B"/>
    <w:rsid w:val="00192920"/>
    <w:rsid w:val="00192E74"/>
    <w:rsid w:val="00193407"/>
    <w:rsid w:val="001934C3"/>
    <w:rsid w:val="00194002"/>
    <w:rsid w:val="0019426D"/>
    <w:rsid w:val="0019429F"/>
    <w:rsid w:val="001942E8"/>
    <w:rsid w:val="00194671"/>
    <w:rsid w:val="00194918"/>
    <w:rsid w:val="00194D1B"/>
    <w:rsid w:val="00195236"/>
    <w:rsid w:val="001952FB"/>
    <w:rsid w:val="0019534D"/>
    <w:rsid w:val="001953B9"/>
    <w:rsid w:val="0019553A"/>
    <w:rsid w:val="00195FE9"/>
    <w:rsid w:val="00197462"/>
    <w:rsid w:val="001979E0"/>
    <w:rsid w:val="001A01A8"/>
    <w:rsid w:val="001A1058"/>
    <w:rsid w:val="001A1AD8"/>
    <w:rsid w:val="001A274B"/>
    <w:rsid w:val="001A28E3"/>
    <w:rsid w:val="001A2958"/>
    <w:rsid w:val="001A2F65"/>
    <w:rsid w:val="001A305E"/>
    <w:rsid w:val="001A42E5"/>
    <w:rsid w:val="001A439B"/>
    <w:rsid w:val="001A46DA"/>
    <w:rsid w:val="001A4D35"/>
    <w:rsid w:val="001A4D54"/>
    <w:rsid w:val="001A5303"/>
    <w:rsid w:val="001A54FC"/>
    <w:rsid w:val="001A551B"/>
    <w:rsid w:val="001A5E64"/>
    <w:rsid w:val="001A6433"/>
    <w:rsid w:val="001A67CE"/>
    <w:rsid w:val="001A6DD9"/>
    <w:rsid w:val="001A70B4"/>
    <w:rsid w:val="001B0220"/>
    <w:rsid w:val="001B02CE"/>
    <w:rsid w:val="001B0371"/>
    <w:rsid w:val="001B03C6"/>
    <w:rsid w:val="001B0442"/>
    <w:rsid w:val="001B06B4"/>
    <w:rsid w:val="001B06B6"/>
    <w:rsid w:val="001B0994"/>
    <w:rsid w:val="001B0D06"/>
    <w:rsid w:val="001B0DCD"/>
    <w:rsid w:val="001B12C0"/>
    <w:rsid w:val="001B1322"/>
    <w:rsid w:val="001B198A"/>
    <w:rsid w:val="001B1E45"/>
    <w:rsid w:val="001B2312"/>
    <w:rsid w:val="001B273C"/>
    <w:rsid w:val="001B27A9"/>
    <w:rsid w:val="001B36CC"/>
    <w:rsid w:val="001B3D0D"/>
    <w:rsid w:val="001B473C"/>
    <w:rsid w:val="001B590A"/>
    <w:rsid w:val="001B5EBD"/>
    <w:rsid w:val="001B6B22"/>
    <w:rsid w:val="001B7B32"/>
    <w:rsid w:val="001C0630"/>
    <w:rsid w:val="001C0DA4"/>
    <w:rsid w:val="001C10D2"/>
    <w:rsid w:val="001C170D"/>
    <w:rsid w:val="001C171D"/>
    <w:rsid w:val="001C1C4E"/>
    <w:rsid w:val="001C1FE5"/>
    <w:rsid w:val="001C231D"/>
    <w:rsid w:val="001C26F9"/>
    <w:rsid w:val="001C296E"/>
    <w:rsid w:val="001C2FEB"/>
    <w:rsid w:val="001C3369"/>
    <w:rsid w:val="001C3703"/>
    <w:rsid w:val="001C37B1"/>
    <w:rsid w:val="001C3DF9"/>
    <w:rsid w:val="001C41D7"/>
    <w:rsid w:val="001C429E"/>
    <w:rsid w:val="001C42DE"/>
    <w:rsid w:val="001C474A"/>
    <w:rsid w:val="001C477C"/>
    <w:rsid w:val="001C49C3"/>
    <w:rsid w:val="001C4E60"/>
    <w:rsid w:val="001C52C9"/>
    <w:rsid w:val="001C5605"/>
    <w:rsid w:val="001C58AA"/>
    <w:rsid w:val="001C5A7A"/>
    <w:rsid w:val="001C5EC0"/>
    <w:rsid w:val="001C62DD"/>
    <w:rsid w:val="001C63FF"/>
    <w:rsid w:val="001C657D"/>
    <w:rsid w:val="001C7197"/>
    <w:rsid w:val="001C72CF"/>
    <w:rsid w:val="001C7870"/>
    <w:rsid w:val="001C7DB6"/>
    <w:rsid w:val="001D0A8D"/>
    <w:rsid w:val="001D1853"/>
    <w:rsid w:val="001D1BB8"/>
    <w:rsid w:val="001D1F89"/>
    <w:rsid w:val="001D205C"/>
    <w:rsid w:val="001D2062"/>
    <w:rsid w:val="001D2CF7"/>
    <w:rsid w:val="001D34F4"/>
    <w:rsid w:val="001D365E"/>
    <w:rsid w:val="001D3824"/>
    <w:rsid w:val="001D38E4"/>
    <w:rsid w:val="001D3CF5"/>
    <w:rsid w:val="001D42B6"/>
    <w:rsid w:val="001D45D1"/>
    <w:rsid w:val="001D49BC"/>
    <w:rsid w:val="001D4AC1"/>
    <w:rsid w:val="001D4BFB"/>
    <w:rsid w:val="001D4EF6"/>
    <w:rsid w:val="001D551C"/>
    <w:rsid w:val="001D581B"/>
    <w:rsid w:val="001D5A3D"/>
    <w:rsid w:val="001D6092"/>
    <w:rsid w:val="001D66E0"/>
    <w:rsid w:val="001D7892"/>
    <w:rsid w:val="001D7B13"/>
    <w:rsid w:val="001E0C0D"/>
    <w:rsid w:val="001E1F24"/>
    <w:rsid w:val="001E2074"/>
    <w:rsid w:val="001E23F3"/>
    <w:rsid w:val="001E2C3B"/>
    <w:rsid w:val="001E2F36"/>
    <w:rsid w:val="001E2FC3"/>
    <w:rsid w:val="001E37B8"/>
    <w:rsid w:val="001E3F16"/>
    <w:rsid w:val="001E3F32"/>
    <w:rsid w:val="001E407B"/>
    <w:rsid w:val="001E494F"/>
    <w:rsid w:val="001E5442"/>
    <w:rsid w:val="001E594F"/>
    <w:rsid w:val="001E5DEC"/>
    <w:rsid w:val="001E67E2"/>
    <w:rsid w:val="001E6864"/>
    <w:rsid w:val="001E6F0F"/>
    <w:rsid w:val="001E6F34"/>
    <w:rsid w:val="001E7035"/>
    <w:rsid w:val="001F1EBA"/>
    <w:rsid w:val="001F23EB"/>
    <w:rsid w:val="001F26EA"/>
    <w:rsid w:val="001F286B"/>
    <w:rsid w:val="001F29E6"/>
    <w:rsid w:val="001F33D4"/>
    <w:rsid w:val="001F3AAE"/>
    <w:rsid w:val="001F479C"/>
    <w:rsid w:val="001F4DA9"/>
    <w:rsid w:val="001F53E4"/>
    <w:rsid w:val="001F5500"/>
    <w:rsid w:val="001F55B2"/>
    <w:rsid w:val="001F5FA6"/>
    <w:rsid w:val="001F6BC7"/>
    <w:rsid w:val="001F75D5"/>
    <w:rsid w:val="001F77F3"/>
    <w:rsid w:val="001F7AE3"/>
    <w:rsid w:val="001F7C15"/>
    <w:rsid w:val="001F7C32"/>
    <w:rsid w:val="00200427"/>
    <w:rsid w:val="00202276"/>
    <w:rsid w:val="00202356"/>
    <w:rsid w:val="0020271B"/>
    <w:rsid w:val="00202BA1"/>
    <w:rsid w:val="00202CC2"/>
    <w:rsid w:val="00203E7A"/>
    <w:rsid w:val="002047C0"/>
    <w:rsid w:val="0020532E"/>
    <w:rsid w:val="00205A78"/>
    <w:rsid w:val="00205C8B"/>
    <w:rsid w:val="0020674B"/>
    <w:rsid w:val="0020742D"/>
    <w:rsid w:val="0020744D"/>
    <w:rsid w:val="002077AA"/>
    <w:rsid w:val="00207C09"/>
    <w:rsid w:val="0021042D"/>
    <w:rsid w:val="00210509"/>
    <w:rsid w:val="00210C7C"/>
    <w:rsid w:val="00211400"/>
    <w:rsid w:val="0021162C"/>
    <w:rsid w:val="00211A8B"/>
    <w:rsid w:val="00211F7E"/>
    <w:rsid w:val="002126EC"/>
    <w:rsid w:val="00213305"/>
    <w:rsid w:val="00213EE8"/>
    <w:rsid w:val="00214B68"/>
    <w:rsid w:val="00215454"/>
    <w:rsid w:val="0021553D"/>
    <w:rsid w:val="002155CD"/>
    <w:rsid w:val="00216168"/>
    <w:rsid w:val="00216398"/>
    <w:rsid w:val="00216598"/>
    <w:rsid w:val="00216632"/>
    <w:rsid w:val="00216891"/>
    <w:rsid w:val="00216D2C"/>
    <w:rsid w:val="002170B8"/>
    <w:rsid w:val="0022034E"/>
    <w:rsid w:val="0022036F"/>
    <w:rsid w:val="00220707"/>
    <w:rsid w:val="00220D63"/>
    <w:rsid w:val="002213D0"/>
    <w:rsid w:val="00221F3A"/>
    <w:rsid w:val="00222194"/>
    <w:rsid w:val="00222589"/>
    <w:rsid w:val="00223119"/>
    <w:rsid w:val="00224211"/>
    <w:rsid w:val="00224CB3"/>
    <w:rsid w:val="00224D46"/>
    <w:rsid w:val="00224DEC"/>
    <w:rsid w:val="00225026"/>
    <w:rsid w:val="00225410"/>
    <w:rsid w:val="00225A18"/>
    <w:rsid w:val="002261E9"/>
    <w:rsid w:val="0022636C"/>
    <w:rsid w:val="00226A27"/>
    <w:rsid w:val="00226D6F"/>
    <w:rsid w:val="002270D8"/>
    <w:rsid w:val="00227EC7"/>
    <w:rsid w:val="002302CA"/>
    <w:rsid w:val="00230F01"/>
    <w:rsid w:val="00231283"/>
    <w:rsid w:val="002317E6"/>
    <w:rsid w:val="0023209E"/>
    <w:rsid w:val="002320B7"/>
    <w:rsid w:val="00232240"/>
    <w:rsid w:val="002325C1"/>
    <w:rsid w:val="0023273B"/>
    <w:rsid w:val="00232CCA"/>
    <w:rsid w:val="00234072"/>
    <w:rsid w:val="002343F6"/>
    <w:rsid w:val="002348FC"/>
    <w:rsid w:val="00234B4A"/>
    <w:rsid w:val="00234CC7"/>
    <w:rsid w:val="00234F9A"/>
    <w:rsid w:val="00235130"/>
    <w:rsid w:val="00235349"/>
    <w:rsid w:val="00235878"/>
    <w:rsid w:val="00235E41"/>
    <w:rsid w:val="00235E68"/>
    <w:rsid w:val="00236492"/>
    <w:rsid w:val="00236540"/>
    <w:rsid w:val="002365BD"/>
    <w:rsid w:val="002368A9"/>
    <w:rsid w:val="00236999"/>
    <w:rsid w:val="002371CC"/>
    <w:rsid w:val="00237BBC"/>
    <w:rsid w:val="002401D9"/>
    <w:rsid w:val="002401DF"/>
    <w:rsid w:val="002405E4"/>
    <w:rsid w:val="00240853"/>
    <w:rsid w:val="00240EBD"/>
    <w:rsid w:val="00241332"/>
    <w:rsid w:val="002413A0"/>
    <w:rsid w:val="00241431"/>
    <w:rsid w:val="002420E5"/>
    <w:rsid w:val="002424D0"/>
    <w:rsid w:val="00242805"/>
    <w:rsid w:val="00242B3E"/>
    <w:rsid w:val="00244887"/>
    <w:rsid w:val="002449F5"/>
    <w:rsid w:val="00244B6C"/>
    <w:rsid w:val="002450AE"/>
    <w:rsid w:val="00245115"/>
    <w:rsid w:val="00245346"/>
    <w:rsid w:val="002454C6"/>
    <w:rsid w:val="002455F3"/>
    <w:rsid w:val="0024593A"/>
    <w:rsid w:val="00245A5C"/>
    <w:rsid w:val="00245C56"/>
    <w:rsid w:val="00245E58"/>
    <w:rsid w:val="00245FE7"/>
    <w:rsid w:val="00246801"/>
    <w:rsid w:val="002469C6"/>
    <w:rsid w:val="00246A0B"/>
    <w:rsid w:val="002471EF"/>
    <w:rsid w:val="00247426"/>
    <w:rsid w:val="002478E6"/>
    <w:rsid w:val="00247E58"/>
    <w:rsid w:val="00250E30"/>
    <w:rsid w:val="00251777"/>
    <w:rsid w:val="00251AC4"/>
    <w:rsid w:val="00251D91"/>
    <w:rsid w:val="00251F54"/>
    <w:rsid w:val="0025274F"/>
    <w:rsid w:val="002529FF"/>
    <w:rsid w:val="002531FE"/>
    <w:rsid w:val="00253391"/>
    <w:rsid w:val="00253F04"/>
    <w:rsid w:val="00253F8D"/>
    <w:rsid w:val="00254055"/>
    <w:rsid w:val="00254258"/>
    <w:rsid w:val="00254426"/>
    <w:rsid w:val="00254468"/>
    <w:rsid w:val="00254F2F"/>
    <w:rsid w:val="0025554B"/>
    <w:rsid w:val="00255677"/>
    <w:rsid w:val="00256295"/>
    <w:rsid w:val="00256506"/>
    <w:rsid w:val="00256E5B"/>
    <w:rsid w:val="00256F74"/>
    <w:rsid w:val="00256F89"/>
    <w:rsid w:val="00257414"/>
    <w:rsid w:val="0025782E"/>
    <w:rsid w:val="00257BE5"/>
    <w:rsid w:val="0026006D"/>
    <w:rsid w:val="0026067B"/>
    <w:rsid w:val="0026095E"/>
    <w:rsid w:val="00261FE5"/>
    <w:rsid w:val="0026213F"/>
    <w:rsid w:val="00262336"/>
    <w:rsid w:val="00262417"/>
    <w:rsid w:val="0026253C"/>
    <w:rsid w:val="002629C6"/>
    <w:rsid w:val="00263293"/>
    <w:rsid w:val="00264610"/>
    <w:rsid w:val="00264686"/>
    <w:rsid w:val="00265054"/>
    <w:rsid w:val="0026516B"/>
    <w:rsid w:val="00265820"/>
    <w:rsid w:val="0026598A"/>
    <w:rsid w:val="00265AC3"/>
    <w:rsid w:val="00265C9E"/>
    <w:rsid w:val="00265D1B"/>
    <w:rsid w:val="00265F51"/>
    <w:rsid w:val="002672AD"/>
    <w:rsid w:val="0026CD9F"/>
    <w:rsid w:val="00270095"/>
    <w:rsid w:val="002708E7"/>
    <w:rsid w:val="002709F1"/>
    <w:rsid w:val="00270FA8"/>
    <w:rsid w:val="00271495"/>
    <w:rsid w:val="00271ADB"/>
    <w:rsid w:val="00271C77"/>
    <w:rsid w:val="00271EF3"/>
    <w:rsid w:val="002722DF"/>
    <w:rsid w:val="002728DE"/>
    <w:rsid w:val="00272B46"/>
    <w:rsid w:val="00272DAF"/>
    <w:rsid w:val="002730DA"/>
    <w:rsid w:val="00273C9C"/>
    <w:rsid w:val="00274409"/>
    <w:rsid w:val="00275331"/>
    <w:rsid w:val="00275E12"/>
    <w:rsid w:val="00275E32"/>
    <w:rsid w:val="002761B9"/>
    <w:rsid w:val="002762D0"/>
    <w:rsid w:val="0027644D"/>
    <w:rsid w:val="00276AF0"/>
    <w:rsid w:val="0027772F"/>
    <w:rsid w:val="00277910"/>
    <w:rsid w:val="00277DA5"/>
    <w:rsid w:val="00280642"/>
    <w:rsid w:val="00280FA6"/>
    <w:rsid w:val="0028153D"/>
    <w:rsid w:val="00281C94"/>
    <w:rsid w:val="00281D90"/>
    <w:rsid w:val="002820C8"/>
    <w:rsid w:val="002825C0"/>
    <w:rsid w:val="00283F1A"/>
    <w:rsid w:val="00283FD9"/>
    <w:rsid w:val="00284198"/>
    <w:rsid w:val="00284243"/>
    <w:rsid w:val="00284837"/>
    <w:rsid w:val="00285BA8"/>
    <w:rsid w:val="00285F7F"/>
    <w:rsid w:val="002862EA"/>
    <w:rsid w:val="00286666"/>
    <w:rsid w:val="002867C4"/>
    <w:rsid w:val="0028690C"/>
    <w:rsid w:val="00286B6C"/>
    <w:rsid w:val="00286CF5"/>
    <w:rsid w:val="00286DA0"/>
    <w:rsid w:val="00286DFD"/>
    <w:rsid w:val="0028796B"/>
    <w:rsid w:val="00287B52"/>
    <w:rsid w:val="00287EF1"/>
    <w:rsid w:val="0029084E"/>
    <w:rsid w:val="0029099C"/>
    <w:rsid w:val="00290D16"/>
    <w:rsid w:val="00290D8F"/>
    <w:rsid w:val="002914A1"/>
    <w:rsid w:val="00291DD4"/>
    <w:rsid w:val="0029259F"/>
    <w:rsid w:val="002929DA"/>
    <w:rsid w:val="00292D8C"/>
    <w:rsid w:val="00293D63"/>
    <w:rsid w:val="00293E47"/>
    <w:rsid w:val="00294036"/>
    <w:rsid w:val="002947D9"/>
    <w:rsid w:val="00294B81"/>
    <w:rsid w:val="00294CF0"/>
    <w:rsid w:val="00294EBD"/>
    <w:rsid w:val="00295DD6"/>
    <w:rsid w:val="00296246"/>
    <w:rsid w:val="002962C6"/>
    <w:rsid w:val="002962E8"/>
    <w:rsid w:val="00296364"/>
    <w:rsid w:val="00296B2E"/>
    <w:rsid w:val="00297C35"/>
    <w:rsid w:val="00297FC5"/>
    <w:rsid w:val="002A0070"/>
    <w:rsid w:val="002A0707"/>
    <w:rsid w:val="002A1109"/>
    <w:rsid w:val="002A11E2"/>
    <w:rsid w:val="002A20C1"/>
    <w:rsid w:val="002A2725"/>
    <w:rsid w:val="002A32B8"/>
    <w:rsid w:val="002A341E"/>
    <w:rsid w:val="002A3C53"/>
    <w:rsid w:val="002A3EC6"/>
    <w:rsid w:val="002A4303"/>
    <w:rsid w:val="002A444C"/>
    <w:rsid w:val="002A448B"/>
    <w:rsid w:val="002A5563"/>
    <w:rsid w:val="002A5E7C"/>
    <w:rsid w:val="002A606C"/>
    <w:rsid w:val="002A635A"/>
    <w:rsid w:val="002A688F"/>
    <w:rsid w:val="002A79EB"/>
    <w:rsid w:val="002A7CCE"/>
    <w:rsid w:val="002A7DD5"/>
    <w:rsid w:val="002B04D1"/>
    <w:rsid w:val="002B0828"/>
    <w:rsid w:val="002B0978"/>
    <w:rsid w:val="002B1018"/>
    <w:rsid w:val="002B11F3"/>
    <w:rsid w:val="002B3BD4"/>
    <w:rsid w:val="002B3E98"/>
    <w:rsid w:val="002B429F"/>
    <w:rsid w:val="002B47C5"/>
    <w:rsid w:val="002B5674"/>
    <w:rsid w:val="002B5A4E"/>
    <w:rsid w:val="002B5EB8"/>
    <w:rsid w:val="002B62F9"/>
    <w:rsid w:val="002B6E3B"/>
    <w:rsid w:val="002B74D0"/>
    <w:rsid w:val="002C01F3"/>
    <w:rsid w:val="002C0780"/>
    <w:rsid w:val="002C0CA8"/>
    <w:rsid w:val="002C11D7"/>
    <w:rsid w:val="002C1308"/>
    <w:rsid w:val="002C16F1"/>
    <w:rsid w:val="002C1CC4"/>
    <w:rsid w:val="002C2231"/>
    <w:rsid w:val="002C2360"/>
    <w:rsid w:val="002C2BAC"/>
    <w:rsid w:val="002C2D90"/>
    <w:rsid w:val="002C300D"/>
    <w:rsid w:val="002C36DC"/>
    <w:rsid w:val="002C3873"/>
    <w:rsid w:val="002C3D45"/>
    <w:rsid w:val="002C3DFD"/>
    <w:rsid w:val="002C40D9"/>
    <w:rsid w:val="002C533E"/>
    <w:rsid w:val="002C5A2D"/>
    <w:rsid w:val="002C5B8F"/>
    <w:rsid w:val="002C5C7E"/>
    <w:rsid w:val="002C5D98"/>
    <w:rsid w:val="002C657B"/>
    <w:rsid w:val="002C6B8A"/>
    <w:rsid w:val="002C713B"/>
    <w:rsid w:val="002C7D65"/>
    <w:rsid w:val="002D02FF"/>
    <w:rsid w:val="002D06A1"/>
    <w:rsid w:val="002D0B53"/>
    <w:rsid w:val="002D0F98"/>
    <w:rsid w:val="002D14B6"/>
    <w:rsid w:val="002D1771"/>
    <w:rsid w:val="002D2906"/>
    <w:rsid w:val="002D2C26"/>
    <w:rsid w:val="002D2F93"/>
    <w:rsid w:val="002D370D"/>
    <w:rsid w:val="002D3D87"/>
    <w:rsid w:val="002D3E16"/>
    <w:rsid w:val="002D4781"/>
    <w:rsid w:val="002D4A94"/>
    <w:rsid w:val="002D4B6C"/>
    <w:rsid w:val="002D4BB5"/>
    <w:rsid w:val="002D4CD6"/>
    <w:rsid w:val="002D506D"/>
    <w:rsid w:val="002D5B1D"/>
    <w:rsid w:val="002D5D77"/>
    <w:rsid w:val="002D612D"/>
    <w:rsid w:val="002D6257"/>
    <w:rsid w:val="002D659D"/>
    <w:rsid w:val="002D67D0"/>
    <w:rsid w:val="002D6BE3"/>
    <w:rsid w:val="002D6DDE"/>
    <w:rsid w:val="002D6FE7"/>
    <w:rsid w:val="002D7459"/>
    <w:rsid w:val="002D7CF2"/>
    <w:rsid w:val="002E0650"/>
    <w:rsid w:val="002E0A08"/>
    <w:rsid w:val="002E0CC5"/>
    <w:rsid w:val="002E101C"/>
    <w:rsid w:val="002E2283"/>
    <w:rsid w:val="002E2B17"/>
    <w:rsid w:val="002E2B93"/>
    <w:rsid w:val="002E32E4"/>
    <w:rsid w:val="002E349C"/>
    <w:rsid w:val="002E35A4"/>
    <w:rsid w:val="002E3AAC"/>
    <w:rsid w:val="002E466A"/>
    <w:rsid w:val="002E663F"/>
    <w:rsid w:val="002E6ABB"/>
    <w:rsid w:val="002E7010"/>
    <w:rsid w:val="002E7351"/>
    <w:rsid w:val="002F06AF"/>
    <w:rsid w:val="002F0D01"/>
    <w:rsid w:val="002F1106"/>
    <w:rsid w:val="002F1CE1"/>
    <w:rsid w:val="002F236B"/>
    <w:rsid w:val="002F2B39"/>
    <w:rsid w:val="002F2C8E"/>
    <w:rsid w:val="002F3938"/>
    <w:rsid w:val="002F3BC4"/>
    <w:rsid w:val="002F3E8B"/>
    <w:rsid w:val="002F409C"/>
    <w:rsid w:val="002F4B02"/>
    <w:rsid w:val="002F4F56"/>
    <w:rsid w:val="002F5108"/>
    <w:rsid w:val="002F6000"/>
    <w:rsid w:val="002F651D"/>
    <w:rsid w:val="002F65FF"/>
    <w:rsid w:val="002F6B76"/>
    <w:rsid w:val="002F6BD3"/>
    <w:rsid w:val="002F6D05"/>
    <w:rsid w:val="002F709D"/>
    <w:rsid w:val="002F77F7"/>
    <w:rsid w:val="002F7D1D"/>
    <w:rsid w:val="002F7FD7"/>
    <w:rsid w:val="00300AF4"/>
    <w:rsid w:val="003018E2"/>
    <w:rsid w:val="0030245D"/>
    <w:rsid w:val="00303028"/>
    <w:rsid w:val="003031AF"/>
    <w:rsid w:val="00303904"/>
    <w:rsid w:val="00303D2F"/>
    <w:rsid w:val="00303EAD"/>
    <w:rsid w:val="003043AC"/>
    <w:rsid w:val="00305190"/>
    <w:rsid w:val="00305354"/>
    <w:rsid w:val="00305760"/>
    <w:rsid w:val="003057B9"/>
    <w:rsid w:val="00305817"/>
    <w:rsid w:val="00305BC9"/>
    <w:rsid w:val="0030741B"/>
    <w:rsid w:val="0031019B"/>
    <w:rsid w:val="00310660"/>
    <w:rsid w:val="00310971"/>
    <w:rsid w:val="0031144C"/>
    <w:rsid w:val="00311753"/>
    <w:rsid w:val="0031180A"/>
    <w:rsid w:val="0031181A"/>
    <w:rsid w:val="00311D3C"/>
    <w:rsid w:val="003128C6"/>
    <w:rsid w:val="0031296C"/>
    <w:rsid w:val="00312FFE"/>
    <w:rsid w:val="003136D1"/>
    <w:rsid w:val="003137C2"/>
    <w:rsid w:val="003139C3"/>
    <w:rsid w:val="00313E28"/>
    <w:rsid w:val="0031473A"/>
    <w:rsid w:val="00314C36"/>
    <w:rsid w:val="00316262"/>
    <w:rsid w:val="0031676C"/>
    <w:rsid w:val="0031698B"/>
    <w:rsid w:val="00316D82"/>
    <w:rsid w:val="003171C3"/>
    <w:rsid w:val="00317726"/>
    <w:rsid w:val="003177A0"/>
    <w:rsid w:val="0032148D"/>
    <w:rsid w:val="00321609"/>
    <w:rsid w:val="003225D5"/>
    <w:rsid w:val="00322802"/>
    <w:rsid w:val="003237A8"/>
    <w:rsid w:val="00324586"/>
    <w:rsid w:val="003248A2"/>
    <w:rsid w:val="00325114"/>
    <w:rsid w:val="003251C2"/>
    <w:rsid w:val="003253B5"/>
    <w:rsid w:val="00325CD3"/>
    <w:rsid w:val="0032627D"/>
    <w:rsid w:val="00326E96"/>
    <w:rsid w:val="00327F23"/>
    <w:rsid w:val="0033065E"/>
    <w:rsid w:val="003308FF"/>
    <w:rsid w:val="00330C15"/>
    <w:rsid w:val="00330C83"/>
    <w:rsid w:val="003312C1"/>
    <w:rsid w:val="00331582"/>
    <w:rsid w:val="0033168F"/>
    <w:rsid w:val="00331E12"/>
    <w:rsid w:val="00332017"/>
    <w:rsid w:val="003321BE"/>
    <w:rsid w:val="00332557"/>
    <w:rsid w:val="00332625"/>
    <w:rsid w:val="0033287E"/>
    <w:rsid w:val="0033296D"/>
    <w:rsid w:val="00332CF8"/>
    <w:rsid w:val="0033317D"/>
    <w:rsid w:val="0033384E"/>
    <w:rsid w:val="003339F6"/>
    <w:rsid w:val="003342A8"/>
    <w:rsid w:val="0033465A"/>
    <w:rsid w:val="00334832"/>
    <w:rsid w:val="00334B45"/>
    <w:rsid w:val="00334CC1"/>
    <w:rsid w:val="00335056"/>
    <w:rsid w:val="00335BEB"/>
    <w:rsid w:val="00335EF0"/>
    <w:rsid w:val="00336B48"/>
    <w:rsid w:val="003372FC"/>
    <w:rsid w:val="003372FF"/>
    <w:rsid w:val="003374AA"/>
    <w:rsid w:val="0033779B"/>
    <w:rsid w:val="003379BB"/>
    <w:rsid w:val="00337FAB"/>
    <w:rsid w:val="0034001D"/>
    <w:rsid w:val="00341254"/>
    <w:rsid w:val="00341853"/>
    <w:rsid w:val="00341C12"/>
    <w:rsid w:val="00341CA4"/>
    <w:rsid w:val="00342010"/>
    <w:rsid w:val="00342CDE"/>
    <w:rsid w:val="00343034"/>
    <w:rsid w:val="0034335A"/>
    <w:rsid w:val="0034394B"/>
    <w:rsid w:val="003457FB"/>
    <w:rsid w:val="003469ED"/>
    <w:rsid w:val="00346B3D"/>
    <w:rsid w:val="00346E33"/>
    <w:rsid w:val="00346EE1"/>
    <w:rsid w:val="0034708F"/>
    <w:rsid w:val="003471B6"/>
    <w:rsid w:val="00350C7C"/>
    <w:rsid w:val="0035153F"/>
    <w:rsid w:val="00351586"/>
    <w:rsid w:val="0035208A"/>
    <w:rsid w:val="0035229C"/>
    <w:rsid w:val="00353B73"/>
    <w:rsid w:val="003542F5"/>
    <w:rsid w:val="00354BF9"/>
    <w:rsid w:val="00355136"/>
    <w:rsid w:val="003555A4"/>
    <w:rsid w:val="003558A7"/>
    <w:rsid w:val="003561BC"/>
    <w:rsid w:val="003569D9"/>
    <w:rsid w:val="00356FE7"/>
    <w:rsid w:val="003571A7"/>
    <w:rsid w:val="00357844"/>
    <w:rsid w:val="00360805"/>
    <w:rsid w:val="00360868"/>
    <w:rsid w:val="003609E9"/>
    <w:rsid w:val="00361248"/>
    <w:rsid w:val="00361432"/>
    <w:rsid w:val="003628F0"/>
    <w:rsid w:val="003636ED"/>
    <w:rsid w:val="00363D01"/>
    <w:rsid w:val="00363F99"/>
    <w:rsid w:val="0036572C"/>
    <w:rsid w:val="003657D0"/>
    <w:rsid w:val="00365A48"/>
    <w:rsid w:val="00365B49"/>
    <w:rsid w:val="00366B3A"/>
    <w:rsid w:val="003678A3"/>
    <w:rsid w:val="0037014A"/>
    <w:rsid w:val="0037038B"/>
    <w:rsid w:val="00371566"/>
    <w:rsid w:val="003729AD"/>
    <w:rsid w:val="00372E0A"/>
    <w:rsid w:val="003730C4"/>
    <w:rsid w:val="00373134"/>
    <w:rsid w:val="0037430F"/>
    <w:rsid w:val="00374666"/>
    <w:rsid w:val="00374C17"/>
    <w:rsid w:val="0037515D"/>
    <w:rsid w:val="003756A6"/>
    <w:rsid w:val="00375804"/>
    <w:rsid w:val="00375EE7"/>
    <w:rsid w:val="003763FD"/>
    <w:rsid w:val="0037659B"/>
    <w:rsid w:val="00376F3B"/>
    <w:rsid w:val="00377911"/>
    <w:rsid w:val="00377C00"/>
    <w:rsid w:val="003808F5"/>
    <w:rsid w:val="00380CA4"/>
    <w:rsid w:val="003812F9"/>
    <w:rsid w:val="00381B84"/>
    <w:rsid w:val="00382568"/>
    <w:rsid w:val="00382699"/>
    <w:rsid w:val="00382E6D"/>
    <w:rsid w:val="00383886"/>
    <w:rsid w:val="00383DBA"/>
    <w:rsid w:val="00384E0D"/>
    <w:rsid w:val="003852D4"/>
    <w:rsid w:val="0038568D"/>
    <w:rsid w:val="00385719"/>
    <w:rsid w:val="0038598E"/>
    <w:rsid w:val="00385B64"/>
    <w:rsid w:val="00386093"/>
    <w:rsid w:val="003867EE"/>
    <w:rsid w:val="00387023"/>
    <w:rsid w:val="003901F5"/>
    <w:rsid w:val="003924DC"/>
    <w:rsid w:val="003926DE"/>
    <w:rsid w:val="00392805"/>
    <w:rsid w:val="00392DC7"/>
    <w:rsid w:val="00392FBB"/>
    <w:rsid w:val="00393D68"/>
    <w:rsid w:val="00394040"/>
    <w:rsid w:val="00394543"/>
    <w:rsid w:val="003949AA"/>
    <w:rsid w:val="00394B28"/>
    <w:rsid w:val="00394F0C"/>
    <w:rsid w:val="0039582C"/>
    <w:rsid w:val="00396484"/>
    <w:rsid w:val="003964EE"/>
    <w:rsid w:val="00397CFF"/>
    <w:rsid w:val="00397FC7"/>
    <w:rsid w:val="003A000C"/>
    <w:rsid w:val="003A0300"/>
    <w:rsid w:val="003A08FD"/>
    <w:rsid w:val="003A0954"/>
    <w:rsid w:val="003A12BF"/>
    <w:rsid w:val="003A16ED"/>
    <w:rsid w:val="003A1712"/>
    <w:rsid w:val="003A1882"/>
    <w:rsid w:val="003A1D08"/>
    <w:rsid w:val="003A1EC2"/>
    <w:rsid w:val="003A3BA2"/>
    <w:rsid w:val="003A3D27"/>
    <w:rsid w:val="003A4177"/>
    <w:rsid w:val="003A432F"/>
    <w:rsid w:val="003A43AB"/>
    <w:rsid w:val="003A6091"/>
    <w:rsid w:val="003A615B"/>
    <w:rsid w:val="003A641C"/>
    <w:rsid w:val="003A64B8"/>
    <w:rsid w:val="003A68FD"/>
    <w:rsid w:val="003A6E48"/>
    <w:rsid w:val="003A7599"/>
    <w:rsid w:val="003A7929"/>
    <w:rsid w:val="003B073F"/>
    <w:rsid w:val="003B09F4"/>
    <w:rsid w:val="003B0E10"/>
    <w:rsid w:val="003B0EDF"/>
    <w:rsid w:val="003B17BE"/>
    <w:rsid w:val="003B1B51"/>
    <w:rsid w:val="003B1F44"/>
    <w:rsid w:val="003B1F52"/>
    <w:rsid w:val="003B28C6"/>
    <w:rsid w:val="003B2F12"/>
    <w:rsid w:val="003B2F32"/>
    <w:rsid w:val="003B3902"/>
    <w:rsid w:val="003B3AB3"/>
    <w:rsid w:val="003B4E90"/>
    <w:rsid w:val="003B56C4"/>
    <w:rsid w:val="003B5B19"/>
    <w:rsid w:val="003B60FF"/>
    <w:rsid w:val="003B66B3"/>
    <w:rsid w:val="003B68E0"/>
    <w:rsid w:val="003B6EDF"/>
    <w:rsid w:val="003B7660"/>
    <w:rsid w:val="003B76BC"/>
    <w:rsid w:val="003B76CF"/>
    <w:rsid w:val="003B7B32"/>
    <w:rsid w:val="003C144F"/>
    <w:rsid w:val="003C14CA"/>
    <w:rsid w:val="003C17A9"/>
    <w:rsid w:val="003C1B15"/>
    <w:rsid w:val="003C2A7D"/>
    <w:rsid w:val="003C3432"/>
    <w:rsid w:val="003C3A9D"/>
    <w:rsid w:val="003C3D91"/>
    <w:rsid w:val="003C41B5"/>
    <w:rsid w:val="003C4CE6"/>
    <w:rsid w:val="003C4D54"/>
    <w:rsid w:val="003C5130"/>
    <w:rsid w:val="003C51D4"/>
    <w:rsid w:val="003C53EF"/>
    <w:rsid w:val="003C5827"/>
    <w:rsid w:val="003C58C5"/>
    <w:rsid w:val="003C590B"/>
    <w:rsid w:val="003C5ECC"/>
    <w:rsid w:val="003C63ED"/>
    <w:rsid w:val="003C69CE"/>
    <w:rsid w:val="003C73B4"/>
    <w:rsid w:val="003C797D"/>
    <w:rsid w:val="003C7A1F"/>
    <w:rsid w:val="003D07AB"/>
    <w:rsid w:val="003D08AF"/>
    <w:rsid w:val="003D094C"/>
    <w:rsid w:val="003D0A30"/>
    <w:rsid w:val="003D0D1E"/>
    <w:rsid w:val="003D0D72"/>
    <w:rsid w:val="003D19E8"/>
    <w:rsid w:val="003D1A85"/>
    <w:rsid w:val="003D2C57"/>
    <w:rsid w:val="003D2D64"/>
    <w:rsid w:val="003D30AB"/>
    <w:rsid w:val="003D3155"/>
    <w:rsid w:val="003D335C"/>
    <w:rsid w:val="003D3CB3"/>
    <w:rsid w:val="003D4136"/>
    <w:rsid w:val="003D42A9"/>
    <w:rsid w:val="003D4E87"/>
    <w:rsid w:val="003D5F01"/>
    <w:rsid w:val="003D61E6"/>
    <w:rsid w:val="003D6DC7"/>
    <w:rsid w:val="003D73FB"/>
    <w:rsid w:val="003E02A9"/>
    <w:rsid w:val="003E087A"/>
    <w:rsid w:val="003E0E38"/>
    <w:rsid w:val="003E19F1"/>
    <w:rsid w:val="003E1BA1"/>
    <w:rsid w:val="003E1CED"/>
    <w:rsid w:val="003E1FB0"/>
    <w:rsid w:val="003E21B4"/>
    <w:rsid w:val="003E23B3"/>
    <w:rsid w:val="003E28C7"/>
    <w:rsid w:val="003E2B18"/>
    <w:rsid w:val="003E3515"/>
    <w:rsid w:val="003E3DA2"/>
    <w:rsid w:val="003E3FE0"/>
    <w:rsid w:val="003E460F"/>
    <w:rsid w:val="003E4960"/>
    <w:rsid w:val="003E4A62"/>
    <w:rsid w:val="003E4D1C"/>
    <w:rsid w:val="003E5738"/>
    <w:rsid w:val="003E5A39"/>
    <w:rsid w:val="003E5CA3"/>
    <w:rsid w:val="003E61EB"/>
    <w:rsid w:val="003E6372"/>
    <w:rsid w:val="003E6808"/>
    <w:rsid w:val="003E6C4D"/>
    <w:rsid w:val="003E71A2"/>
    <w:rsid w:val="003F01EF"/>
    <w:rsid w:val="003F03E5"/>
    <w:rsid w:val="003F0645"/>
    <w:rsid w:val="003F0B40"/>
    <w:rsid w:val="003F1291"/>
    <w:rsid w:val="003F1302"/>
    <w:rsid w:val="003F13B5"/>
    <w:rsid w:val="003F162A"/>
    <w:rsid w:val="003F1635"/>
    <w:rsid w:val="003F1F59"/>
    <w:rsid w:val="003F23B7"/>
    <w:rsid w:val="003F26C2"/>
    <w:rsid w:val="003F2892"/>
    <w:rsid w:val="003F2988"/>
    <w:rsid w:val="003F37F1"/>
    <w:rsid w:val="003F428C"/>
    <w:rsid w:val="003F4745"/>
    <w:rsid w:val="003F4776"/>
    <w:rsid w:val="003F480A"/>
    <w:rsid w:val="003F48FB"/>
    <w:rsid w:val="003F490B"/>
    <w:rsid w:val="003F54DB"/>
    <w:rsid w:val="003F57A6"/>
    <w:rsid w:val="003F5D95"/>
    <w:rsid w:val="003F6156"/>
    <w:rsid w:val="003F6A6D"/>
    <w:rsid w:val="003F6B39"/>
    <w:rsid w:val="003F6C14"/>
    <w:rsid w:val="003F6E01"/>
    <w:rsid w:val="003F7098"/>
    <w:rsid w:val="003F7F9A"/>
    <w:rsid w:val="004000DA"/>
    <w:rsid w:val="00400160"/>
    <w:rsid w:val="0040022A"/>
    <w:rsid w:val="00400430"/>
    <w:rsid w:val="00400499"/>
    <w:rsid w:val="00400D9F"/>
    <w:rsid w:val="00400DE0"/>
    <w:rsid w:val="004010AD"/>
    <w:rsid w:val="00401812"/>
    <w:rsid w:val="00402074"/>
    <w:rsid w:val="004022BA"/>
    <w:rsid w:val="004032A4"/>
    <w:rsid w:val="004033B4"/>
    <w:rsid w:val="00403DB7"/>
    <w:rsid w:val="0040583C"/>
    <w:rsid w:val="00405BF9"/>
    <w:rsid w:val="00405CD9"/>
    <w:rsid w:val="00405E00"/>
    <w:rsid w:val="00406260"/>
    <w:rsid w:val="0041015C"/>
    <w:rsid w:val="00411125"/>
    <w:rsid w:val="00411745"/>
    <w:rsid w:val="00411CE2"/>
    <w:rsid w:val="00412007"/>
    <w:rsid w:val="004124DD"/>
    <w:rsid w:val="00412CF1"/>
    <w:rsid w:val="00412D1B"/>
    <w:rsid w:val="004137CB"/>
    <w:rsid w:val="00413E9B"/>
    <w:rsid w:val="004144F5"/>
    <w:rsid w:val="00414790"/>
    <w:rsid w:val="00414CE0"/>
    <w:rsid w:val="004150F4"/>
    <w:rsid w:val="0041544D"/>
    <w:rsid w:val="00415552"/>
    <w:rsid w:val="00415ABF"/>
    <w:rsid w:val="00416016"/>
    <w:rsid w:val="0041663B"/>
    <w:rsid w:val="0041683A"/>
    <w:rsid w:val="00417ADF"/>
    <w:rsid w:val="00417EEE"/>
    <w:rsid w:val="00417EF7"/>
    <w:rsid w:val="00420011"/>
    <w:rsid w:val="004201A5"/>
    <w:rsid w:val="004203B1"/>
    <w:rsid w:val="00420978"/>
    <w:rsid w:val="00421B92"/>
    <w:rsid w:val="00421F4F"/>
    <w:rsid w:val="004224B4"/>
    <w:rsid w:val="004229E9"/>
    <w:rsid w:val="00422DB9"/>
    <w:rsid w:val="0042329F"/>
    <w:rsid w:val="00423320"/>
    <w:rsid w:val="00423523"/>
    <w:rsid w:val="004238CE"/>
    <w:rsid w:val="00423A1E"/>
    <w:rsid w:val="00424ACA"/>
    <w:rsid w:val="00424D15"/>
    <w:rsid w:val="0042539F"/>
    <w:rsid w:val="004254C8"/>
    <w:rsid w:val="00425912"/>
    <w:rsid w:val="0042596B"/>
    <w:rsid w:val="00425B0E"/>
    <w:rsid w:val="00425D9D"/>
    <w:rsid w:val="00425FC6"/>
    <w:rsid w:val="004268FF"/>
    <w:rsid w:val="00426EE8"/>
    <w:rsid w:val="00426FB3"/>
    <w:rsid w:val="004276E9"/>
    <w:rsid w:val="0042782E"/>
    <w:rsid w:val="00427868"/>
    <w:rsid w:val="004279A5"/>
    <w:rsid w:val="00427F64"/>
    <w:rsid w:val="0043004A"/>
    <w:rsid w:val="004302A9"/>
    <w:rsid w:val="0043037A"/>
    <w:rsid w:val="0043125D"/>
    <w:rsid w:val="00431FED"/>
    <w:rsid w:val="00432022"/>
    <w:rsid w:val="0043262B"/>
    <w:rsid w:val="00432897"/>
    <w:rsid w:val="004329D6"/>
    <w:rsid w:val="00432A29"/>
    <w:rsid w:val="00434593"/>
    <w:rsid w:val="0043461A"/>
    <w:rsid w:val="00434C91"/>
    <w:rsid w:val="00435A75"/>
    <w:rsid w:val="00435CCA"/>
    <w:rsid w:val="0043601C"/>
    <w:rsid w:val="0043609F"/>
    <w:rsid w:val="0043639D"/>
    <w:rsid w:val="00436467"/>
    <w:rsid w:val="004369AC"/>
    <w:rsid w:val="00436F7C"/>
    <w:rsid w:val="00437776"/>
    <w:rsid w:val="00437E7D"/>
    <w:rsid w:val="0044016F"/>
    <w:rsid w:val="004406B0"/>
    <w:rsid w:val="00440A36"/>
    <w:rsid w:val="00440B00"/>
    <w:rsid w:val="00440CAB"/>
    <w:rsid w:val="00440F1D"/>
    <w:rsid w:val="00441611"/>
    <w:rsid w:val="00441C9B"/>
    <w:rsid w:val="0044244E"/>
    <w:rsid w:val="00442792"/>
    <w:rsid w:val="004428FB"/>
    <w:rsid w:val="00442B8B"/>
    <w:rsid w:val="004431C0"/>
    <w:rsid w:val="004435C2"/>
    <w:rsid w:val="004446F6"/>
    <w:rsid w:val="0044509C"/>
    <w:rsid w:val="004450DC"/>
    <w:rsid w:val="00445759"/>
    <w:rsid w:val="00445984"/>
    <w:rsid w:val="00445CE5"/>
    <w:rsid w:val="00446460"/>
    <w:rsid w:val="0044688D"/>
    <w:rsid w:val="00446F20"/>
    <w:rsid w:val="00446FAC"/>
    <w:rsid w:val="00447CD9"/>
    <w:rsid w:val="00447E68"/>
    <w:rsid w:val="00447E90"/>
    <w:rsid w:val="00447F32"/>
    <w:rsid w:val="004519B8"/>
    <w:rsid w:val="00451FDB"/>
    <w:rsid w:val="0045270B"/>
    <w:rsid w:val="00452AAA"/>
    <w:rsid w:val="00452AC6"/>
    <w:rsid w:val="00452E10"/>
    <w:rsid w:val="00452FC5"/>
    <w:rsid w:val="004533A2"/>
    <w:rsid w:val="00454241"/>
    <w:rsid w:val="004544BB"/>
    <w:rsid w:val="0045450F"/>
    <w:rsid w:val="00454821"/>
    <w:rsid w:val="00454C30"/>
    <w:rsid w:val="004553E8"/>
    <w:rsid w:val="00455C9E"/>
    <w:rsid w:val="00456103"/>
    <w:rsid w:val="004566B8"/>
    <w:rsid w:val="00456A1F"/>
    <w:rsid w:val="00456C4C"/>
    <w:rsid w:val="004570D6"/>
    <w:rsid w:val="0045710D"/>
    <w:rsid w:val="004601D5"/>
    <w:rsid w:val="00460436"/>
    <w:rsid w:val="00460A5A"/>
    <w:rsid w:val="00460EA2"/>
    <w:rsid w:val="004612D9"/>
    <w:rsid w:val="0046143C"/>
    <w:rsid w:val="00461986"/>
    <w:rsid w:val="00461EF4"/>
    <w:rsid w:val="004622BD"/>
    <w:rsid w:val="004628D7"/>
    <w:rsid w:val="0046409B"/>
    <w:rsid w:val="00464369"/>
    <w:rsid w:val="004643C3"/>
    <w:rsid w:val="00464A32"/>
    <w:rsid w:val="00464FF9"/>
    <w:rsid w:val="0046562B"/>
    <w:rsid w:val="004656A0"/>
    <w:rsid w:val="0046588A"/>
    <w:rsid w:val="004677AC"/>
    <w:rsid w:val="00467D51"/>
    <w:rsid w:val="0047008E"/>
    <w:rsid w:val="00470863"/>
    <w:rsid w:val="00470A86"/>
    <w:rsid w:val="004711C4"/>
    <w:rsid w:val="004713AC"/>
    <w:rsid w:val="00471649"/>
    <w:rsid w:val="004718AF"/>
    <w:rsid w:val="00471C68"/>
    <w:rsid w:val="004723C2"/>
    <w:rsid w:val="00472D37"/>
    <w:rsid w:val="00472E51"/>
    <w:rsid w:val="004730DF"/>
    <w:rsid w:val="004732BB"/>
    <w:rsid w:val="004738AB"/>
    <w:rsid w:val="00473AC4"/>
    <w:rsid w:val="004743F4"/>
    <w:rsid w:val="0047487D"/>
    <w:rsid w:val="00474F41"/>
    <w:rsid w:val="0047518B"/>
    <w:rsid w:val="00476FFD"/>
    <w:rsid w:val="00477024"/>
    <w:rsid w:val="00477223"/>
    <w:rsid w:val="00477699"/>
    <w:rsid w:val="00477E71"/>
    <w:rsid w:val="00480213"/>
    <w:rsid w:val="004805F3"/>
    <w:rsid w:val="00480D56"/>
    <w:rsid w:val="00481503"/>
    <w:rsid w:val="004816C1"/>
    <w:rsid w:val="0048276B"/>
    <w:rsid w:val="00482914"/>
    <w:rsid w:val="004829D8"/>
    <w:rsid w:val="00482D6A"/>
    <w:rsid w:val="00482F11"/>
    <w:rsid w:val="00483116"/>
    <w:rsid w:val="004834AB"/>
    <w:rsid w:val="0048370B"/>
    <w:rsid w:val="004838CB"/>
    <w:rsid w:val="004843B4"/>
    <w:rsid w:val="004846C2"/>
    <w:rsid w:val="00484875"/>
    <w:rsid w:val="00485257"/>
    <w:rsid w:val="00485388"/>
    <w:rsid w:val="00485C97"/>
    <w:rsid w:val="00485ED7"/>
    <w:rsid w:val="00487BBC"/>
    <w:rsid w:val="004904A4"/>
    <w:rsid w:val="0049051E"/>
    <w:rsid w:val="004905E0"/>
    <w:rsid w:val="00491974"/>
    <w:rsid w:val="00491FCB"/>
    <w:rsid w:val="00492659"/>
    <w:rsid w:val="004927B8"/>
    <w:rsid w:val="004927E8"/>
    <w:rsid w:val="00492BB4"/>
    <w:rsid w:val="00492C84"/>
    <w:rsid w:val="004930A9"/>
    <w:rsid w:val="00493A94"/>
    <w:rsid w:val="00493C5F"/>
    <w:rsid w:val="00493CB8"/>
    <w:rsid w:val="00494114"/>
    <w:rsid w:val="0049441C"/>
    <w:rsid w:val="0049476C"/>
    <w:rsid w:val="00494F2D"/>
    <w:rsid w:val="004967DC"/>
    <w:rsid w:val="00496966"/>
    <w:rsid w:val="00496EC2"/>
    <w:rsid w:val="00497CB5"/>
    <w:rsid w:val="00497E53"/>
    <w:rsid w:val="004A0758"/>
    <w:rsid w:val="004A07E1"/>
    <w:rsid w:val="004A1DC7"/>
    <w:rsid w:val="004A30D3"/>
    <w:rsid w:val="004A38A7"/>
    <w:rsid w:val="004A3C80"/>
    <w:rsid w:val="004A5242"/>
    <w:rsid w:val="004A539A"/>
    <w:rsid w:val="004A5732"/>
    <w:rsid w:val="004A63B3"/>
    <w:rsid w:val="004A6698"/>
    <w:rsid w:val="004A6D01"/>
    <w:rsid w:val="004A6FCB"/>
    <w:rsid w:val="004A7187"/>
    <w:rsid w:val="004A7369"/>
    <w:rsid w:val="004A7422"/>
    <w:rsid w:val="004A76B9"/>
    <w:rsid w:val="004A77B0"/>
    <w:rsid w:val="004A7990"/>
    <w:rsid w:val="004A7D2D"/>
    <w:rsid w:val="004B002F"/>
    <w:rsid w:val="004B041B"/>
    <w:rsid w:val="004B05F9"/>
    <w:rsid w:val="004B1C60"/>
    <w:rsid w:val="004B1DA6"/>
    <w:rsid w:val="004B2236"/>
    <w:rsid w:val="004B2C93"/>
    <w:rsid w:val="004B3440"/>
    <w:rsid w:val="004B3E39"/>
    <w:rsid w:val="004B507C"/>
    <w:rsid w:val="004B68ED"/>
    <w:rsid w:val="004B6C2E"/>
    <w:rsid w:val="004B7B32"/>
    <w:rsid w:val="004B7F63"/>
    <w:rsid w:val="004C02A7"/>
    <w:rsid w:val="004C02DC"/>
    <w:rsid w:val="004C04DC"/>
    <w:rsid w:val="004C075C"/>
    <w:rsid w:val="004C08E3"/>
    <w:rsid w:val="004C1D1F"/>
    <w:rsid w:val="004C25A5"/>
    <w:rsid w:val="004C2662"/>
    <w:rsid w:val="004C35C1"/>
    <w:rsid w:val="004C3958"/>
    <w:rsid w:val="004C39E6"/>
    <w:rsid w:val="004C4107"/>
    <w:rsid w:val="004C4CB2"/>
    <w:rsid w:val="004C4DAB"/>
    <w:rsid w:val="004C61E8"/>
    <w:rsid w:val="004C6615"/>
    <w:rsid w:val="004C7B8A"/>
    <w:rsid w:val="004C7DD1"/>
    <w:rsid w:val="004C7F5E"/>
    <w:rsid w:val="004C7F73"/>
    <w:rsid w:val="004D1875"/>
    <w:rsid w:val="004D200A"/>
    <w:rsid w:val="004D22F7"/>
    <w:rsid w:val="004D2375"/>
    <w:rsid w:val="004D2BE6"/>
    <w:rsid w:val="004D324C"/>
    <w:rsid w:val="004D386B"/>
    <w:rsid w:val="004D443E"/>
    <w:rsid w:val="004D4AAE"/>
    <w:rsid w:val="004D50B1"/>
    <w:rsid w:val="004D5443"/>
    <w:rsid w:val="004D561D"/>
    <w:rsid w:val="004D5DE3"/>
    <w:rsid w:val="004D6178"/>
    <w:rsid w:val="004D617B"/>
    <w:rsid w:val="004D6424"/>
    <w:rsid w:val="004D6B85"/>
    <w:rsid w:val="004D6E11"/>
    <w:rsid w:val="004D6E25"/>
    <w:rsid w:val="004D79F2"/>
    <w:rsid w:val="004D7AF5"/>
    <w:rsid w:val="004E0341"/>
    <w:rsid w:val="004E0362"/>
    <w:rsid w:val="004E03E2"/>
    <w:rsid w:val="004E0AB5"/>
    <w:rsid w:val="004E0AED"/>
    <w:rsid w:val="004E1696"/>
    <w:rsid w:val="004E234F"/>
    <w:rsid w:val="004E240E"/>
    <w:rsid w:val="004E381B"/>
    <w:rsid w:val="004E3AD2"/>
    <w:rsid w:val="004E3D58"/>
    <w:rsid w:val="004E471B"/>
    <w:rsid w:val="004E4FAE"/>
    <w:rsid w:val="004E5745"/>
    <w:rsid w:val="004E5E5B"/>
    <w:rsid w:val="004E6335"/>
    <w:rsid w:val="004E6784"/>
    <w:rsid w:val="004E6C3F"/>
    <w:rsid w:val="004E7053"/>
    <w:rsid w:val="004E7652"/>
    <w:rsid w:val="004F02AD"/>
    <w:rsid w:val="004F05EE"/>
    <w:rsid w:val="004F0A8C"/>
    <w:rsid w:val="004F0AB3"/>
    <w:rsid w:val="004F0B97"/>
    <w:rsid w:val="004F0F64"/>
    <w:rsid w:val="004F1314"/>
    <w:rsid w:val="004F1C2A"/>
    <w:rsid w:val="004F237D"/>
    <w:rsid w:val="004F2F8C"/>
    <w:rsid w:val="004F301F"/>
    <w:rsid w:val="004F317C"/>
    <w:rsid w:val="004F32BF"/>
    <w:rsid w:val="004F3FDF"/>
    <w:rsid w:val="004F42FB"/>
    <w:rsid w:val="004F4815"/>
    <w:rsid w:val="004F488C"/>
    <w:rsid w:val="004F4B52"/>
    <w:rsid w:val="004F53F1"/>
    <w:rsid w:val="004F5CB8"/>
    <w:rsid w:val="004F6A79"/>
    <w:rsid w:val="004F7748"/>
    <w:rsid w:val="004F7DAF"/>
    <w:rsid w:val="004F7E9B"/>
    <w:rsid w:val="004F7F19"/>
    <w:rsid w:val="005007E9"/>
    <w:rsid w:val="0050125D"/>
    <w:rsid w:val="0050149D"/>
    <w:rsid w:val="00501DF1"/>
    <w:rsid w:val="00501E71"/>
    <w:rsid w:val="00502455"/>
    <w:rsid w:val="00502FD5"/>
    <w:rsid w:val="00503350"/>
    <w:rsid w:val="00503517"/>
    <w:rsid w:val="005035A7"/>
    <w:rsid w:val="00503A75"/>
    <w:rsid w:val="00505520"/>
    <w:rsid w:val="005059B4"/>
    <w:rsid w:val="00505BD6"/>
    <w:rsid w:val="00506EB0"/>
    <w:rsid w:val="005075BC"/>
    <w:rsid w:val="00507784"/>
    <w:rsid w:val="00507B72"/>
    <w:rsid w:val="00507E6F"/>
    <w:rsid w:val="00510246"/>
    <w:rsid w:val="005102DE"/>
    <w:rsid w:val="005109C2"/>
    <w:rsid w:val="00511C39"/>
    <w:rsid w:val="00512D9E"/>
    <w:rsid w:val="0051304C"/>
    <w:rsid w:val="005131B4"/>
    <w:rsid w:val="00513331"/>
    <w:rsid w:val="00513372"/>
    <w:rsid w:val="0051376A"/>
    <w:rsid w:val="005137E7"/>
    <w:rsid w:val="00514584"/>
    <w:rsid w:val="005153D0"/>
    <w:rsid w:val="005158CE"/>
    <w:rsid w:val="005169CB"/>
    <w:rsid w:val="00517CB5"/>
    <w:rsid w:val="00520686"/>
    <w:rsid w:val="0052073A"/>
    <w:rsid w:val="00520FC9"/>
    <w:rsid w:val="0052115A"/>
    <w:rsid w:val="00521787"/>
    <w:rsid w:val="00521BB1"/>
    <w:rsid w:val="00521C7C"/>
    <w:rsid w:val="00521C8C"/>
    <w:rsid w:val="00521D38"/>
    <w:rsid w:val="00521FD9"/>
    <w:rsid w:val="0052261A"/>
    <w:rsid w:val="00522A56"/>
    <w:rsid w:val="00522CE1"/>
    <w:rsid w:val="00523801"/>
    <w:rsid w:val="00525667"/>
    <w:rsid w:val="00525672"/>
    <w:rsid w:val="005256DC"/>
    <w:rsid w:val="005257A4"/>
    <w:rsid w:val="00525B01"/>
    <w:rsid w:val="00525B32"/>
    <w:rsid w:val="00525CDA"/>
    <w:rsid w:val="005269A1"/>
    <w:rsid w:val="0052745D"/>
    <w:rsid w:val="0052757D"/>
    <w:rsid w:val="00527986"/>
    <w:rsid w:val="00527EB8"/>
    <w:rsid w:val="0053063A"/>
    <w:rsid w:val="00530987"/>
    <w:rsid w:val="0053167A"/>
    <w:rsid w:val="00531D2E"/>
    <w:rsid w:val="005320E2"/>
    <w:rsid w:val="00532937"/>
    <w:rsid w:val="00532EC5"/>
    <w:rsid w:val="005332B9"/>
    <w:rsid w:val="00533A24"/>
    <w:rsid w:val="00534207"/>
    <w:rsid w:val="00534797"/>
    <w:rsid w:val="00534B07"/>
    <w:rsid w:val="00534C5D"/>
    <w:rsid w:val="005351CA"/>
    <w:rsid w:val="00535CE1"/>
    <w:rsid w:val="00535D90"/>
    <w:rsid w:val="005366E6"/>
    <w:rsid w:val="00536765"/>
    <w:rsid w:val="005368C9"/>
    <w:rsid w:val="00536AE2"/>
    <w:rsid w:val="00536B87"/>
    <w:rsid w:val="00536EF2"/>
    <w:rsid w:val="005376C4"/>
    <w:rsid w:val="00537DD6"/>
    <w:rsid w:val="00537F30"/>
    <w:rsid w:val="0054093A"/>
    <w:rsid w:val="00540CE8"/>
    <w:rsid w:val="00541353"/>
    <w:rsid w:val="00541DE1"/>
    <w:rsid w:val="00542474"/>
    <w:rsid w:val="00542644"/>
    <w:rsid w:val="00543110"/>
    <w:rsid w:val="00543111"/>
    <w:rsid w:val="0054342F"/>
    <w:rsid w:val="0054345D"/>
    <w:rsid w:val="005441C7"/>
    <w:rsid w:val="00544BDE"/>
    <w:rsid w:val="00545004"/>
    <w:rsid w:val="00545077"/>
    <w:rsid w:val="00545198"/>
    <w:rsid w:val="005451B7"/>
    <w:rsid w:val="00545B9B"/>
    <w:rsid w:val="00545CAC"/>
    <w:rsid w:val="00545F41"/>
    <w:rsid w:val="00546099"/>
    <w:rsid w:val="005460C7"/>
    <w:rsid w:val="005466C9"/>
    <w:rsid w:val="00546994"/>
    <w:rsid w:val="00546E6A"/>
    <w:rsid w:val="00547346"/>
    <w:rsid w:val="005477AD"/>
    <w:rsid w:val="00547FB0"/>
    <w:rsid w:val="00550728"/>
    <w:rsid w:val="00550E55"/>
    <w:rsid w:val="005512A5"/>
    <w:rsid w:val="00551446"/>
    <w:rsid w:val="00551678"/>
    <w:rsid w:val="0055181F"/>
    <w:rsid w:val="00551905"/>
    <w:rsid w:val="00551D19"/>
    <w:rsid w:val="00551E9E"/>
    <w:rsid w:val="0055221E"/>
    <w:rsid w:val="005535AB"/>
    <w:rsid w:val="00553721"/>
    <w:rsid w:val="0055389F"/>
    <w:rsid w:val="00553F4A"/>
    <w:rsid w:val="00554561"/>
    <w:rsid w:val="00554613"/>
    <w:rsid w:val="0055469D"/>
    <w:rsid w:val="00554FFA"/>
    <w:rsid w:val="005556A9"/>
    <w:rsid w:val="0055698E"/>
    <w:rsid w:val="00557096"/>
    <w:rsid w:val="005571E1"/>
    <w:rsid w:val="00557582"/>
    <w:rsid w:val="005602BC"/>
    <w:rsid w:val="005608CF"/>
    <w:rsid w:val="005609E2"/>
    <w:rsid w:val="00560DC6"/>
    <w:rsid w:val="005610E8"/>
    <w:rsid w:val="0056137E"/>
    <w:rsid w:val="0056168D"/>
    <w:rsid w:val="00561919"/>
    <w:rsid w:val="005619B5"/>
    <w:rsid w:val="00561AA7"/>
    <w:rsid w:val="00562017"/>
    <w:rsid w:val="0056263F"/>
    <w:rsid w:val="00562DC1"/>
    <w:rsid w:val="0056332B"/>
    <w:rsid w:val="0056399A"/>
    <w:rsid w:val="00563BC8"/>
    <w:rsid w:val="00563FB0"/>
    <w:rsid w:val="005644DA"/>
    <w:rsid w:val="005648CF"/>
    <w:rsid w:val="005648EA"/>
    <w:rsid w:val="00564A7F"/>
    <w:rsid w:val="005656FA"/>
    <w:rsid w:val="00565B79"/>
    <w:rsid w:val="00565BC2"/>
    <w:rsid w:val="00566010"/>
    <w:rsid w:val="0056651C"/>
    <w:rsid w:val="0056665B"/>
    <w:rsid w:val="00566CBD"/>
    <w:rsid w:val="00570347"/>
    <w:rsid w:val="00570407"/>
    <w:rsid w:val="00571DC9"/>
    <w:rsid w:val="00571EE8"/>
    <w:rsid w:val="00572404"/>
    <w:rsid w:val="00573679"/>
    <w:rsid w:val="00573796"/>
    <w:rsid w:val="00573C0A"/>
    <w:rsid w:val="00574091"/>
    <w:rsid w:val="0057486C"/>
    <w:rsid w:val="00574E62"/>
    <w:rsid w:val="00574EDD"/>
    <w:rsid w:val="00575137"/>
    <w:rsid w:val="00575525"/>
    <w:rsid w:val="005756E1"/>
    <w:rsid w:val="00575CDB"/>
    <w:rsid w:val="0057626E"/>
    <w:rsid w:val="0057659D"/>
    <w:rsid w:val="00576BAD"/>
    <w:rsid w:val="0057706E"/>
    <w:rsid w:val="005777AE"/>
    <w:rsid w:val="00580A85"/>
    <w:rsid w:val="00581307"/>
    <w:rsid w:val="005819D1"/>
    <w:rsid w:val="005823CA"/>
    <w:rsid w:val="005824D1"/>
    <w:rsid w:val="00582568"/>
    <w:rsid w:val="00582812"/>
    <w:rsid w:val="005828F6"/>
    <w:rsid w:val="00582A4D"/>
    <w:rsid w:val="00583026"/>
    <w:rsid w:val="0058314F"/>
    <w:rsid w:val="005831B3"/>
    <w:rsid w:val="00583C99"/>
    <w:rsid w:val="00584008"/>
    <w:rsid w:val="005846E9"/>
    <w:rsid w:val="00585072"/>
    <w:rsid w:val="00585173"/>
    <w:rsid w:val="005851B5"/>
    <w:rsid w:val="00585ACC"/>
    <w:rsid w:val="00585E3B"/>
    <w:rsid w:val="00586747"/>
    <w:rsid w:val="00586846"/>
    <w:rsid w:val="0058717A"/>
    <w:rsid w:val="005874D2"/>
    <w:rsid w:val="0058782A"/>
    <w:rsid w:val="00587F75"/>
    <w:rsid w:val="0059077A"/>
    <w:rsid w:val="005908D5"/>
    <w:rsid w:val="00590E8C"/>
    <w:rsid w:val="00590FA1"/>
    <w:rsid w:val="00590FFA"/>
    <w:rsid w:val="00591CB2"/>
    <w:rsid w:val="00591FFD"/>
    <w:rsid w:val="005920C8"/>
    <w:rsid w:val="0059273F"/>
    <w:rsid w:val="00594852"/>
    <w:rsid w:val="00594990"/>
    <w:rsid w:val="00594AA8"/>
    <w:rsid w:val="005953B2"/>
    <w:rsid w:val="00595F60"/>
    <w:rsid w:val="00596542"/>
    <w:rsid w:val="0059666D"/>
    <w:rsid w:val="00596D31"/>
    <w:rsid w:val="00596D81"/>
    <w:rsid w:val="005971C2"/>
    <w:rsid w:val="00597CB1"/>
    <w:rsid w:val="005A0019"/>
    <w:rsid w:val="005A00F5"/>
    <w:rsid w:val="005A0683"/>
    <w:rsid w:val="005A0994"/>
    <w:rsid w:val="005A09B3"/>
    <w:rsid w:val="005A0B98"/>
    <w:rsid w:val="005A213B"/>
    <w:rsid w:val="005A27E2"/>
    <w:rsid w:val="005A288A"/>
    <w:rsid w:val="005A2E25"/>
    <w:rsid w:val="005A375B"/>
    <w:rsid w:val="005A37CD"/>
    <w:rsid w:val="005A3C23"/>
    <w:rsid w:val="005A4654"/>
    <w:rsid w:val="005A4793"/>
    <w:rsid w:val="005A59F4"/>
    <w:rsid w:val="005A6CA1"/>
    <w:rsid w:val="005A6F25"/>
    <w:rsid w:val="005A76B1"/>
    <w:rsid w:val="005A7765"/>
    <w:rsid w:val="005A7BC5"/>
    <w:rsid w:val="005A7D26"/>
    <w:rsid w:val="005A7EE8"/>
    <w:rsid w:val="005B0412"/>
    <w:rsid w:val="005B09DF"/>
    <w:rsid w:val="005B1866"/>
    <w:rsid w:val="005B26A7"/>
    <w:rsid w:val="005B3D0B"/>
    <w:rsid w:val="005B4492"/>
    <w:rsid w:val="005B48AE"/>
    <w:rsid w:val="005B4C04"/>
    <w:rsid w:val="005B5DF7"/>
    <w:rsid w:val="005B671B"/>
    <w:rsid w:val="005B6CCF"/>
    <w:rsid w:val="005B6F5C"/>
    <w:rsid w:val="005B7157"/>
    <w:rsid w:val="005B72B7"/>
    <w:rsid w:val="005B73EB"/>
    <w:rsid w:val="005B74B9"/>
    <w:rsid w:val="005B74EC"/>
    <w:rsid w:val="005B75F0"/>
    <w:rsid w:val="005C09D8"/>
    <w:rsid w:val="005C0E29"/>
    <w:rsid w:val="005C11E9"/>
    <w:rsid w:val="005C20AD"/>
    <w:rsid w:val="005C2646"/>
    <w:rsid w:val="005C309A"/>
    <w:rsid w:val="005C3881"/>
    <w:rsid w:val="005C3903"/>
    <w:rsid w:val="005C3BFC"/>
    <w:rsid w:val="005C3D42"/>
    <w:rsid w:val="005C4392"/>
    <w:rsid w:val="005C44DB"/>
    <w:rsid w:val="005C49C3"/>
    <w:rsid w:val="005C57C6"/>
    <w:rsid w:val="005C5ACB"/>
    <w:rsid w:val="005C6380"/>
    <w:rsid w:val="005C695B"/>
    <w:rsid w:val="005C701D"/>
    <w:rsid w:val="005C723F"/>
    <w:rsid w:val="005C77B1"/>
    <w:rsid w:val="005C7BD7"/>
    <w:rsid w:val="005D0382"/>
    <w:rsid w:val="005D082A"/>
    <w:rsid w:val="005D1F52"/>
    <w:rsid w:val="005D2600"/>
    <w:rsid w:val="005D3178"/>
    <w:rsid w:val="005D358A"/>
    <w:rsid w:val="005D3614"/>
    <w:rsid w:val="005D3702"/>
    <w:rsid w:val="005D3CFB"/>
    <w:rsid w:val="005D3E7E"/>
    <w:rsid w:val="005D3FA2"/>
    <w:rsid w:val="005D4750"/>
    <w:rsid w:val="005D560E"/>
    <w:rsid w:val="005D56C4"/>
    <w:rsid w:val="005D5E0C"/>
    <w:rsid w:val="005D6953"/>
    <w:rsid w:val="005D78BD"/>
    <w:rsid w:val="005D7DA4"/>
    <w:rsid w:val="005D7FAB"/>
    <w:rsid w:val="005E016C"/>
    <w:rsid w:val="005E1309"/>
    <w:rsid w:val="005E18A3"/>
    <w:rsid w:val="005E191B"/>
    <w:rsid w:val="005E1ED3"/>
    <w:rsid w:val="005E2E6D"/>
    <w:rsid w:val="005E31B1"/>
    <w:rsid w:val="005E36FC"/>
    <w:rsid w:val="005E3CA2"/>
    <w:rsid w:val="005E3E3D"/>
    <w:rsid w:val="005E42AA"/>
    <w:rsid w:val="005E46D5"/>
    <w:rsid w:val="005E4777"/>
    <w:rsid w:val="005E4D97"/>
    <w:rsid w:val="005E73C7"/>
    <w:rsid w:val="005E7428"/>
    <w:rsid w:val="005E7A1A"/>
    <w:rsid w:val="005F0122"/>
    <w:rsid w:val="005F0BF4"/>
    <w:rsid w:val="005F1095"/>
    <w:rsid w:val="005F1444"/>
    <w:rsid w:val="005F2012"/>
    <w:rsid w:val="005F24B9"/>
    <w:rsid w:val="005F24F8"/>
    <w:rsid w:val="005F277B"/>
    <w:rsid w:val="005F2E32"/>
    <w:rsid w:val="005F2F61"/>
    <w:rsid w:val="005F3711"/>
    <w:rsid w:val="005F3808"/>
    <w:rsid w:val="005F3E5E"/>
    <w:rsid w:val="005F41E7"/>
    <w:rsid w:val="005F480F"/>
    <w:rsid w:val="005F4980"/>
    <w:rsid w:val="005F5126"/>
    <w:rsid w:val="005F5518"/>
    <w:rsid w:val="005F57CC"/>
    <w:rsid w:val="005F5CB9"/>
    <w:rsid w:val="005F5DF1"/>
    <w:rsid w:val="005F6C8D"/>
    <w:rsid w:val="005F6CAF"/>
    <w:rsid w:val="005F6D5F"/>
    <w:rsid w:val="005F724A"/>
    <w:rsid w:val="005F77B4"/>
    <w:rsid w:val="00600D62"/>
    <w:rsid w:val="0060108B"/>
    <w:rsid w:val="0060113F"/>
    <w:rsid w:val="0060122E"/>
    <w:rsid w:val="00601A1E"/>
    <w:rsid w:val="00601C7E"/>
    <w:rsid w:val="00601F5B"/>
    <w:rsid w:val="00602175"/>
    <w:rsid w:val="00602B7D"/>
    <w:rsid w:val="00602E45"/>
    <w:rsid w:val="0060302A"/>
    <w:rsid w:val="00603047"/>
    <w:rsid w:val="0060334F"/>
    <w:rsid w:val="00603400"/>
    <w:rsid w:val="00603E34"/>
    <w:rsid w:val="00604572"/>
    <w:rsid w:val="00604BDE"/>
    <w:rsid w:val="00604D14"/>
    <w:rsid w:val="00604E32"/>
    <w:rsid w:val="00605198"/>
    <w:rsid w:val="006056A0"/>
    <w:rsid w:val="00605700"/>
    <w:rsid w:val="00605B85"/>
    <w:rsid w:val="00606E35"/>
    <w:rsid w:val="006077EB"/>
    <w:rsid w:val="00607A73"/>
    <w:rsid w:val="00607B3B"/>
    <w:rsid w:val="00607D3D"/>
    <w:rsid w:val="006101ED"/>
    <w:rsid w:val="006104E2"/>
    <w:rsid w:val="0061070E"/>
    <w:rsid w:val="00610883"/>
    <w:rsid w:val="0061091A"/>
    <w:rsid w:val="0061157D"/>
    <w:rsid w:val="00611EF4"/>
    <w:rsid w:val="006126F1"/>
    <w:rsid w:val="00612F31"/>
    <w:rsid w:val="006133F8"/>
    <w:rsid w:val="006137E4"/>
    <w:rsid w:val="00613EC6"/>
    <w:rsid w:val="0061415E"/>
    <w:rsid w:val="00616521"/>
    <w:rsid w:val="00616B02"/>
    <w:rsid w:val="00617229"/>
    <w:rsid w:val="0061734F"/>
    <w:rsid w:val="00617A67"/>
    <w:rsid w:val="006205B6"/>
    <w:rsid w:val="00620829"/>
    <w:rsid w:val="00621D7C"/>
    <w:rsid w:val="006223A2"/>
    <w:rsid w:val="006233C1"/>
    <w:rsid w:val="00623457"/>
    <w:rsid w:val="0062376F"/>
    <w:rsid w:val="00623D88"/>
    <w:rsid w:val="00624A63"/>
    <w:rsid w:val="0062547C"/>
    <w:rsid w:val="0062570F"/>
    <w:rsid w:val="006258A0"/>
    <w:rsid w:val="00625DF2"/>
    <w:rsid w:val="0062633D"/>
    <w:rsid w:val="00626460"/>
    <w:rsid w:val="0062677C"/>
    <w:rsid w:val="00626B9B"/>
    <w:rsid w:val="006272AA"/>
    <w:rsid w:val="00627646"/>
    <w:rsid w:val="0062775B"/>
    <w:rsid w:val="006277E2"/>
    <w:rsid w:val="0063029D"/>
    <w:rsid w:val="006304EC"/>
    <w:rsid w:val="00630BEF"/>
    <w:rsid w:val="00630DDC"/>
    <w:rsid w:val="00630FB3"/>
    <w:rsid w:val="00631B45"/>
    <w:rsid w:val="00631BDD"/>
    <w:rsid w:val="00632074"/>
    <w:rsid w:val="00632AFB"/>
    <w:rsid w:val="00632ED4"/>
    <w:rsid w:val="0063393A"/>
    <w:rsid w:val="00633B0E"/>
    <w:rsid w:val="0063434B"/>
    <w:rsid w:val="00635026"/>
    <w:rsid w:val="00635249"/>
    <w:rsid w:val="006357D7"/>
    <w:rsid w:val="00635801"/>
    <w:rsid w:val="006358F3"/>
    <w:rsid w:val="00635A0A"/>
    <w:rsid w:val="00636319"/>
    <w:rsid w:val="0063686C"/>
    <w:rsid w:val="00637245"/>
    <w:rsid w:val="00637442"/>
    <w:rsid w:val="0063761A"/>
    <w:rsid w:val="00637869"/>
    <w:rsid w:val="006405C0"/>
    <w:rsid w:val="00640AC2"/>
    <w:rsid w:val="00641447"/>
    <w:rsid w:val="00641BF8"/>
    <w:rsid w:val="006420CA"/>
    <w:rsid w:val="0064219A"/>
    <w:rsid w:val="00642515"/>
    <w:rsid w:val="00642FAF"/>
    <w:rsid w:val="006434C7"/>
    <w:rsid w:val="006435ED"/>
    <w:rsid w:val="0064407A"/>
    <w:rsid w:val="0064439B"/>
    <w:rsid w:val="006443D3"/>
    <w:rsid w:val="00644578"/>
    <w:rsid w:val="0064473B"/>
    <w:rsid w:val="0064492E"/>
    <w:rsid w:val="00644C5A"/>
    <w:rsid w:val="00644EAB"/>
    <w:rsid w:val="0064522C"/>
    <w:rsid w:val="00645409"/>
    <w:rsid w:val="006457C3"/>
    <w:rsid w:val="0064634B"/>
    <w:rsid w:val="00646F71"/>
    <w:rsid w:val="00647915"/>
    <w:rsid w:val="0064792E"/>
    <w:rsid w:val="006501A8"/>
    <w:rsid w:val="00650962"/>
    <w:rsid w:val="00650FF7"/>
    <w:rsid w:val="00651065"/>
    <w:rsid w:val="00651217"/>
    <w:rsid w:val="0065138A"/>
    <w:rsid w:val="00651C3E"/>
    <w:rsid w:val="00652163"/>
    <w:rsid w:val="00652444"/>
    <w:rsid w:val="00652508"/>
    <w:rsid w:val="00652AFF"/>
    <w:rsid w:val="006536B8"/>
    <w:rsid w:val="00653B11"/>
    <w:rsid w:val="00653BC7"/>
    <w:rsid w:val="00653CBF"/>
    <w:rsid w:val="00653F95"/>
    <w:rsid w:val="006545FB"/>
    <w:rsid w:val="006546F7"/>
    <w:rsid w:val="006549C3"/>
    <w:rsid w:val="0065550F"/>
    <w:rsid w:val="0065665D"/>
    <w:rsid w:val="00656C89"/>
    <w:rsid w:val="00656FB8"/>
    <w:rsid w:val="006573EE"/>
    <w:rsid w:val="006574B8"/>
    <w:rsid w:val="00657C81"/>
    <w:rsid w:val="006606FC"/>
    <w:rsid w:val="00660846"/>
    <w:rsid w:val="006608BF"/>
    <w:rsid w:val="006626D1"/>
    <w:rsid w:val="0066277B"/>
    <w:rsid w:val="00662C97"/>
    <w:rsid w:val="006637A2"/>
    <w:rsid w:val="00663A67"/>
    <w:rsid w:val="0066434D"/>
    <w:rsid w:val="00664682"/>
    <w:rsid w:val="00664C76"/>
    <w:rsid w:val="00664ED5"/>
    <w:rsid w:val="00664F16"/>
    <w:rsid w:val="0066531B"/>
    <w:rsid w:val="00666057"/>
    <w:rsid w:val="006672AE"/>
    <w:rsid w:val="0067019E"/>
    <w:rsid w:val="0067124E"/>
    <w:rsid w:val="00671312"/>
    <w:rsid w:val="00671766"/>
    <w:rsid w:val="00672A4B"/>
    <w:rsid w:val="006731D4"/>
    <w:rsid w:val="00673F76"/>
    <w:rsid w:val="00674136"/>
    <w:rsid w:val="006744E5"/>
    <w:rsid w:val="00674690"/>
    <w:rsid w:val="00674B75"/>
    <w:rsid w:val="006761CD"/>
    <w:rsid w:val="006762AA"/>
    <w:rsid w:val="006765BF"/>
    <w:rsid w:val="006767E4"/>
    <w:rsid w:val="00676D46"/>
    <w:rsid w:val="006770D9"/>
    <w:rsid w:val="00677364"/>
    <w:rsid w:val="00677A82"/>
    <w:rsid w:val="00677E51"/>
    <w:rsid w:val="0068038D"/>
    <w:rsid w:val="0068050D"/>
    <w:rsid w:val="00680895"/>
    <w:rsid w:val="006810E2"/>
    <w:rsid w:val="00681521"/>
    <w:rsid w:val="006819D0"/>
    <w:rsid w:val="00682091"/>
    <w:rsid w:val="00682A62"/>
    <w:rsid w:val="00682AF5"/>
    <w:rsid w:val="0068316B"/>
    <w:rsid w:val="00683E7D"/>
    <w:rsid w:val="00684061"/>
    <w:rsid w:val="00684A32"/>
    <w:rsid w:val="00684F07"/>
    <w:rsid w:val="0068541B"/>
    <w:rsid w:val="006859A1"/>
    <w:rsid w:val="00685AC8"/>
    <w:rsid w:val="0068625A"/>
    <w:rsid w:val="006870D3"/>
    <w:rsid w:val="00687E97"/>
    <w:rsid w:val="00690244"/>
    <w:rsid w:val="006909C4"/>
    <w:rsid w:val="00690C21"/>
    <w:rsid w:val="00691651"/>
    <w:rsid w:val="00691C07"/>
    <w:rsid w:val="00691F86"/>
    <w:rsid w:val="0069208A"/>
    <w:rsid w:val="00692306"/>
    <w:rsid w:val="006933C4"/>
    <w:rsid w:val="00693B11"/>
    <w:rsid w:val="00695443"/>
    <w:rsid w:val="00695938"/>
    <w:rsid w:val="00695D36"/>
    <w:rsid w:val="0069651A"/>
    <w:rsid w:val="00697820"/>
    <w:rsid w:val="00697B39"/>
    <w:rsid w:val="00697F42"/>
    <w:rsid w:val="006A025B"/>
    <w:rsid w:val="006A04D9"/>
    <w:rsid w:val="006A04EC"/>
    <w:rsid w:val="006A05D8"/>
    <w:rsid w:val="006A0F32"/>
    <w:rsid w:val="006A1051"/>
    <w:rsid w:val="006A1211"/>
    <w:rsid w:val="006A15C9"/>
    <w:rsid w:val="006A16B6"/>
    <w:rsid w:val="006A2382"/>
    <w:rsid w:val="006A2A30"/>
    <w:rsid w:val="006A2F7E"/>
    <w:rsid w:val="006A367A"/>
    <w:rsid w:val="006A3AD9"/>
    <w:rsid w:val="006A3B17"/>
    <w:rsid w:val="006A3C99"/>
    <w:rsid w:val="006A3CAF"/>
    <w:rsid w:val="006A4117"/>
    <w:rsid w:val="006A53FB"/>
    <w:rsid w:val="006A74E9"/>
    <w:rsid w:val="006A7B48"/>
    <w:rsid w:val="006B0394"/>
    <w:rsid w:val="006B0994"/>
    <w:rsid w:val="006B0D45"/>
    <w:rsid w:val="006B0F67"/>
    <w:rsid w:val="006B1161"/>
    <w:rsid w:val="006B164F"/>
    <w:rsid w:val="006B16D5"/>
    <w:rsid w:val="006B19CE"/>
    <w:rsid w:val="006B1BAF"/>
    <w:rsid w:val="006B2150"/>
    <w:rsid w:val="006B217A"/>
    <w:rsid w:val="006B23C5"/>
    <w:rsid w:val="006B35DF"/>
    <w:rsid w:val="006B44D2"/>
    <w:rsid w:val="006B4E37"/>
    <w:rsid w:val="006B518A"/>
    <w:rsid w:val="006B5900"/>
    <w:rsid w:val="006B5AE4"/>
    <w:rsid w:val="006B6126"/>
    <w:rsid w:val="006B652E"/>
    <w:rsid w:val="006B783E"/>
    <w:rsid w:val="006C027B"/>
    <w:rsid w:val="006C0A82"/>
    <w:rsid w:val="006C10F1"/>
    <w:rsid w:val="006C1EB8"/>
    <w:rsid w:val="006C21D2"/>
    <w:rsid w:val="006C22FB"/>
    <w:rsid w:val="006C28E9"/>
    <w:rsid w:val="006C2C90"/>
    <w:rsid w:val="006C2CC9"/>
    <w:rsid w:val="006C3533"/>
    <w:rsid w:val="006C3ECC"/>
    <w:rsid w:val="006C3F55"/>
    <w:rsid w:val="006C4867"/>
    <w:rsid w:val="006C4A0C"/>
    <w:rsid w:val="006C5615"/>
    <w:rsid w:val="006C57CB"/>
    <w:rsid w:val="006C6D86"/>
    <w:rsid w:val="006C6EC0"/>
    <w:rsid w:val="006C7EA4"/>
    <w:rsid w:val="006D0F47"/>
    <w:rsid w:val="006D11BD"/>
    <w:rsid w:val="006D1931"/>
    <w:rsid w:val="006D1A9E"/>
    <w:rsid w:val="006D1EC7"/>
    <w:rsid w:val="006D2D80"/>
    <w:rsid w:val="006D2E3F"/>
    <w:rsid w:val="006D2F51"/>
    <w:rsid w:val="006D30AB"/>
    <w:rsid w:val="006D32DC"/>
    <w:rsid w:val="006D36A9"/>
    <w:rsid w:val="006D389A"/>
    <w:rsid w:val="006D39D2"/>
    <w:rsid w:val="006D3BF1"/>
    <w:rsid w:val="006D427B"/>
    <w:rsid w:val="006D505A"/>
    <w:rsid w:val="006D5138"/>
    <w:rsid w:val="006D5184"/>
    <w:rsid w:val="006D5264"/>
    <w:rsid w:val="006D52B6"/>
    <w:rsid w:val="006D542B"/>
    <w:rsid w:val="006D58F2"/>
    <w:rsid w:val="006D59A1"/>
    <w:rsid w:val="006D6A9D"/>
    <w:rsid w:val="006D72B3"/>
    <w:rsid w:val="006D7333"/>
    <w:rsid w:val="006E0217"/>
    <w:rsid w:val="006E0898"/>
    <w:rsid w:val="006E0906"/>
    <w:rsid w:val="006E1953"/>
    <w:rsid w:val="006E1BB7"/>
    <w:rsid w:val="006E1E15"/>
    <w:rsid w:val="006E1F93"/>
    <w:rsid w:val="006E23D3"/>
    <w:rsid w:val="006E3543"/>
    <w:rsid w:val="006E36C8"/>
    <w:rsid w:val="006E4AD7"/>
    <w:rsid w:val="006E51E2"/>
    <w:rsid w:val="006E5496"/>
    <w:rsid w:val="006E5896"/>
    <w:rsid w:val="006E59F4"/>
    <w:rsid w:val="006E5DF9"/>
    <w:rsid w:val="006E6719"/>
    <w:rsid w:val="006E6D92"/>
    <w:rsid w:val="006F01A7"/>
    <w:rsid w:val="006F0AE5"/>
    <w:rsid w:val="006F0F7F"/>
    <w:rsid w:val="006F1111"/>
    <w:rsid w:val="006F13E5"/>
    <w:rsid w:val="006F1446"/>
    <w:rsid w:val="006F2640"/>
    <w:rsid w:val="006F2B7D"/>
    <w:rsid w:val="006F30EE"/>
    <w:rsid w:val="006F32EB"/>
    <w:rsid w:val="006F34AA"/>
    <w:rsid w:val="006F3625"/>
    <w:rsid w:val="006F3AB3"/>
    <w:rsid w:val="006F46AE"/>
    <w:rsid w:val="006F46FC"/>
    <w:rsid w:val="006F491D"/>
    <w:rsid w:val="006F5089"/>
    <w:rsid w:val="006F5B1F"/>
    <w:rsid w:val="006F5C94"/>
    <w:rsid w:val="006F64F5"/>
    <w:rsid w:val="006F67AB"/>
    <w:rsid w:val="006F68D3"/>
    <w:rsid w:val="006F75D0"/>
    <w:rsid w:val="00700C79"/>
    <w:rsid w:val="00700CD7"/>
    <w:rsid w:val="007012CB"/>
    <w:rsid w:val="00701545"/>
    <w:rsid w:val="007016DE"/>
    <w:rsid w:val="00701B8C"/>
    <w:rsid w:val="00701E4B"/>
    <w:rsid w:val="0070271C"/>
    <w:rsid w:val="007028DD"/>
    <w:rsid w:val="00702E09"/>
    <w:rsid w:val="00702E9B"/>
    <w:rsid w:val="00703219"/>
    <w:rsid w:val="00703341"/>
    <w:rsid w:val="0070349F"/>
    <w:rsid w:val="007041A8"/>
    <w:rsid w:val="0070432C"/>
    <w:rsid w:val="00704572"/>
    <w:rsid w:val="00704645"/>
    <w:rsid w:val="00704A37"/>
    <w:rsid w:val="00704D38"/>
    <w:rsid w:val="007055F8"/>
    <w:rsid w:val="00705B14"/>
    <w:rsid w:val="00706361"/>
    <w:rsid w:val="0070641E"/>
    <w:rsid w:val="0070650D"/>
    <w:rsid w:val="00706D2C"/>
    <w:rsid w:val="007070F7"/>
    <w:rsid w:val="0070728B"/>
    <w:rsid w:val="0070731A"/>
    <w:rsid w:val="00710233"/>
    <w:rsid w:val="0071163C"/>
    <w:rsid w:val="0071194E"/>
    <w:rsid w:val="0071256A"/>
    <w:rsid w:val="00712730"/>
    <w:rsid w:val="00713B06"/>
    <w:rsid w:val="00714D66"/>
    <w:rsid w:val="00714DE8"/>
    <w:rsid w:val="0071510C"/>
    <w:rsid w:val="00715304"/>
    <w:rsid w:val="00715388"/>
    <w:rsid w:val="00715742"/>
    <w:rsid w:val="007157D1"/>
    <w:rsid w:val="0071597A"/>
    <w:rsid w:val="00716034"/>
    <w:rsid w:val="00716285"/>
    <w:rsid w:val="00716490"/>
    <w:rsid w:val="007164F9"/>
    <w:rsid w:val="00716C6A"/>
    <w:rsid w:val="007174EA"/>
    <w:rsid w:val="0071792E"/>
    <w:rsid w:val="00717B04"/>
    <w:rsid w:val="00717B47"/>
    <w:rsid w:val="00717DEA"/>
    <w:rsid w:val="0072030A"/>
    <w:rsid w:val="007208DB"/>
    <w:rsid w:val="00720B92"/>
    <w:rsid w:val="00720BA4"/>
    <w:rsid w:val="0072166C"/>
    <w:rsid w:val="00721A02"/>
    <w:rsid w:val="00721C50"/>
    <w:rsid w:val="00721CC7"/>
    <w:rsid w:val="0072208A"/>
    <w:rsid w:val="00722430"/>
    <w:rsid w:val="007228D2"/>
    <w:rsid w:val="00722D67"/>
    <w:rsid w:val="00723838"/>
    <w:rsid w:val="0072420C"/>
    <w:rsid w:val="007244F1"/>
    <w:rsid w:val="0072520F"/>
    <w:rsid w:val="00725525"/>
    <w:rsid w:val="007260DC"/>
    <w:rsid w:val="007261CB"/>
    <w:rsid w:val="00726277"/>
    <w:rsid w:val="00726AD6"/>
    <w:rsid w:val="00727BA7"/>
    <w:rsid w:val="00727D4C"/>
    <w:rsid w:val="0073014A"/>
    <w:rsid w:val="00730164"/>
    <w:rsid w:val="00730808"/>
    <w:rsid w:val="00730959"/>
    <w:rsid w:val="00730C5B"/>
    <w:rsid w:val="0073106E"/>
    <w:rsid w:val="0073185C"/>
    <w:rsid w:val="00731ACE"/>
    <w:rsid w:val="00731BAE"/>
    <w:rsid w:val="00731F04"/>
    <w:rsid w:val="00731F3D"/>
    <w:rsid w:val="007325FB"/>
    <w:rsid w:val="00732F58"/>
    <w:rsid w:val="007332CB"/>
    <w:rsid w:val="007335BD"/>
    <w:rsid w:val="0073364D"/>
    <w:rsid w:val="00733EC5"/>
    <w:rsid w:val="00734504"/>
    <w:rsid w:val="00735238"/>
    <w:rsid w:val="0073538D"/>
    <w:rsid w:val="0073564C"/>
    <w:rsid w:val="0073625B"/>
    <w:rsid w:val="00737199"/>
    <w:rsid w:val="0073739E"/>
    <w:rsid w:val="00737D87"/>
    <w:rsid w:val="0074004F"/>
    <w:rsid w:val="007403D3"/>
    <w:rsid w:val="007407B4"/>
    <w:rsid w:val="007408E4"/>
    <w:rsid w:val="007410F7"/>
    <w:rsid w:val="0074118F"/>
    <w:rsid w:val="0074186E"/>
    <w:rsid w:val="00742AD8"/>
    <w:rsid w:val="00742DD6"/>
    <w:rsid w:val="00742DF8"/>
    <w:rsid w:val="00743117"/>
    <w:rsid w:val="00743136"/>
    <w:rsid w:val="007433AB"/>
    <w:rsid w:val="00743976"/>
    <w:rsid w:val="00743C7C"/>
    <w:rsid w:val="00743D45"/>
    <w:rsid w:val="0074418B"/>
    <w:rsid w:val="00744A23"/>
    <w:rsid w:val="00744F5A"/>
    <w:rsid w:val="0074538C"/>
    <w:rsid w:val="00745798"/>
    <w:rsid w:val="00745961"/>
    <w:rsid w:val="00745DA6"/>
    <w:rsid w:val="0074704D"/>
    <w:rsid w:val="00747586"/>
    <w:rsid w:val="00747E3B"/>
    <w:rsid w:val="0075058A"/>
    <w:rsid w:val="00750E2D"/>
    <w:rsid w:val="00751346"/>
    <w:rsid w:val="007518E5"/>
    <w:rsid w:val="00752322"/>
    <w:rsid w:val="00753C94"/>
    <w:rsid w:val="00753D89"/>
    <w:rsid w:val="00754187"/>
    <w:rsid w:val="007546AB"/>
    <w:rsid w:val="007546E1"/>
    <w:rsid w:val="00754DFF"/>
    <w:rsid w:val="00755332"/>
    <w:rsid w:val="007554EA"/>
    <w:rsid w:val="0075565E"/>
    <w:rsid w:val="00755BDE"/>
    <w:rsid w:val="007576CF"/>
    <w:rsid w:val="00760E8B"/>
    <w:rsid w:val="00760F7C"/>
    <w:rsid w:val="007614A8"/>
    <w:rsid w:val="00761647"/>
    <w:rsid w:val="007617B8"/>
    <w:rsid w:val="0076188D"/>
    <w:rsid w:val="00761E50"/>
    <w:rsid w:val="0076232C"/>
    <w:rsid w:val="007635FA"/>
    <w:rsid w:val="00763948"/>
    <w:rsid w:val="007639C9"/>
    <w:rsid w:val="00763B3A"/>
    <w:rsid w:val="0076458C"/>
    <w:rsid w:val="00764C42"/>
    <w:rsid w:val="0076522D"/>
    <w:rsid w:val="007655DD"/>
    <w:rsid w:val="0076578E"/>
    <w:rsid w:val="00765822"/>
    <w:rsid w:val="00765A22"/>
    <w:rsid w:val="0076607D"/>
    <w:rsid w:val="007660A4"/>
    <w:rsid w:val="00766542"/>
    <w:rsid w:val="00767BAE"/>
    <w:rsid w:val="00767E05"/>
    <w:rsid w:val="00767E30"/>
    <w:rsid w:val="007702AA"/>
    <w:rsid w:val="007707CD"/>
    <w:rsid w:val="00770D16"/>
    <w:rsid w:val="00770D9D"/>
    <w:rsid w:val="007714BB"/>
    <w:rsid w:val="00771BAB"/>
    <w:rsid w:val="0077211D"/>
    <w:rsid w:val="0077236C"/>
    <w:rsid w:val="007727F7"/>
    <w:rsid w:val="00772843"/>
    <w:rsid w:val="00772C35"/>
    <w:rsid w:val="00772F36"/>
    <w:rsid w:val="007732B7"/>
    <w:rsid w:val="0077330E"/>
    <w:rsid w:val="007742A5"/>
    <w:rsid w:val="007748F6"/>
    <w:rsid w:val="007752B1"/>
    <w:rsid w:val="00775450"/>
    <w:rsid w:val="00775468"/>
    <w:rsid w:val="00775623"/>
    <w:rsid w:val="00775E07"/>
    <w:rsid w:val="00775E93"/>
    <w:rsid w:val="00775EA8"/>
    <w:rsid w:val="0077624F"/>
    <w:rsid w:val="007762F6"/>
    <w:rsid w:val="0077691F"/>
    <w:rsid w:val="00777D65"/>
    <w:rsid w:val="00777EEF"/>
    <w:rsid w:val="0078026E"/>
    <w:rsid w:val="00781409"/>
    <w:rsid w:val="00781E09"/>
    <w:rsid w:val="00782E66"/>
    <w:rsid w:val="00782EB6"/>
    <w:rsid w:val="007837F3"/>
    <w:rsid w:val="007839EA"/>
    <w:rsid w:val="00783CD8"/>
    <w:rsid w:val="00783E98"/>
    <w:rsid w:val="007841A0"/>
    <w:rsid w:val="00784381"/>
    <w:rsid w:val="007843A3"/>
    <w:rsid w:val="00784820"/>
    <w:rsid w:val="00784A32"/>
    <w:rsid w:val="00784C61"/>
    <w:rsid w:val="00784F48"/>
    <w:rsid w:val="00784FC8"/>
    <w:rsid w:val="00785188"/>
    <w:rsid w:val="0078542C"/>
    <w:rsid w:val="00785764"/>
    <w:rsid w:val="00785BA6"/>
    <w:rsid w:val="007860C2"/>
    <w:rsid w:val="0078622C"/>
    <w:rsid w:val="00786612"/>
    <w:rsid w:val="007866E2"/>
    <w:rsid w:val="00786C29"/>
    <w:rsid w:val="00787177"/>
    <w:rsid w:val="00787D25"/>
    <w:rsid w:val="00790630"/>
    <w:rsid w:val="007910CA"/>
    <w:rsid w:val="0079122D"/>
    <w:rsid w:val="00791320"/>
    <w:rsid w:val="00791DF5"/>
    <w:rsid w:val="007925D1"/>
    <w:rsid w:val="00792D2F"/>
    <w:rsid w:val="007937CD"/>
    <w:rsid w:val="00793814"/>
    <w:rsid w:val="00794478"/>
    <w:rsid w:val="00794673"/>
    <w:rsid w:val="0079471E"/>
    <w:rsid w:val="007948A7"/>
    <w:rsid w:val="00794CB2"/>
    <w:rsid w:val="00795B7B"/>
    <w:rsid w:val="00795DF9"/>
    <w:rsid w:val="0079658B"/>
    <w:rsid w:val="00796EF6"/>
    <w:rsid w:val="00796FDE"/>
    <w:rsid w:val="007970DA"/>
    <w:rsid w:val="007970F4"/>
    <w:rsid w:val="00797475"/>
    <w:rsid w:val="00797722"/>
    <w:rsid w:val="00797DF4"/>
    <w:rsid w:val="00797E12"/>
    <w:rsid w:val="007A0402"/>
    <w:rsid w:val="007A040E"/>
    <w:rsid w:val="007A05C9"/>
    <w:rsid w:val="007A0F4C"/>
    <w:rsid w:val="007A10D0"/>
    <w:rsid w:val="007A1650"/>
    <w:rsid w:val="007A20BC"/>
    <w:rsid w:val="007A22E8"/>
    <w:rsid w:val="007A29D0"/>
    <w:rsid w:val="007A306F"/>
    <w:rsid w:val="007A35F9"/>
    <w:rsid w:val="007A383B"/>
    <w:rsid w:val="007A4B1C"/>
    <w:rsid w:val="007A61D4"/>
    <w:rsid w:val="007A652D"/>
    <w:rsid w:val="007A6654"/>
    <w:rsid w:val="007A67D7"/>
    <w:rsid w:val="007A69EF"/>
    <w:rsid w:val="007A6C99"/>
    <w:rsid w:val="007A7287"/>
    <w:rsid w:val="007B015D"/>
    <w:rsid w:val="007B0184"/>
    <w:rsid w:val="007B0F34"/>
    <w:rsid w:val="007B12BE"/>
    <w:rsid w:val="007B14AA"/>
    <w:rsid w:val="007B16AE"/>
    <w:rsid w:val="007B1C4D"/>
    <w:rsid w:val="007B20CB"/>
    <w:rsid w:val="007B2512"/>
    <w:rsid w:val="007B2CA0"/>
    <w:rsid w:val="007B36CB"/>
    <w:rsid w:val="007B4232"/>
    <w:rsid w:val="007B4B22"/>
    <w:rsid w:val="007B564D"/>
    <w:rsid w:val="007B5950"/>
    <w:rsid w:val="007B5BD3"/>
    <w:rsid w:val="007B5F64"/>
    <w:rsid w:val="007B68A9"/>
    <w:rsid w:val="007B6BBD"/>
    <w:rsid w:val="007C0184"/>
    <w:rsid w:val="007C0FD7"/>
    <w:rsid w:val="007C11BB"/>
    <w:rsid w:val="007C21C2"/>
    <w:rsid w:val="007C25D4"/>
    <w:rsid w:val="007C2A41"/>
    <w:rsid w:val="007C306F"/>
    <w:rsid w:val="007C32B9"/>
    <w:rsid w:val="007C3460"/>
    <w:rsid w:val="007C3676"/>
    <w:rsid w:val="007C3706"/>
    <w:rsid w:val="007C3E9A"/>
    <w:rsid w:val="007C43FC"/>
    <w:rsid w:val="007C5962"/>
    <w:rsid w:val="007C5F3C"/>
    <w:rsid w:val="007C606D"/>
    <w:rsid w:val="007C6518"/>
    <w:rsid w:val="007C6732"/>
    <w:rsid w:val="007C7240"/>
    <w:rsid w:val="007C7373"/>
    <w:rsid w:val="007C7516"/>
    <w:rsid w:val="007C757E"/>
    <w:rsid w:val="007C7943"/>
    <w:rsid w:val="007C7B04"/>
    <w:rsid w:val="007C7C86"/>
    <w:rsid w:val="007C7D6C"/>
    <w:rsid w:val="007C7D95"/>
    <w:rsid w:val="007D0D22"/>
    <w:rsid w:val="007D1B1B"/>
    <w:rsid w:val="007D1B4D"/>
    <w:rsid w:val="007D1E2F"/>
    <w:rsid w:val="007D233D"/>
    <w:rsid w:val="007D2AC9"/>
    <w:rsid w:val="007D35EA"/>
    <w:rsid w:val="007D3DEB"/>
    <w:rsid w:val="007D425B"/>
    <w:rsid w:val="007D4343"/>
    <w:rsid w:val="007D481E"/>
    <w:rsid w:val="007D5215"/>
    <w:rsid w:val="007D5C59"/>
    <w:rsid w:val="007D663D"/>
    <w:rsid w:val="007D6E33"/>
    <w:rsid w:val="007D6E50"/>
    <w:rsid w:val="007D714A"/>
    <w:rsid w:val="007E0308"/>
    <w:rsid w:val="007E0863"/>
    <w:rsid w:val="007E10FE"/>
    <w:rsid w:val="007E1719"/>
    <w:rsid w:val="007E1B73"/>
    <w:rsid w:val="007E250B"/>
    <w:rsid w:val="007E2D9A"/>
    <w:rsid w:val="007E2FE1"/>
    <w:rsid w:val="007E31A9"/>
    <w:rsid w:val="007E33FF"/>
    <w:rsid w:val="007E38B1"/>
    <w:rsid w:val="007E4D5E"/>
    <w:rsid w:val="007E4E82"/>
    <w:rsid w:val="007E5AA5"/>
    <w:rsid w:val="007E5BF6"/>
    <w:rsid w:val="007E6094"/>
    <w:rsid w:val="007E665A"/>
    <w:rsid w:val="007E67E9"/>
    <w:rsid w:val="007E6F77"/>
    <w:rsid w:val="007E7E47"/>
    <w:rsid w:val="007F02FB"/>
    <w:rsid w:val="007F050A"/>
    <w:rsid w:val="007F0A56"/>
    <w:rsid w:val="007F1427"/>
    <w:rsid w:val="007F149B"/>
    <w:rsid w:val="007F210D"/>
    <w:rsid w:val="007F2745"/>
    <w:rsid w:val="007F2D49"/>
    <w:rsid w:val="007F38E2"/>
    <w:rsid w:val="007F41C3"/>
    <w:rsid w:val="007F4301"/>
    <w:rsid w:val="007F46EC"/>
    <w:rsid w:val="007F5077"/>
    <w:rsid w:val="007F58CA"/>
    <w:rsid w:val="007F5FDB"/>
    <w:rsid w:val="007F61A6"/>
    <w:rsid w:val="007F6AE4"/>
    <w:rsid w:val="007F7095"/>
    <w:rsid w:val="007F7DC5"/>
    <w:rsid w:val="007F7FB3"/>
    <w:rsid w:val="00800465"/>
    <w:rsid w:val="00800F2C"/>
    <w:rsid w:val="008012E3"/>
    <w:rsid w:val="00801646"/>
    <w:rsid w:val="008017D7"/>
    <w:rsid w:val="00801B48"/>
    <w:rsid w:val="00801D32"/>
    <w:rsid w:val="008027F2"/>
    <w:rsid w:val="00802AA3"/>
    <w:rsid w:val="0080397D"/>
    <w:rsid w:val="00803AD6"/>
    <w:rsid w:val="00803D35"/>
    <w:rsid w:val="00804260"/>
    <w:rsid w:val="008043E6"/>
    <w:rsid w:val="00804BD7"/>
    <w:rsid w:val="00804FF0"/>
    <w:rsid w:val="008054F9"/>
    <w:rsid w:val="008062CE"/>
    <w:rsid w:val="008066BC"/>
    <w:rsid w:val="0080696D"/>
    <w:rsid w:val="00806E9A"/>
    <w:rsid w:val="00807600"/>
    <w:rsid w:val="00807A4A"/>
    <w:rsid w:val="00807A4E"/>
    <w:rsid w:val="00807D26"/>
    <w:rsid w:val="00807F9C"/>
    <w:rsid w:val="008103E3"/>
    <w:rsid w:val="00810548"/>
    <w:rsid w:val="00810C55"/>
    <w:rsid w:val="00811DC0"/>
    <w:rsid w:val="00811EDF"/>
    <w:rsid w:val="00811EE6"/>
    <w:rsid w:val="0081276A"/>
    <w:rsid w:val="008129D5"/>
    <w:rsid w:val="008130E0"/>
    <w:rsid w:val="00813F27"/>
    <w:rsid w:val="008144C3"/>
    <w:rsid w:val="008146DE"/>
    <w:rsid w:val="008148D1"/>
    <w:rsid w:val="00815794"/>
    <w:rsid w:val="00815865"/>
    <w:rsid w:val="00815F54"/>
    <w:rsid w:val="0081605C"/>
    <w:rsid w:val="008167BF"/>
    <w:rsid w:val="0081695C"/>
    <w:rsid w:val="0081698E"/>
    <w:rsid w:val="0081701E"/>
    <w:rsid w:val="008179F4"/>
    <w:rsid w:val="00817A80"/>
    <w:rsid w:val="00817A87"/>
    <w:rsid w:val="00817C93"/>
    <w:rsid w:val="008201B6"/>
    <w:rsid w:val="00820C00"/>
    <w:rsid w:val="00820C29"/>
    <w:rsid w:val="00820CD6"/>
    <w:rsid w:val="00820E4F"/>
    <w:rsid w:val="008211A8"/>
    <w:rsid w:val="008213C9"/>
    <w:rsid w:val="0082144C"/>
    <w:rsid w:val="00821B52"/>
    <w:rsid w:val="008226C4"/>
    <w:rsid w:val="0082364D"/>
    <w:rsid w:val="0082378E"/>
    <w:rsid w:val="0082385E"/>
    <w:rsid w:val="008238A5"/>
    <w:rsid w:val="00823C9E"/>
    <w:rsid w:val="00823E8A"/>
    <w:rsid w:val="00824EF4"/>
    <w:rsid w:val="00825580"/>
    <w:rsid w:val="0082656F"/>
    <w:rsid w:val="008265DA"/>
    <w:rsid w:val="00826B50"/>
    <w:rsid w:val="00826C7A"/>
    <w:rsid w:val="00826EF2"/>
    <w:rsid w:val="00830033"/>
    <w:rsid w:val="00830E92"/>
    <w:rsid w:val="00830F09"/>
    <w:rsid w:val="00831115"/>
    <w:rsid w:val="00832085"/>
    <w:rsid w:val="00832271"/>
    <w:rsid w:val="008327FD"/>
    <w:rsid w:val="00832982"/>
    <w:rsid w:val="008330B0"/>
    <w:rsid w:val="008337F8"/>
    <w:rsid w:val="00833942"/>
    <w:rsid w:val="00833BB4"/>
    <w:rsid w:val="00833F7A"/>
    <w:rsid w:val="00834F11"/>
    <w:rsid w:val="00835236"/>
    <w:rsid w:val="008352DF"/>
    <w:rsid w:val="00835C99"/>
    <w:rsid w:val="00835F55"/>
    <w:rsid w:val="008361EF"/>
    <w:rsid w:val="00836472"/>
    <w:rsid w:val="008367D5"/>
    <w:rsid w:val="008368C7"/>
    <w:rsid w:val="00836AA2"/>
    <w:rsid w:val="00836DD6"/>
    <w:rsid w:val="00836FE0"/>
    <w:rsid w:val="0083707A"/>
    <w:rsid w:val="0083786F"/>
    <w:rsid w:val="0083788B"/>
    <w:rsid w:val="008379FB"/>
    <w:rsid w:val="008401C1"/>
    <w:rsid w:val="008407A2"/>
    <w:rsid w:val="00840A20"/>
    <w:rsid w:val="00840BCA"/>
    <w:rsid w:val="00840CD0"/>
    <w:rsid w:val="00841232"/>
    <w:rsid w:val="0084126D"/>
    <w:rsid w:val="008415C6"/>
    <w:rsid w:val="00841896"/>
    <w:rsid w:val="00841BD9"/>
    <w:rsid w:val="00841C12"/>
    <w:rsid w:val="00841D6C"/>
    <w:rsid w:val="00841F37"/>
    <w:rsid w:val="0084276C"/>
    <w:rsid w:val="0084392C"/>
    <w:rsid w:val="00843A2D"/>
    <w:rsid w:val="00843CA6"/>
    <w:rsid w:val="00843DCE"/>
    <w:rsid w:val="0084403D"/>
    <w:rsid w:val="00844EF3"/>
    <w:rsid w:val="00844FD6"/>
    <w:rsid w:val="00845F73"/>
    <w:rsid w:val="008465AD"/>
    <w:rsid w:val="00846E5C"/>
    <w:rsid w:val="008472EC"/>
    <w:rsid w:val="00847374"/>
    <w:rsid w:val="00847BDD"/>
    <w:rsid w:val="0085012A"/>
    <w:rsid w:val="00850429"/>
    <w:rsid w:val="008504BC"/>
    <w:rsid w:val="008509E4"/>
    <w:rsid w:val="00850AF6"/>
    <w:rsid w:val="00850F97"/>
    <w:rsid w:val="008514D9"/>
    <w:rsid w:val="00851C70"/>
    <w:rsid w:val="00851E4F"/>
    <w:rsid w:val="00851E63"/>
    <w:rsid w:val="00852331"/>
    <w:rsid w:val="00852740"/>
    <w:rsid w:val="00852BFD"/>
    <w:rsid w:val="00852CE9"/>
    <w:rsid w:val="008536E8"/>
    <w:rsid w:val="0085375F"/>
    <w:rsid w:val="0085395C"/>
    <w:rsid w:val="008541C5"/>
    <w:rsid w:val="00854983"/>
    <w:rsid w:val="008554BA"/>
    <w:rsid w:val="00855D27"/>
    <w:rsid w:val="00856389"/>
    <w:rsid w:val="00856495"/>
    <w:rsid w:val="008565C1"/>
    <w:rsid w:val="008567EC"/>
    <w:rsid w:val="00856950"/>
    <w:rsid w:val="00856C87"/>
    <w:rsid w:val="008572DC"/>
    <w:rsid w:val="00857EBD"/>
    <w:rsid w:val="008604A7"/>
    <w:rsid w:val="00860741"/>
    <w:rsid w:val="008623F6"/>
    <w:rsid w:val="00862468"/>
    <w:rsid w:val="008624FD"/>
    <w:rsid w:val="00862977"/>
    <w:rsid w:val="00862C21"/>
    <w:rsid w:val="00862E4D"/>
    <w:rsid w:val="00862E5F"/>
    <w:rsid w:val="0086337C"/>
    <w:rsid w:val="008640B2"/>
    <w:rsid w:val="00864ADA"/>
    <w:rsid w:val="00864FF0"/>
    <w:rsid w:val="00865416"/>
    <w:rsid w:val="00866420"/>
    <w:rsid w:val="008668C6"/>
    <w:rsid w:val="00866AE7"/>
    <w:rsid w:val="00866BEC"/>
    <w:rsid w:val="00867677"/>
    <w:rsid w:val="00870A24"/>
    <w:rsid w:val="00870B3E"/>
    <w:rsid w:val="00870B8E"/>
    <w:rsid w:val="00870DEC"/>
    <w:rsid w:val="00870F65"/>
    <w:rsid w:val="0087124D"/>
    <w:rsid w:val="00871666"/>
    <w:rsid w:val="008716A1"/>
    <w:rsid w:val="008718B7"/>
    <w:rsid w:val="0087355A"/>
    <w:rsid w:val="00873C62"/>
    <w:rsid w:val="0087414F"/>
    <w:rsid w:val="008741E6"/>
    <w:rsid w:val="0087459E"/>
    <w:rsid w:val="0087480B"/>
    <w:rsid w:val="00874AE4"/>
    <w:rsid w:val="00874C5F"/>
    <w:rsid w:val="008750FC"/>
    <w:rsid w:val="0087582A"/>
    <w:rsid w:val="00875F32"/>
    <w:rsid w:val="00876309"/>
    <w:rsid w:val="008765A3"/>
    <w:rsid w:val="0087687C"/>
    <w:rsid w:val="008768C1"/>
    <w:rsid w:val="00876F58"/>
    <w:rsid w:val="00877569"/>
    <w:rsid w:val="008775A3"/>
    <w:rsid w:val="00877888"/>
    <w:rsid w:val="0088085A"/>
    <w:rsid w:val="00880D44"/>
    <w:rsid w:val="008813F0"/>
    <w:rsid w:val="008815D3"/>
    <w:rsid w:val="00881AC0"/>
    <w:rsid w:val="00881AD2"/>
    <w:rsid w:val="0088240E"/>
    <w:rsid w:val="0088260F"/>
    <w:rsid w:val="008827E5"/>
    <w:rsid w:val="00882AA3"/>
    <w:rsid w:val="00882AB8"/>
    <w:rsid w:val="00882D49"/>
    <w:rsid w:val="00882EFE"/>
    <w:rsid w:val="0088314C"/>
    <w:rsid w:val="00883863"/>
    <w:rsid w:val="00883F84"/>
    <w:rsid w:val="00884501"/>
    <w:rsid w:val="00884706"/>
    <w:rsid w:val="00885241"/>
    <w:rsid w:val="00885503"/>
    <w:rsid w:val="00885F0B"/>
    <w:rsid w:val="0088676D"/>
    <w:rsid w:val="00886A4F"/>
    <w:rsid w:val="00886DE1"/>
    <w:rsid w:val="00887009"/>
    <w:rsid w:val="00887BC5"/>
    <w:rsid w:val="00887C0E"/>
    <w:rsid w:val="00890329"/>
    <w:rsid w:val="008903A3"/>
    <w:rsid w:val="00890659"/>
    <w:rsid w:val="00892111"/>
    <w:rsid w:val="00892C2C"/>
    <w:rsid w:val="00892DEC"/>
    <w:rsid w:val="0089399D"/>
    <w:rsid w:val="008943E5"/>
    <w:rsid w:val="0089464D"/>
    <w:rsid w:val="0089476A"/>
    <w:rsid w:val="00894824"/>
    <w:rsid w:val="00895312"/>
    <w:rsid w:val="00895617"/>
    <w:rsid w:val="00896048"/>
    <w:rsid w:val="008964F1"/>
    <w:rsid w:val="0089690B"/>
    <w:rsid w:val="00897A21"/>
    <w:rsid w:val="008A04A7"/>
    <w:rsid w:val="008A086E"/>
    <w:rsid w:val="008A0A24"/>
    <w:rsid w:val="008A0AF6"/>
    <w:rsid w:val="008A0D31"/>
    <w:rsid w:val="008A0F22"/>
    <w:rsid w:val="008A11DD"/>
    <w:rsid w:val="008A191B"/>
    <w:rsid w:val="008A1AA7"/>
    <w:rsid w:val="008A1D20"/>
    <w:rsid w:val="008A2170"/>
    <w:rsid w:val="008A2FC0"/>
    <w:rsid w:val="008A38B3"/>
    <w:rsid w:val="008A3E69"/>
    <w:rsid w:val="008A42B5"/>
    <w:rsid w:val="008A51EA"/>
    <w:rsid w:val="008A53BB"/>
    <w:rsid w:val="008A550C"/>
    <w:rsid w:val="008A56FB"/>
    <w:rsid w:val="008A5905"/>
    <w:rsid w:val="008A5BA3"/>
    <w:rsid w:val="008A6223"/>
    <w:rsid w:val="008A64C1"/>
    <w:rsid w:val="008A64C9"/>
    <w:rsid w:val="008A6718"/>
    <w:rsid w:val="008A7009"/>
    <w:rsid w:val="008A7156"/>
    <w:rsid w:val="008A72A7"/>
    <w:rsid w:val="008A759F"/>
    <w:rsid w:val="008A78D7"/>
    <w:rsid w:val="008A7A83"/>
    <w:rsid w:val="008A7C7C"/>
    <w:rsid w:val="008B003D"/>
    <w:rsid w:val="008B0088"/>
    <w:rsid w:val="008B0133"/>
    <w:rsid w:val="008B0867"/>
    <w:rsid w:val="008B1302"/>
    <w:rsid w:val="008B1484"/>
    <w:rsid w:val="008B2B3C"/>
    <w:rsid w:val="008B2CCE"/>
    <w:rsid w:val="008B2D5B"/>
    <w:rsid w:val="008B2DD9"/>
    <w:rsid w:val="008B2EB5"/>
    <w:rsid w:val="008B3664"/>
    <w:rsid w:val="008B38F1"/>
    <w:rsid w:val="008B39F1"/>
    <w:rsid w:val="008B3CCB"/>
    <w:rsid w:val="008B4616"/>
    <w:rsid w:val="008B48D3"/>
    <w:rsid w:val="008B5187"/>
    <w:rsid w:val="008B54C1"/>
    <w:rsid w:val="008B646B"/>
    <w:rsid w:val="008B6832"/>
    <w:rsid w:val="008B6901"/>
    <w:rsid w:val="008C08C3"/>
    <w:rsid w:val="008C15FB"/>
    <w:rsid w:val="008C161F"/>
    <w:rsid w:val="008C1E90"/>
    <w:rsid w:val="008C253C"/>
    <w:rsid w:val="008C2C3D"/>
    <w:rsid w:val="008C2D95"/>
    <w:rsid w:val="008C3F82"/>
    <w:rsid w:val="008C4110"/>
    <w:rsid w:val="008C4BD2"/>
    <w:rsid w:val="008C51D4"/>
    <w:rsid w:val="008C54C8"/>
    <w:rsid w:val="008C5590"/>
    <w:rsid w:val="008C5635"/>
    <w:rsid w:val="008C5CC5"/>
    <w:rsid w:val="008C5D36"/>
    <w:rsid w:val="008C6F0F"/>
    <w:rsid w:val="008C700C"/>
    <w:rsid w:val="008C74BB"/>
    <w:rsid w:val="008C7A7E"/>
    <w:rsid w:val="008C7EB6"/>
    <w:rsid w:val="008D003E"/>
    <w:rsid w:val="008D006E"/>
    <w:rsid w:val="008D00A7"/>
    <w:rsid w:val="008D0136"/>
    <w:rsid w:val="008D133B"/>
    <w:rsid w:val="008D1535"/>
    <w:rsid w:val="008D16AE"/>
    <w:rsid w:val="008D173F"/>
    <w:rsid w:val="008D17E0"/>
    <w:rsid w:val="008D1D87"/>
    <w:rsid w:val="008D1F8E"/>
    <w:rsid w:val="008D24F2"/>
    <w:rsid w:val="008D2B42"/>
    <w:rsid w:val="008D2B47"/>
    <w:rsid w:val="008D2BCE"/>
    <w:rsid w:val="008D309A"/>
    <w:rsid w:val="008D3568"/>
    <w:rsid w:val="008D400E"/>
    <w:rsid w:val="008D42AF"/>
    <w:rsid w:val="008D4979"/>
    <w:rsid w:val="008D5396"/>
    <w:rsid w:val="008D5889"/>
    <w:rsid w:val="008D5DE7"/>
    <w:rsid w:val="008D6A31"/>
    <w:rsid w:val="008D6B76"/>
    <w:rsid w:val="008D6F57"/>
    <w:rsid w:val="008D71C6"/>
    <w:rsid w:val="008E0270"/>
    <w:rsid w:val="008E03DB"/>
    <w:rsid w:val="008E1274"/>
    <w:rsid w:val="008E139F"/>
    <w:rsid w:val="008E145F"/>
    <w:rsid w:val="008E1718"/>
    <w:rsid w:val="008E297F"/>
    <w:rsid w:val="008E2B20"/>
    <w:rsid w:val="008E34F5"/>
    <w:rsid w:val="008E38B5"/>
    <w:rsid w:val="008E3B34"/>
    <w:rsid w:val="008E3D8E"/>
    <w:rsid w:val="008E40B5"/>
    <w:rsid w:val="008E4B4A"/>
    <w:rsid w:val="008E4BAC"/>
    <w:rsid w:val="008E4C1A"/>
    <w:rsid w:val="008E5060"/>
    <w:rsid w:val="008E50BA"/>
    <w:rsid w:val="008E56F4"/>
    <w:rsid w:val="008E5D04"/>
    <w:rsid w:val="008E5F12"/>
    <w:rsid w:val="008E7140"/>
    <w:rsid w:val="008E7336"/>
    <w:rsid w:val="008E7ABB"/>
    <w:rsid w:val="008E7D72"/>
    <w:rsid w:val="008F0316"/>
    <w:rsid w:val="008F03A2"/>
    <w:rsid w:val="008F0425"/>
    <w:rsid w:val="008F100D"/>
    <w:rsid w:val="008F15AF"/>
    <w:rsid w:val="008F1D54"/>
    <w:rsid w:val="008F286C"/>
    <w:rsid w:val="008F2C95"/>
    <w:rsid w:val="008F3758"/>
    <w:rsid w:val="008F3769"/>
    <w:rsid w:val="008F3F7C"/>
    <w:rsid w:val="008F4264"/>
    <w:rsid w:val="008F4739"/>
    <w:rsid w:val="008F50B4"/>
    <w:rsid w:val="008F5C24"/>
    <w:rsid w:val="008F5D04"/>
    <w:rsid w:val="008F679F"/>
    <w:rsid w:val="008F6FA5"/>
    <w:rsid w:val="008F7608"/>
    <w:rsid w:val="008F7AE6"/>
    <w:rsid w:val="008F7FB4"/>
    <w:rsid w:val="009008F9"/>
    <w:rsid w:val="00900CF2"/>
    <w:rsid w:val="009013FF"/>
    <w:rsid w:val="00901A5F"/>
    <w:rsid w:val="00901AA2"/>
    <w:rsid w:val="00901D05"/>
    <w:rsid w:val="00902540"/>
    <w:rsid w:val="00902DEA"/>
    <w:rsid w:val="0090318F"/>
    <w:rsid w:val="00903315"/>
    <w:rsid w:val="00903474"/>
    <w:rsid w:val="00904081"/>
    <w:rsid w:val="0090462F"/>
    <w:rsid w:val="009047AE"/>
    <w:rsid w:val="009052C7"/>
    <w:rsid w:val="00905964"/>
    <w:rsid w:val="00906C81"/>
    <w:rsid w:val="00910741"/>
    <w:rsid w:val="00910D72"/>
    <w:rsid w:val="00910F17"/>
    <w:rsid w:val="009110CC"/>
    <w:rsid w:val="00911AC1"/>
    <w:rsid w:val="00912053"/>
    <w:rsid w:val="0091280F"/>
    <w:rsid w:val="009129D9"/>
    <w:rsid w:val="009135CC"/>
    <w:rsid w:val="00913A18"/>
    <w:rsid w:val="00914424"/>
    <w:rsid w:val="009149ED"/>
    <w:rsid w:val="00914A58"/>
    <w:rsid w:val="00915F34"/>
    <w:rsid w:val="00915FF5"/>
    <w:rsid w:val="009161F1"/>
    <w:rsid w:val="0091658F"/>
    <w:rsid w:val="00916C6E"/>
    <w:rsid w:val="00916EBA"/>
    <w:rsid w:val="00917140"/>
    <w:rsid w:val="009172EE"/>
    <w:rsid w:val="00917490"/>
    <w:rsid w:val="00917E08"/>
    <w:rsid w:val="009202D9"/>
    <w:rsid w:val="00920367"/>
    <w:rsid w:val="009207B4"/>
    <w:rsid w:val="0092104A"/>
    <w:rsid w:val="00921C5C"/>
    <w:rsid w:val="0092294B"/>
    <w:rsid w:val="00922FD0"/>
    <w:rsid w:val="00923354"/>
    <w:rsid w:val="009233EE"/>
    <w:rsid w:val="009239AC"/>
    <w:rsid w:val="00923DAE"/>
    <w:rsid w:val="009246F4"/>
    <w:rsid w:val="009250A4"/>
    <w:rsid w:val="009255AE"/>
    <w:rsid w:val="00925B70"/>
    <w:rsid w:val="00925BD6"/>
    <w:rsid w:val="00925BE5"/>
    <w:rsid w:val="0092616F"/>
    <w:rsid w:val="009262A0"/>
    <w:rsid w:val="009262FE"/>
    <w:rsid w:val="00926ABC"/>
    <w:rsid w:val="00926C23"/>
    <w:rsid w:val="0092705F"/>
    <w:rsid w:val="00930C4A"/>
    <w:rsid w:val="0093221A"/>
    <w:rsid w:val="00932282"/>
    <w:rsid w:val="009329BB"/>
    <w:rsid w:val="00932BAA"/>
    <w:rsid w:val="00932D65"/>
    <w:rsid w:val="00932F39"/>
    <w:rsid w:val="00933BE3"/>
    <w:rsid w:val="00934495"/>
    <w:rsid w:val="00935343"/>
    <w:rsid w:val="00935841"/>
    <w:rsid w:val="009360FF"/>
    <w:rsid w:val="009362F5"/>
    <w:rsid w:val="00936726"/>
    <w:rsid w:val="00937017"/>
    <w:rsid w:val="0093728E"/>
    <w:rsid w:val="00937CB6"/>
    <w:rsid w:val="00937F6D"/>
    <w:rsid w:val="00937F70"/>
    <w:rsid w:val="00937F8D"/>
    <w:rsid w:val="009402AB"/>
    <w:rsid w:val="00940628"/>
    <w:rsid w:val="009412ED"/>
    <w:rsid w:val="00941C3F"/>
    <w:rsid w:val="00941CBB"/>
    <w:rsid w:val="00941E76"/>
    <w:rsid w:val="00942B2C"/>
    <w:rsid w:val="00942F95"/>
    <w:rsid w:val="009430B6"/>
    <w:rsid w:val="00943455"/>
    <w:rsid w:val="009443FD"/>
    <w:rsid w:val="00944DAC"/>
    <w:rsid w:val="0094582B"/>
    <w:rsid w:val="00945B19"/>
    <w:rsid w:val="00945B3F"/>
    <w:rsid w:val="009460CD"/>
    <w:rsid w:val="009466A8"/>
    <w:rsid w:val="009467D7"/>
    <w:rsid w:val="00946AF9"/>
    <w:rsid w:val="00946B05"/>
    <w:rsid w:val="00950A23"/>
    <w:rsid w:val="00951608"/>
    <w:rsid w:val="0095199D"/>
    <w:rsid w:val="00951B66"/>
    <w:rsid w:val="00951F11"/>
    <w:rsid w:val="009522ED"/>
    <w:rsid w:val="00952303"/>
    <w:rsid w:val="009527E8"/>
    <w:rsid w:val="00952AFB"/>
    <w:rsid w:val="00952C36"/>
    <w:rsid w:val="00952E43"/>
    <w:rsid w:val="00952F11"/>
    <w:rsid w:val="009533D9"/>
    <w:rsid w:val="0095346D"/>
    <w:rsid w:val="00953E70"/>
    <w:rsid w:val="00954582"/>
    <w:rsid w:val="009545B8"/>
    <w:rsid w:val="00954860"/>
    <w:rsid w:val="00954994"/>
    <w:rsid w:val="00954C42"/>
    <w:rsid w:val="00954CEC"/>
    <w:rsid w:val="00954E61"/>
    <w:rsid w:val="00954EED"/>
    <w:rsid w:val="00955C3B"/>
    <w:rsid w:val="009567EB"/>
    <w:rsid w:val="00956CB2"/>
    <w:rsid w:val="00957023"/>
    <w:rsid w:val="00957280"/>
    <w:rsid w:val="0095739B"/>
    <w:rsid w:val="00957505"/>
    <w:rsid w:val="00957D3A"/>
    <w:rsid w:val="00960231"/>
    <w:rsid w:val="009608F6"/>
    <w:rsid w:val="00960930"/>
    <w:rsid w:val="00960ADE"/>
    <w:rsid w:val="00960C9A"/>
    <w:rsid w:val="00960D12"/>
    <w:rsid w:val="00960E49"/>
    <w:rsid w:val="00961259"/>
    <w:rsid w:val="00962447"/>
    <w:rsid w:val="00962E93"/>
    <w:rsid w:val="00963038"/>
    <w:rsid w:val="0096327B"/>
    <w:rsid w:val="009637FA"/>
    <w:rsid w:val="00963A9D"/>
    <w:rsid w:val="00963B50"/>
    <w:rsid w:val="00963ECF"/>
    <w:rsid w:val="00963F17"/>
    <w:rsid w:val="00963FB6"/>
    <w:rsid w:val="0096442F"/>
    <w:rsid w:val="00964491"/>
    <w:rsid w:val="009649D9"/>
    <w:rsid w:val="00965732"/>
    <w:rsid w:val="00965FC1"/>
    <w:rsid w:val="00966DE2"/>
    <w:rsid w:val="00967129"/>
    <w:rsid w:val="00967453"/>
    <w:rsid w:val="009709B5"/>
    <w:rsid w:val="009709DB"/>
    <w:rsid w:val="00970DB7"/>
    <w:rsid w:val="0097149F"/>
    <w:rsid w:val="00971BEE"/>
    <w:rsid w:val="009721D6"/>
    <w:rsid w:val="00972410"/>
    <w:rsid w:val="00973106"/>
    <w:rsid w:val="009736A5"/>
    <w:rsid w:val="00973D3A"/>
    <w:rsid w:val="00973DFA"/>
    <w:rsid w:val="00974402"/>
    <w:rsid w:val="00974B93"/>
    <w:rsid w:val="0097506E"/>
    <w:rsid w:val="00976548"/>
    <w:rsid w:val="00976E75"/>
    <w:rsid w:val="0097733D"/>
    <w:rsid w:val="00977621"/>
    <w:rsid w:val="009806FF"/>
    <w:rsid w:val="00980E04"/>
    <w:rsid w:val="009814C0"/>
    <w:rsid w:val="0098173A"/>
    <w:rsid w:val="00981B50"/>
    <w:rsid w:val="00984999"/>
    <w:rsid w:val="00984C7B"/>
    <w:rsid w:val="009854A0"/>
    <w:rsid w:val="009854FA"/>
    <w:rsid w:val="00985731"/>
    <w:rsid w:val="00985766"/>
    <w:rsid w:val="00985861"/>
    <w:rsid w:val="00985979"/>
    <w:rsid w:val="00985BA1"/>
    <w:rsid w:val="00985BB6"/>
    <w:rsid w:val="00985CB7"/>
    <w:rsid w:val="00985F17"/>
    <w:rsid w:val="0098640E"/>
    <w:rsid w:val="009867A9"/>
    <w:rsid w:val="00986A23"/>
    <w:rsid w:val="00986E1E"/>
    <w:rsid w:val="0098737D"/>
    <w:rsid w:val="0099034F"/>
    <w:rsid w:val="00990908"/>
    <w:rsid w:val="00990B5F"/>
    <w:rsid w:val="00990E00"/>
    <w:rsid w:val="00990E1C"/>
    <w:rsid w:val="0099102D"/>
    <w:rsid w:val="0099190A"/>
    <w:rsid w:val="009920DC"/>
    <w:rsid w:val="0099241E"/>
    <w:rsid w:val="00992BC3"/>
    <w:rsid w:val="00992EE9"/>
    <w:rsid w:val="00993DE9"/>
    <w:rsid w:val="00993F7D"/>
    <w:rsid w:val="00994104"/>
    <w:rsid w:val="009943FD"/>
    <w:rsid w:val="00997291"/>
    <w:rsid w:val="009A0147"/>
    <w:rsid w:val="009A0787"/>
    <w:rsid w:val="009A0A0E"/>
    <w:rsid w:val="009A0DFF"/>
    <w:rsid w:val="009A1850"/>
    <w:rsid w:val="009A2AC5"/>
    <w:rsid w:val="009A2FB7"/>
    <w:rsid w:val="009A30BB"/>
    <w:rsid w:val="009A42D8"/>
    <w:rsid w:val="009A4527"/>
    <w:rsid w:val="009A4993"/>
    <w:rsid w:val="009A4FE2"/>
    <w:rsid w:val="009A563A"/>
    <w:rsid w:val="009A5833"/>
    <w:rsid w:val="009A5946"/>
    <w:rsid w:val="009A6999"/>
    <w:rsid w:val="009A7020"/>
    <w:rsid w:val="009A719B"/>
    <w:rsid w:val="009A77F1"/>
    <w:rsid w:val="009A78DC"/>
    <w:rsid w:val="009A7EF0"/>
    <w:rsid w:val="009B00FD"/>
    <w:rsid w:val="009B0561"/>
    <w:rsid w:val="009B1393"/>
    <w:rsid w:val="009B289E"/>
    <w:rsid w:val="009B28C1"/>
    <w:rsid w:val="009B2CD4"/>
    <w:rsid w:val="009B330E"/>
    <w:rsid w:val="009B3918"/>
    <w:rsid w:val="009B42B8"/>
    <w:rsid w:val="009B4868"/>
    <w:rsid w:val="009B4B66"/>
    <w:rsid w:val="009B4F93"/>
    <w:rsid w:val="009B6243"/>
    <w:rsid w:val="009B68E4"/>
    <w:rsid w:val="009B70BD"/>
    <w:rsid w:val="009B7D6D"/>
    <w:rsid w:val="009B7D86"/>
    <w:rsid w:val="009C01A9"/>
    <w:rsid w:val="009C1245"/>
    <w:rsid w:val="009C230E"/>
    <w:rsid w:val="009C2A5D"/>
    <w:rsid w:val="009C300E"/>
    <w:rsid w:val="009C377C"/>
    <w:rsid w:val="009C41B8"/>
    <w:rsid w:val="009C4A75"/>
    <w:rsid w:val="009C5556"/>
    <w:rsid w:val="009C6348"/>
    <w:rsid w:val="009C65A7"/>
    <w:rsid w:val="009C65BF"/>
    <w:rsid w:val="009C6903"/>
    <w:rsid w:val="009C6EB5"/>
    <w:rsid w:val="009C775D"/>
    <w:rsid w:val="009D0474"/>
    <w:rsid w:val="009D049D"/>
    <w:rsid w:val="009D0AD4"/>
    <w:rsid w:val="009D10D9"/>
    <w:rsid w:val="009D1279"/>
    <w:rsid w:val="009D1433"/>
    <w:rsid w:val="009D1EFD"/>
    <w:rsid w:val="009D1F96"/>
    <w:rsid w:val="009D2529"/>
    <w:rsid w:val="009D2641"/>
    <w:rsid w:val="009D2B48"/>
    <w:rsid w:val="009D3C11"/>
    <w:rsid w:val="009D4A23"/>
    <w:rsid w:val="009D5E99"/>
    <w:rsid w:val="009D6C13"/>
    <w:rsid w:val="009D71A4"/>
    <w:rsid w:val="009D78DC"/>
    <w:rsid w:val="009D7DC4"/>
    <w:rsid w:val="009E0391"/>
    <w:rsid w:val="009E18B9"/>
    <w:rsid w:val="009E1CF1"/>
    <w:rsid w:val="009E1DC7"/>
    <w:rsid w:val="009E2115"/>
    <w:rsid w:val="009E2141"/>
    <w:rsid w:val="009E3353"/>
    <w:rsid w:val="009E3B49"/>
    <w:rsid w:val="009E4106"/>
    <w:rsid w:val="009E43FA"/>
    <w:rsid w:val="009E45AC"/>
    <w:rsid w:val="009E490C"/>
    <w:rsid w:val="009E4A93"/>
    <w:rsid w:val="009E4FF8"/>
    <w:rsid w:val="009E54CA"/>
    <w:rsid w:val="009E6011"/>
    <w:rsid w:val="009E68C0"/>
    <w:rsid w:val="009E6A59"/>
    <w:rsid w:val="009E6D7A"/>
    <w:rsid w:val="009E7146"/>
    <w:rsid w:val="009E7C2A"/>
    <w:rsid w:val="009E7F63"/>
    <w:rsid w:val="009F020B"/>
    <w:rsid w:val="009F0504"/>
    <w:rsid w:val="009F0CE9"/>
    <w:rsid w:val="009F0EE6"/>
    <w:rsid w:val="009F0FF5"/>
    <w:rsid w:val="009F3432"/>
    <w:rsid w:val="009F34BF"/>
    <w:rsid w:val="009F414E"/>
    <w:rsid w:val="009F417D"/>
    <w:rsid w:val="009F431E"/>
    <w:rsid w:val="009F464F"/>
    <w:rsid w:val="009F5ABA"/>
    <w:rsid w:val="009F5F1D"/>
    <w:rsid w:val="009F62F1"/>
    <w:rsid w:val="009F65A6"/>
    <w:rsid w:val="009F690E"/>
    <w:rsid w:val="009F70A0"/>
    <w:rsid w:val="009F75CC"/>
    <w:rsid w:val="009F7FD5"/>
    <w:rsid w:val="00A002A3"/>
    <w:rsid w:val="00A0057F"/>
    <w:rsid w:val="00A0091B"/>
    <w:rsid w:val="00A0107D"/>
    <w:rsid w:val="00A01989"/>
    <w:rsid w:val="00A0205E"/>
    <w:rsid w:val="00A022ED"/>
    <w:rsid w:val="00A0248B"/>
    <w:rsid w:val="00A02A13"/>
    <w:rsid w:val="00A03315"/>
    <w:rsid w:val="00A03488"/>
    <w:rsid w:val="00A035EA"/>
    <w:rsid w:val="00A041FF"/>
    <w:rsid w:val="00A046F0"/>
    <w:rsid w:val="00A047D1"/>
    <w:rsid w:val="00A04C9A"/>
    <w:rsid w:val="00A04FF9"/>
    <w:rsid w:val="00A05D6B"/>
    <w:rsid w:val="00A05EA1"/>
    <w:rsid w:val="00A05EFC"/>
    <w:rsid w:val="00A06489"/>
    <w:rsid w:val="00A064DC"/>
    <w:rsid w:val="00A07498"/>
    <w:rsid w:val="00A07997"/>
    <w:rsid w:val="00A07ED3"/>
    <w:rsid w:val="00A10755"/>
    <w:rsid w:val="00A109EF"/>
    <w:rsid w:val="00A10F8C"/>
    <w:rsid w:val="00A110D0"/>
    <w:rsid w:val="00A113DF"/>
    <w:rsid w:val="00A114F9"/>
    <w:rsid w:val="00A11674"/>
    <w:rsid w:val="00A11901"/>
    <w:rsid w:val="00A11A49"/>
    <w:rsid w:val="00A12895"/>
    <w:rsid w:val="00A1333A"/>
    <w:rsid w:val="00A13515"/>
    <w:rsid w:val="00A13551"/>
    <w:rsid w:val="00A13A9B"/>
    <w:rsid w:val="00A13DCD"/>
    <w:rsid w:val="00A143C2"/>
    <w:rsid w:val="00A144CF"/>
    <w:rsid w:val="00A147F1"/>
    <w:rsid w:val="00A149AA"/>
    <w:rsid w:val="00A15395"/>
    <w:rsid w:val="00A15766"/>
    <w:rsid w:val="00A1659F"/>
    <w:rsid w:val="00A16721"/>
    <w:rsid w:val="00A16A0A"/>
    <w:rsid w:val="00A16A51"/>
    <w:rsid w:val="00A16B25"/>
    <w:rsid w:val="00A17A4A"/>
    <w:rsid w:val="00A17F08"/>
    <w:rsid w:val="00A2069C"/>
    <w:rsid w:val="00A21737"/>
    <w:rsid w:val="00A219C0"/>
    <w:rsid w:val="00A21A95"/>
    <w:rsid w:val="00A21AF0"/>
    <w:rsid w:val="00A21D64"/>
    <w:rsid w:val="00A21F36"/>
    <w:rsid w:val="00A2230E"/>
    <w:rsid w:val="00A233E5"/>
    <w:rsid w:val="00A23541"/>
    <w:rsid w:val="00A2356A"/>
    <w:rsid w:val="00A23D82"/>
    <w:rsid w:val="00A24161"/>
    <w:rsid w:val="00A24F57"/>
    <w:rsid w:val="00A25445"/>
    <w:rsid w:val="00A259B3"/>
    <w:rsid w:val="00A259D3"/>
    <w:rsid w:val="00A25BA2"/>
    <w:rsid w:val="00A25D4E"/>
    <w:rsid w:val="00A26060"/>
    <w:rsid w:val="00A26538"/>
    <w:rsid w:val="00A26696"/>
    <w:rsid w:val="00A26C21"/>
    <w:rsid w:val="00A26CB7"/>
    <w:rsid w:val="00A26D67"/>
    <w:rsid w:val="00A26F7F"/>
    <w:rsid w:val="00A270C2"/>
    <w:rsid w:val="00A27210"/>
    <w:rsid w:val="00A2758A"/>
    <w:rsid w:val="00A30642"/>
    <w:rsid w:val="00A30CA9"/>
    <w:rsid w:val="00A31116"/>
    <w:rsid w:val="00A3187C"/>
    <w:rsid w:val="00A32622"/>
    <w:rsid w:val="00A32E8C"/>
    <w:rsid w:val="00A32FC9"/>
    <w:rsid w:val="00A333C7"/>
    <w:rsid w:val="00A336D2"/>
    <w:rsid w:val="00A348CB"/>
    <w:rsid w:val="00A357FA"/>
    <w:rsid w:val="00A35D41"/>
    <w:rsid w:val="00A36645"/>
    <w:rsid w:val="00A36CE6"/>
    <w:rsid w:val="00A36ECE"/>
    <w:rsid w:val="00A37060"/>
    <w:rsid w:val="00A37449"/>
    <w:rsid w:val="00A37967"/>
    <w:rsid w:val="00A37972"/>
    <w:rsid w:val="00A37AD7"/>
    <w:rsid w:val="00A400D6"/>
    <w:rsid w:val="00A402E9"/>
    <w:rsid w:val="00A4043C"/>
    <w:rsid w:val="00A40B81"/>
    <w:rsid w:val="00A40DAF"/>
    <w:rsid w:val="00A41BCB"/>
    <w:rsid w:val="00A41CF6"/>
    <w:rsid w:val="00A42B2E"/>
    <w:rsid w:val="00A42DAE"/>
    <w:rsid w:val="00A42EDB"/>
    <w:rsid w:val="00A43951"/>
    <w:rsid w:val="00A43E59"/>
    <w:rsid w:val="00A440AB"/>
    <w:rsid w:val="00A44881"/>
    <w:rsid w:val="00A4517A"/>
    <w:rsid w:val="00A45317"/>
    <w:rsid w:val="00A466F5"/>
    <w:rsid w:val="00A47632"/>
    <w:rsid w:val="00A50238"/>
    <w:rsid w:val="00A50D80"/>
    <w:rsid w:val="00A50DDB"/>
    <w:rsid w:val="00A5105B"/>
    <w:rsid w:val="00A51262"/>
    <w:rsid w:val="00A517B3"/>
    <w:rsid w:val="00A51DC4"/>
    <w:rsid w:val="00A51F8F"/>
    <w:rsid w:val="00A528D3"/>
    <w:rsid w:val="00A52FDA"/>
    <w:rsid w:val="00A530DE"/>
    <w:rsid w:val="00A53350"/>
    <w:rsid w:val="00A54137"/>
    <w:rsid w:val="00A54699"/>
    <w:rsid w:val="00A54B7A"/>
    <w:rsid w:val="00A5526A"/>
    <w:rsid w:val="00A55455"/>
    <w:rsid w:val="00A5559F"/>
    <w:rsid w:val="00A555D3"/>
    <w:rsid w:val="00A557DF"/>
    <w:rsid w:val="00A55C45"/>
    <w:rsid w:val="00A56072"/>
    <w:rsid w:val="00A569FA"/>
    <w:rsid w:val="00A56D8B"/>
    <w:rsid w:val="00A56E34"/>
    <w:rsid w:val="00A577E6"/>
    <w:rsid w:val="00A6007D"/>
    <w:rsid w:val="00A60232"/>
    <w:rsid w:val="00A60834"/>
    <w:rsid w:val="00A608DF"/>
    <w:rsid w:val="00A60ADE"/>
    <w:rsid w:val="00A60D0A"/>
    <w:rsid w:val="00A60DCC"/>
    <w:rsid w:val="00A60DD0"/>
    <w:rsid w:val="00A61171"/>
    <w:rsid w:val="00A6213C"/>
    <w:rsid w:val="00A633B4"/>
    <w:rsid w:val="00A63897"/>
    <w:rsid w:val="00A63B35"/>
    <w:rsid w:val="00A63B6E"/>
    <w:rsid w:val="00A63F9B"/>
    <w:rsid w:val="00A6479D"/>
    <w:rsid w:val="00A655EF"/>
    <w:rsid w:val="00A658BA"/>
    <w:rsid w:val="00A658F9"/>
    <w:rsid w:val="00A66B41"/>
    <w:rsid w:val="00A66C3B"/>
    <w:rsid w:val="00A67272"/>
    <w:rsid w:val="00A672AC"/>
    <w:rsid w:val="00A70477"/>
    <w:rsid w:val="00A70C49"/>
    <w:rsid w:val="00A70C53"/>
    <w:rsid w:val="00A70E04"/>
    <w:rsid w:val="00A70E4B"/>
    <w:rsid w:val="00A72769"/>
    <w:rsid w:val="00A72920"/>
    <w:rsid w:val="00A73E6D"/>
    <w:rsid w:val="00A74F52"/>
    <w:rsid w:val="00A74FB4"/>
    <w:rsid w:val="00A75288"/>
    <w:rsid w:val="00A757D4"/>
    <w:rsid w:val="00A76B20"/>
    <w:rsid w:val="00A76C5D"/>
    <w:rsid w:val="00A76DD5"/>
    <w:rsid w:val="00A76E5A"/>
    <w:rsid w:val="00A76FFA"/>
    <w:rsid w:val="00A77BFF"/>
    <w:rsid w:val="00A77F48"/>
    <w:rsid w:val="00A814D0"/>
    <w:rsid w:val="00A817F8"/>
    <w:rsid w:val="00A8248F"/>
    <w:rsid w:val="00A826AD"/>
    <w:rsid w:val="00A82C1E"/>
    <w:rsid w:val="00A82D18"/>
    <w:rsid w:val="00A82D43"/>
    <w:rsid w:val="00A832E8"/>
    <w:rsid w:val="00A83B52"/>
    <w:rsid w:val="00A8420F"/>
    <w:rsid w:val="00A8445F"/>
    <w:rsid w:val="00A84956"/>
    <w:rsid w:val="00A853C5"/>
    <w:rsid w:val="00A8541E"/>
    <w:rsid w:val="00A859F5"/>
    <w:rsid w:val="00A86915"/>
    <w:rsid w:val="00A86B8F"/>
    <w:rsid w:val="00A86DA0"/>
    <w:rsid w:val="00A87218"/>
    <w:rsid w:val="00A8758F"/>
    <w:rsid w:val="00A8778D"/>
    <w:rsid w:val="00A87E11"/>
    <w:rsid w:val="00A90C91"/>
    <w:rsid w:val="00A90D8D"/>
    <w:rsid w:val="00A91782"/>
    <w:rsid w:val="00A918E3"/>
    <w:rsid w:val="00A92B4E"/>
    <w:rsid w:val="00A92C9B"/>
    <w:rsid w:val="00A94946"/>
    <w:rsid w:val="00A94FE5"/>
    <w:rsid w:val="00A95F08"/>
    <w:rsid w:val="00A96196"/>
    <w:rsid w:val="00A961DB"/>
    <w:rsid w:val="00A9637F"/>
    <w:rsid w:val="00A973FC"/>
    <w:rsid w:val="00A974EE"/>
    <w:rsid w:val="00AA0115"/>
    <w:rsid w:val="00AA0178"/>
    <w:rsid w:val="00AA03F9"/>
    <w:rsid w:val="00AA04EC"/>
    <w:rsid w:val="00AA1BDE"/>
    <w:rsid w:val="00AA1DE9"/>
    <w:rsid w:val="00AA1EF5"/>
    <w:rsid w:val="00AA2891"/>
    <w:rsid w:val="00AA2FC5"/>
    <w:rsid w:val="00AA340B"/>
    <w:rsid w:val="00AA3BBB"/>
    <w:rsid w:val="00AA4156"/>
    <w:rsid w:val="00AA423B"/>
    <w:rsid w:val="00AA4369"/>
    <w:rsid w:val="00AA457B"/>
    <w:rsid w:val="00AA5764"/>
    <w:rsid w:val="00AA5BB2"/>
    <w:rsid w:val="00AA5E9F"/>
    <w:rsid w:val="00AA601E"/>
    <w:rsid w:val="00AA69B9"/>
    <w:rsid w:val="00AA6ABA"/>
    <w:rsid w:val="00AA745E"/>
    <w:rsid w:val="00AB0D8D"/>
    <w:rsid w:val="00AB0F5C"/>
    <w:rsid w:val="00AB105B"/>
    <w:rsid w:val="00AB131E"/>
    <w:rsid w:val="00AB137B"/>
    <w:rsid w:val="00AB1873"/>
    <w:rsid w:val="00AB1945"/>
    <w:rsid w:val="00AB1CBF"/>
    <w:rsid w:val="00AB25FE"/>
    <w:rsid w:val="00AB265E"/>
    <w:rsid w:val="00AB2C14"/>
    <w:rsid w:val="00AB3430"/>
    <w:rsid w:val="00AB3605"/>
    <w:rsid w:val="00AB38B4"/>
    <w:rsid w:val="00AB45BF"/>
    <w:rsid w:val="00AB5126"/>
    <w:rsid w:val="00AB547C"/>
    <w:rsid w:val="00AB630D"/>
    <w:rsid w:val="00AB65F8"/>
    <w:rsid w:val="00AB6F33"/>
    <w:rsid w:val="00AB7458"/>
    <w:rsid w:val="00AB7595"/>
    <w:rsid w:val="00AB7877"/>
    <w:rsid w:val="00AB7BCA"/>
    <w:rsid w:val="00AC10F1"/>
    <w:rsid w:val="00AC12A8"/>
    <w:rsid w:val="00AC2294"/>
    <w:rsid w:val="00AC28F7"/>
    <w:rsid w:val="00AC2A80"/>
    <w:rsid w:val="00AC2B3F"/>
    <w:rsid w:val="00AC45E2"/>
    <w:rsid w:val="00AC486C"/>
    <w:rsid w:val="00AC5479"/>
    <w:rsid w:val="00AC5B9B"/>
    <w:rsid w:val="00AC5ED8"/>
    <w:rsid w:val="00AC613C"/>
    <w:rsid w:val="00AC62AD"/>
    <w:rsid w:val="00AC687B"/>
    <w:rsid w:val="00AC73B0"/>
    <w:rsid w:val="00AD00A7"/>
    <w:rsid w:val="00AD12D8"/>
    <w:rsid w:val="00AD143D"/>
    <w:rsid w:val="00AD14BD"/>
    <w:rsid w:val="00AD1DEA"/>
    <w:rsid w:val="00AD275A"/>
    <w:rsid w:val="00AD27F3"/>
    <w:rsid w:val="00AD30C2"/>
    <w:rsid w:val="00AD34C0"/>
    <w:rsid w:val="00AD3EC2"/>
    <w:rsid w:val="00AD426D"/>
    <w:rsid w:val="00AD4300"/>
    <w:rsid w:val="00AD4A5E"/>
    <w:rsid w:val="00AD4EF9"/>
    <w:rsid w:val="00AD54A7"/>
    <w:rsid w:val="00AD598D"/>
    <w:rsid w:val="00AD5F03"/>
    <w:rsid w:val="00AD5F9D"/>
    <w:rsid w:val="00AD61EB"/>
    <w:rsid w:val="00AD64D1"/>
    <w:rsid w:val="00AD6814"/>
    <w:rsid w:val="00AD6EAA"/>
    <w:rsid w:val="00AD6F9E"/>
    <w:rsid w:val="00AD7045"/>
    <w:rsid w:val="00AD7520"/>
    <w:rsid w:val="00AD776A"/>
    <w:rsid w:val="00AD77E9"/>
    <w:rsid w:val="00AD7A28"/>
    <w:rsid w:val="00AE08A6"/>
    <w:rsid w:val="00AE0A24"/>
    <w:rsid w:val="00AE116D"/>
    <w:rsid w:val="00AE24F6"/>
    <w:rsid w:val="00AE26E4"/>
    <w:rsid w:val="00AE2C50"/>
    <w:rsid w:val="00AE2D68"/>
    <w:rsid w:val="00AE3193"/>
    <w:rsid w:val="00AE32C4"/>
    <w:rsid w:val="00AE36E2"/>
    <w:rsid w:val="00AE45DF"/>
    <w:rsid w:val="00AE461D"/>
    <w:rsid w:val="00AE4686"/>
    <w:rsid w:val="00AE48A1"/>
    <w:rsid w:val="00AE50A9"/>
    <w:rsid w:val="00AE650D"/>
    <w:rsid w:val="00AE66C9"/>
    <w:rsid w:val="00AE673B"/>
    <w:rsid w:val="00AE73B7"/>
    <w:rsid w:val="00AE7944"/>
    <w:rsid w:val="00AE79A4"/>
    <w:rsid w:val="00AEECE1"/>
    <w:rsid w:val="00AF0686"/>
    <w:rsid w:val="00AF0AD0"/>
    <w:rsid w:val="00AF1151"/>
    <w:rsid w:val="00AF14AF"/>
    <w:rsid w:val="00AF14F6"/>
    <w:rsid w:val="00AF1FF2"/>
    <w:rsid w:val="00AF2BFA"/>
    <w:rsid w:val="00AF32DF"/>
    <w:rsid w:val="00AF3534"/>
    <w:rsid w:val="00AF3656"/>
    <w:rsid w:val="00AF40B8"/>
    <w:rsid w:val="00AF51B7"/>
    <w:rsid w:val="00AF59D9"/>
    <w:rsid w:val="00AF61FD"/>
    <w:rsid w:val="00AF6242"/>
    <w:rsid w:val="00AF6593"/>
    <w:rsid w:val="00AF65BD"/>
    <w:rsid w:val="00AF6712"/>
    <w:rsid w:val="00AF79E1"/>
    <w:rsid w:val="00AF7B8E"/>
    <w:rsid w:val="00AF7FE6"/>
    <w:rsid w:val="00B00229"/>
    <w:rsid w:val="00B00855"/>
    <w:rsid w:val="00B00962"/>
    <w:rsid w:val="00B01885"/>
    <w:rsid w:val="00B01D4E"/>
    <w:rsid w:val="00B027B0"/>
    <w:rsid w:val="00B02C8C"/>
    <w:rsid w:val="00B02FE8"/>
    <w:rsid w:val="00B036EE"/>
    <w:rsid w:val="00B03B4A"/>
    <w:rsid w:val="00B03C5C"/>
    <w:rsid w:val="00B04052"/>
    <w:rsid w:val="00B0509A"/>
    <w:rsid w:val="00B05375"/>
    <w:rsid w:val="00B0560D"/>
    <w:rsid w:val="00B06692"/>
    <w:rsid w:val="00B06E19"/>
    <w:rsid w:val="00B074F0"/>
    <w:rsid w:val="00B10C25"/>
    <w:rsid w:val="00B1108C"/>
    <w:rsid w:val="00B1294D"/>
    <w:rsid w:val="00B12D80"/>
    <w:rsid w:val="00B137AE"/>
    <w:rsid w:val="00B14122"/>
    <w:rsid w:val="00B14A66"/>
    <w:rsid w:val="00B14ED6"/>
    <w:rsid w:val="00B16A17"/>
    <w:rsid w:val="00B17768"/>
    <w:rsid w:val="00B17DD7"/>
    <w:rsid w:val="00B20164"/>
    <w:rsid w:val="00B2020E"/>
    <w:rsid w:val="00B20D44"/>
    <w:rsid w:val="00B20EA9"/>
    <w:rsid w:val="00B212B6"/>
    <w:rsid w:val="00B216F4"/>
    <w:rsid w:val="00B2172A"/>
    <w:rsid w:val="00B217A7"/>
    <w:rsid w:val="00B21F15"/>
    <w:rsid w:val="00B21F81"/>
    <w:rsid w:val="00B229D4"/>
    <w:rsid w:val="00B22D48"/>
    <w:rsid w:val="00B23498"/>
    <w:rsid w:val="00B236A0"/>
    <w:rsid w:val="00B24DCA"/>
    <w:rsid w:val="00B24E27"/>
    <w:rsid w:val="00B25016"/>
    <w:rsid w:val="00B2503E"/>
    <w:rsid w:val="00B2646F"/>
    <w:rsid w:val="00B26B46"/>
    <w:rsid w:val="00B26DBC"/>
    <w:rsid w:val="00B30768"/>
    <w:rsid w:val="00B31244"/>
    <w:rsid w:val="00B31819"/>
    <w:rsid w:val="00B3183C"/>
    <w:rsid w:val="00B32071"/>
    <w:rsid w:val="00B3247D"/>
    <w:rsid w:val="00B33044"/>
    <w:rsid w:val="00B33843"/>
    <w:rsid w:val="00B33EF9"/>
    <w:rsid w:val="00B3403B"/>
    <w:rsid w:val="00B34A2B"/>
    <w:rsid w:val="00B34B8F"/>
    <w:rsid w:val="00B34C9D"/>
    <w:rsid w:val="00B34E1F"/>
    <w:rsid w:val="00B3500A"/>
    <w:rsid w:val="00B35416"/>
    <w:rsid w:val="00B355CE"/>
    <w:rsid w:val="00B35659"/>
    <w:rsid w:val="00B35725"/>
    <w:rsid w:val="00B3615F"/>
    <w:rsid w:val="00B36320"/>
    <w:rsid w:val="00B364FF"/>
    <w:rsid w:val="00B36AD0"/>
    <w:rsid w:val="00B36FC3"/>
    <w:rsid w:val="00B37067"/>
    <w:rsid w:val="00B37654"/>
    <w:rsid w:val="00B37A49"/>
    <w:rsid w:val="00B37E66"/>
    <w:rsid w:val="00B4082D"/>
    <w:rsid w:val="00B40C76"/>
    <w:rsid w:val="00B40E5C"/>
    <w:rsid w:val="00B40E7D"/>
    <w:rsid w:val="00B40E95"/>
    <w:rsid w:val="00B41955"/>
    <w:rsid w:val="00B41F73"/>
    <w:rsid w:val="00B42198"/>
    <w:rsid w:val="00B42758"/>
    <w:rsid w:val="00B42971"/>
    <w:rsid w:val="00B42AC8"/>
    <w:rsid w:val="00B42B22"/>
    <w:rsid w:val="00B42C69"/>
    <w:rsid w:val="00B43283"/>
    <w:rsid w:val="00B43D5D"/>
    <w:rsid w:val="00B43EBB"/>
    <w:rsid w:val="00B44A90"/>
    <w:rsid w:val="00B44E64"/>
    <w:rsid w:val="00B45359"/>
    <w:rsid w:val="00B45631"/>
    <w:rsid w:val="00B45888"/>
    <w:rsid w:val="00B45A35"/>
    <w:rsid w:val="00B467B8"/>
    <w:rsid w:val="00B46FC3"/>
    <w:rsid w:val="00B477F6"/>
    <w:rsid w:val="00B47AB3"/>
    <w:rsid w:val="00B501BB"/>
    <w:rsid w:val="00B50848"/>
    <w:rsid w:val="00B50F38"/>
    <w:rsid w:val="00B50F3C"/>
    <w:rsid w:val="00B510D7"/>
    <w:rsid w:val="00B51852"/>
    <w:rsid w:val="00B51CF4"/>
    <w:rsid w:val="00B52138"/>
    <w:rsid w:val="00B53028"/>
    <w:rsid w:val="00B537B8"/>
    <w:rsid w:val="00B55748"/>
    <w:rsid w:val="00B557A9"/>
    <w:rsid w:val="00B55A37"/>
    <w:rsid w:val="00B55F45"/>
    <w:rsid w:val="00B5693A"/>
    <w:rsid w:val="00B56D0D"/>
    <w:rsid w:val="00B56D2D"/>
    <w:rsid w:val="00B56E50"/>
    <w:rsid w:val="00B57EE0"/>
    <w:rsid w:val="00B57F14"/>
    <w:rsid w:val="00B57F1F"/>
    <w:rsid w:val="00B60AD4"/>
    <w:rsid w:val="00B6107D"/>
    <w:rsid w:val="00B61289"/>
    <w:rsid w:val="00B6156A"/>
    <w:rsid w:val="00B6242B"/>
    <w:rsid w:val="00B62767"/>
    <w:rsid w:val="00B62BC3"/>
    <w:rsid w:val="00B62E9C"/>
    <w:rsid w:val="00B631F8"/>
    <w:rsid w:val="00B632C3"/>
    <w:rsid w:val="00B6366A"/>
    <w:rsid w:val="00B636F1"/>
    <w:rsid w:val="00B644A8"/>
    <w:rsid w:val="00B64B6A"/>
    <w:rsid w:val="00B64F39"/>
    <w:rsid w:val="00B64FEA"/>
    <w:rsid w:val="00B65064"/>
    <w:rsid w:val="00B650CE"/>
    <w:rsid w:val="00B657E8"/>
    <w:rsid w:val="00B65C89"/>
    <w:rsid w:val="00B65CEB"/>
    <w:rsid w:val="00B6632E"/>
    <w:rsid w:val="00B66507"/>
    <w:rsid w:val="00B6680A"/>
    <w:rsid w:val="00B668FB"/>
    <w:rsid w:val="00B66C7D"/>
    <w:rsid w:val="00B66E0D"/>
    <w:rsid w:val="00B66EB7"/>
    <w:rsid w:val="00B66FFB"/>
    <w:rsid w:val="00B6703E"/>
    <w:rsid w:val="00B67081"/>
    <w:rsid w:val="00B678A4"/>
    <w:rsid w:val="00B70416"/>
    <w:rsid w:val="00B7061A"/>
    <w:rsid w:val="00B70D6E"/>
    <w:rsid w:val="00B71196"/>
    <w:rsid w:val="00B7142F"/>
    <w:rsid w:val="00B71BF1"/>
    <w:rsid w:val="00B72C1E"/>
    <w:rsid w:val="00B73BDD"/>
    <w:rsid w:val="00B73D43"/>
    <w:rsid w:val="00B73F8E"/>
    <w:rsid w:val="00B74741"/>
    <w:rsid w:val="00B74F10"/>
    <w:rsid w:val="00B74FEB"/>
    <w:rsid w:val="00B75F07"/>
    <w:rsid w:val="00B75F52"/>
    <w:rsid w:val="00B76038"/>
    <w:rsid w:val="00B77727"/>
    <w:rsid w:val="00B7779F"/>
    <w:rsid w:val="00B7786C"/>
    <w:rsid w:val="00B77890"/>
    <w:rsid w:val="00B7791D"/>
    <w:rsid w:val="00B77EE6"/>
    <w:rsid w:val="00B77FDF"/>
    <w:rsid w:val="00B8057D"/>
    <w:rsid w:val="00B80E17"/>
    <w:rsid w:val="00B814BD"/>
    <w:rsid w:val="00B81545"/>
    <w:rsid w:val="00B81FD8"/>
    <w:rsid w:val="00B82159"/>
    <w:rsid w:val="00B82653"/>
    <w:rsid w:val="00B829FF"/>
    <w:rsid w:val="00B83C9E"/>
    <w:rsid w:val="00B83E97"/>
    <w:rsid w:val="00B84317"/>
    <w:rsid w:val="00B8449E"/>
    <w:rsid w:val="00B8480A"/>
    <w:rsid w:val="00B84969"/>
    <w:rsid w:val="00B84A49"/>
    <w:rsid w:val="00B84AE7"/>
    <w:rsid w:val="00B85137"/>
    <w:rsid w:val="00B85169"/>
    <w:rsid w:val="00B85559"/>
    <w:rsid w:val="00B85617"/>
    <w:rsid w:val="00B85F8E"/>
    <w:rsid w:val="00B86371"/>
    <w:rsid w:val="00B8648F"/>
    <w:rsid w:val="00B866DD"/>
    <w:rsid w:val="00B86B40"/>
    <w:rsid w:val="00B875AB"/>
    <w:rsid w:val="00B87AAE"/>
    <w:rsid w:val="00B90B09"/>
    <w:rsid w:val="00B919C3"/>
    <w:rsid w:val="00B92278"/>
    <w:rsid w:val="00B925D0"/>
    <w:rsid w:val="00B9306A"/>
    <w:rsid w:val="00B93157"/>
    <w:rsid w:val="00B94233"/>
    <w:rsid w:val="00B950B2"/>
    <w:rsid w:val="00B9556A"/>
    <w:rsid w:val="00B95A4D"/>
    <w:rsid w:val="00B95E17"/>
    <w:rsid w:val="00B9681A"/>
    <w:rsid w:val="00B974C7"/>
    <w:rsid w:val="00B977FB"/>
    <w:rsid w:val="00BA031B"/>
    <w:rsid w:val="00BA064D"/>
    <w:rsid w:val="00BA0ED4"/>
    <w:rsid w:val="00BA2230"/>
    <w:rsid w:val="00BA241E"/>
    <w:rsid w:val="00BA2BA4"/>
    <w:rsid w:val="00BA3787"/>
    <w:rsid w:val="00BA3A47"/>
    <w:rsid w:val="00BA43C9"/>
    <w:rsid w:val="00BA4C40"/>
    <w:rsid w:val="00BA4F1F"/>
    <w:rsid w:val="00BA5CBD"/>
    <w:rsid w:val="00BA63B1"/>
    <w:rsid w:val="00BA679B"/>
    <w:rsid w:val="00BA7094"/>
    <w:rsid w:val="00BA7544"/>
    <w:rsid w:val="00BA7802"/>
    <w:rsid w:val="00BA78CB"/>
    <w:rsid w:val="00BA7CE6"/>
    <w:rsid w:val="00BA7DC9"/>
    <w:rsid w:val="00BA7F10"/>
    <w:rsid w:val="00BA7F19"/>
    <w:rsid w:val="00BB0289"/>
    <w:rsid w:val="00BB0925"/>
    <w:rsid w:val="00BB0B15"/>
    <w:rsid w:val="00BB0ED1"/>
    <w:rsid w:val="00BB13E2"/>
    <w:rsid w:val="00BB1AE0"/>
    <w:rsid w:val="00BB23EA"/>
    <w:rsid w:val="00BB23ED"/>
    <w:rsid w:val="00BB2404"/>
    <w:rsid w:val="00BB2630"/>
    <w:rsid w:val="00BB3C72"/>
    <w:rsid w:val="00BB5084"/>
    <w:rsid w:val="00BB58A8"/>
    <w:rsid w:val="00BB5E69"/>
    <w:rsid w:val="00BB5F29"/>
    <w:rsid w:val="00BB6523"/>
    <w:rsid w:val="00BB753B"/>
    <w:rsid w:val="00BC00A2"/>
    <w:rsid w:val="00BC0944"/>
    <w:rsid w:val="00BC0A3B"/>
    <w:rsid w:val="00BC0E45"/>
    <w:rsid w:val="00BC20CA"/>
    <w:rsid w:val="00BC33C2"/>
    <w:rsid w:val="00BC3857"/>
    <w:rsid w:val="00BC38C0"/>
    <w:rsid w:val="00BC3EE2"/>
    <w:rsid w:val="00BC4833"/>
    <w:rsid w:val="00BC4887"/>
    <w:rsid w:val="00BC4FD6"/>
    <w:rsid w:val="00BC568F"/>
    <w:rsid w:val="00BC58F5"/>
    <w:rsid w:val="00BC5A64"/>
    <w:rsid w:val="00BC5D82"/>
    <w:rsid w:val="00BC5FCA"/>
    <w:rsid w:val="00BC60D1"/>
    <w:rsid w:val="00BC6563"/>
    <w:rsid w:val="00BC663C"/>
    <w:rsid w:val="00BC6F02"/>
    <w:rsid w:val="00BC753D"/>
    <w:rsid w:val="00BC7557"/>
    <w:rsid w:val="00BC785C"/>
    <w:rsid w:val="00BC7A80"/>
    <w:rsid w:val="00BC7E4E"/>
    <w:rsid w:val="00BD05F6"/>
    <w:rsid w:val="00BD203D"/>
    <w:rsid w:val="00BD2830"/>
    <w:rsid w:val="00BD2E42"/>
    <w:rsid w:val="00BD33B3"/>
    <w:rsid w:val="00BD3A43"/>
    <w:rsid w:val="00BD3DF0"/>
    <w:rsid w:val="00BD4C87"/>
    <w:rsid w:val="00BD4D87"/>
    <w:rsid w:val="00BD4EA6"/>
    <w:rsid w:val="00BD6E20"/>
    <w:rsid w:val="00BD6E9F"/>
    <w:rsid w:val="00BD729A"/>
    <w:rsid w:val="00BD751B"/>
    <w:rsid w:val="00BD7D6F"/>
    <w:rsid w:val="00BD7DF3"/>
    <w:rsid w:val="00BD7ECC"/>
    <w:rsid w:val="00BE04C4"/>
    <w:rsid w:val="00BE0A78"/>
    <w:rsid w:val="00BE0D4E"/>
    <w:rsid w:val="00BE0FA9"/>
    <w:rsid w:val="00BE15C8"/>
    <w:rsid w:val="00BE2477"/>
    <w:rsid w:val="00BE2B56"/>
    <w:rsid w:val="00BE429E"/>
    <w:rsid w:val="00BE45C9"/>
    <w:rsid w:val="00BE463A"/>
    <w:rsid w:val="00BE4BED"/>
    <w:rsid w:val="00BE53BA"/>
    <w:rsid w:val="00BE5682"/>
    <w:rsid w:val="00BE5889"/>
    <w:rsid w:val="00BE5F6C"/>
    <w:rsid w:val="00BE5FD2"/>
    <w:rsid w:val="00BE6915"/>
    <w:rsid w:val="00BE6A88"/>
    <w:rsid w:val="00BE6BDF"/>
    <w:rsid w:val="00BE6D9E"/>
    <w:rsid w:val="00BE76E9"/>
    <w:rsid w:val="00BE7A16"/>
    <w:rsid w:val="00BF05CE"/>
    <w:rsid w:val="00BF0664"/>
    <w:rsid w:val="00BF09C9"/>
    <w:rsid w:val="00BF0C52"/>
    <w:rsid w:val="00BF119F"/>
    <w:rsid w:val="00BF1396"/>
    <w:rsid w:val="00BF1766"/>
    <w:rsid w:val="00BF2D29"/>
    <w:rsid w:val="00BF2EA5"/>
    <w:rsid w:val="00BF313C"/>
    <w:rsid w:val="00BF3166"/>
    <w:rsid w:val="00BF3DFC"/>
    <w:rsid w:val="00BF4412"/>
    <w:rsid w:val="00BF5397"/>
    <w:rsid w:val="00BF56C8"/>
    <w:rsid w:val="00BF5A36"/>
    <w:rsid w:val="00BF6C0A"/>
    <w:rsid w:val="00BF6C17"/>
    <w:rsid w:val="00C0060E"/>
    <w:rsid w:val="00C00A8A"/>
    <w:rsid w:val="00C0122A"/>
    <w:rsid w:val="00C018AB"/>
    <w:rsid w:val="00C018BE"/>
    <w:rsid w:val="00C020C3"/>
    <w:rsid w:val="00C02984"/>
    <w:rsid w:val="00C02AB5"/>
    <w:rsid w:val="00C02BD5"/>
    <w:rsid w:val="00C037D4"/>
    <w:rsid w:val="00C0423D"/>
    <w:rsid w:val="00C04337"/>
    <w:rsid w:val="00C04E68"/>
    <w:rsid w:val="00C05520"/>
    <w:rsid w:val="00C077B1"/>
    <w:rsid w:val="00C079A3"/>
    <w:rsid w:val="00C100FA"/>
    <w:rsid w:val="00C1071A"/>
    <w:rsid w:val="00C10761"/>
    <w:rsid w:val="00C114CC"/>
    <w:rsid w:val="00C11B1F"/>
    <w:rsid w:val="00C11D9B"/>
    <w:rsid w:val="00C12063"/>
    <w:rsid w:val="00C1219D"/>
    <w:rsid w:val="00C122EC"/>
    <w:rsid w:val="00C12B93"/>
    <w:rsid w:val="00C13A1B"/>
    <w:rsid w:val="00C14390"/>
    <w:rsid w:val="00C14863"/>
    <w:rsid w:val="00C14B30"/>
    <w:rsid w:val="00C150B6"/>
    <w:rsid w:val="00C15627"/>
    <w:rsid w:val="00C157A3"/>
    <w:rsid w:val="00C15E48"/>
    <w:rsid w:val="00C176C9"/>
    <w:rsid w:val="00C2032B"/>
    <w:rsid w:val="00C2079F"/>
    <w:rsid w:val="00C20A59"/>
    <w:rsid w:val="00C20C28"/>
    <w:rsid w:val="00C20C75"/>
    <w:rsid w:val="00C20FC9"/>
    <w:rsid w:val="00C21051"/>
    <w:rsid w:val="00C2143B"/>
    <w:rsid w:val="00C216CB"/>
    <w:rsid w:val="00C2222F"/>
    <w:rsid w:val="00C222D9"/>
    <w:rsid w:val="00C22457"/>
    <w:rsid w:val="00C22CA6"/>
    <w:rsid w:val="00C23066"/>
    <w:rsid w:val="00C24948"/>
    <w:rsid w:val="00C24A0A"/>
    <w:rsid w:val="00C24D6A"/>
    <w:rsid w:val="00C2509B"/>
    <w:rsid w:val="00C25867"/>
    <w:rsid w:val="00C26204"/>
    <w:rsid w:val="00C2658B"/>
    <w:rsid w:val="00C265AA"/>
    <w:rsid w:val="00C265DD"/>
    <w:rsid w:val="00C26C76"/>
    <w:rsid w:val="00C27137"/>
    <w:rsid w:val="00C275A6"/>
    <w:rsid w:val="00C27A62"/>
    <w:rsid w:val="00C27D90"/>
    <w:rsid w:val="00C27E7F"/>
    <w:rsid w:val="00C30027"/>
    <w:rsid w:val="00C30213"/>
    <w:rsid w:val="00C3051E"/>
    <w:rsid w:val="00C30ED1"/>
    <w:rsid w:val="00C313FE"/>
    <w:rsid w:val="00C3141B"/>
    <w:rsid w:val="00C31E2F"/>
    <w:rsid w:val="00C328E0"/>
    <w:rsid w:val="00C33296"/>
    <w:rsid w:val="00C33518"/>
    <w:rsid w:val="00C336D9"/>
    <w:rsid w:val="00C33960"/>
    <w:rsid w:val="00C34F06"/>
    <w:rsid w:val="00C35099"/>
    <w:rsid w:val="00C3522D"/>
    <w:rsid w:val="00C356C0"/>
    <w:rsid w:val="00C35A6B"/>
    <w:rsid w:val="00C35AA9"/>
    <w:rsid w:val="00C369F7"/>
    <w:rsid w:val="00C36C50"/>
    <w:rsid w:val="00C40BB2"/>
    <w:rsid w:val="00C41399"/>
    <w:rsid w:val="00C41600"/>
    <w:rsid w:val="00C41664"/>
    <w:rsid w:val="00C41CB6"/>
    <w:rsid w:val="00C4209D"/>
    <w:rsid w:val="00C42AE6"/>
    <w:rsid w:val="00C42D47"/>
    <w:rsid w:val="00C43200"/>
    <w:rsid w:val="00C438CC"/>
    <w:rsid w:val="00C43B54"/>
    <w:rsid w:val="00C44791"/>
    <w:rsid w:val="00C44F11"/>
    <w:rsid w:val="00C4515B"/>
    <w:rsid w:val="00C4608C"/>
    <w:rsid w:val="00C461B6"/>
    <w:rsid w:val="00C466CF"/>
    <w:rsid w:val="00C46A95"/>
    <w:rsid w:val="00C46A99"/>
    <w:rsid w:val="00C47314"/>
    <w:rsid w:val="00C4761F"/>
    <w:rsid w:val="00C502DA"/>
    <w:rsid w:val="00C5060B"/>
    <w:rsid w:val="00C5071E"/>
    <w:rsid w:val="00C517EE"/>
    <w:rsid w:val="00C51875"/>
    <w:rsid w:val="00C5199D"/>
    <w:rsid w:val="00C51C62"/>
    <w:rsid w:val="00C5209B"/>
    <w:rsid w:val="00C520F6"/>
    <w:rsid w:val="00C53652"/>
    <w:rsid w:val="00C536C0"/>
    <w:rsid w:val="00C539EE"/>
    <w:rsid w:val="00C5421A"/>
    <w:rsid w:val="00C5466C"/>
    <w:rsid w:val="00C54912"/>
    <w:rsid w:val="00C54B68"/>
    <w:rsid w:val="00C54B87"/>
    <w:rsid w:val="00C54D0D"/>
    <w:rsid w:val="00C55116"/>
    <w:rsid w:val="00C556E7"/>
    <w:rsid w:val="00C55D8C"/>
    <w:rsid w:val="00C56EAC"/>
    <w:rsid w:val="00C57619"/>
    <w:rsid w:val="00C5783A"/>
    <w:rsid w:val="00C57FB5"/>
    <w:rsid w:val="00C60A55"/>
    <w:rsid w:val="00C60BDD"/>
    <w:rsid w:val="00C62002"/>
    <w:rsid w:val="00C621B6"/>
    <w:rsid w:val="00C62777"/>
    <w:rsid w:val="00C62A65"/>
    <w:rsid w:val="00C62B41"/>
    <w:rsid w:val="00C62E31"/>
    <w:rsid w:val="00C62F12"/>
    <w:rsid w:val="00C6329B"/>
    <w:rsid w:val="00C63C39"/>
    <w:rsid w:val="00C640D7"/>
    <w:rsid w:val="00C64207"/>
    <w:rsid w:val="00C6472C"/>
    <w:rsid w:val="00C64967"/>
    <w:rsid w:val="00C649E4"/>
    <w:rsid w:val="00C64BE3"/>
    <w:rsid w:val="00C64D7B"/>
    <w:rsid w:val="00C64EC3"/>
    <w:rsid w:val="00C651D1"/>
    <w:rsid w:val="00C65334"/>
    <w:rsid w:val="00C655F2"/>
    <w:rsid w:val="00C65B19"/>
    <w:rsid w:val="00C65C13"/>
    <w:rsid w:val="00C65DFA"/>
    <w:rsid w:val="00C6601B"/>
    <w:rsid w:val="00C666E5"/>
    <w:rsid w:val="00C668C2"/>
    <w:rsid w:val="00C66DE5"/>
    <w:rsid w:val="00C673FC"/>
    <w:rsid w:val="00C6743A"/>
    <w:rsid w:val="00C678EE"/>
    <w:rsid w:val="00C704BC"/>
    <w:rsid w:val="00C7069E"/>
    <w:rsid w:val="00C713A9"/>
    <w:rsid w:val="00C71C00"/>
    <w:rsid w:val="00C721FA"/>
    <w:rsid w:val="00C73538"/>
    <w:rsid w:val="00C73564"/>
    <w:rsid w:val="00C73FF2"/>
    <w:rsid w:val="00C743A1"/>
    <w:rsid w:val="00C7498C"/>
    <w:rsid w:val="00C74FF8"/>
    <w:rsid w:val="00C754B6"/>
    <w:rsid w:val="00C75537"/>
    <w:rsid w:val="00C758F8"/>
    <w:rsid w:val="00C76BC7"/>
    <w:rsid w:val="00C80218"/>
    <w:rsid w:val="00C80816"/>
    <w:rsid w:val="00C81028"/>
    <w:rsid w:val="00C81356"/>
    <w:rsid w:val="00C8141D"/>
    <w:rsid w:val="00C816E3"/>
    <w:rsid w:val="00C81A0F"/>
    <w:rsid w:val="00C82593"/>
    <w:rsid w:val="00C82ACD"/>
    <w:rsid w:val="00C82F7A"/>
    <w:rsid w:val="00C839ED"/>
    <w:rsid w:val="00C84073"/>
    <w:rsid w:val="00C841D5"/>
    <w:rsid w:val="00C842EC"/>
    <w:rsid w:val="00C84A40"/>
    <w:rsid w:val="00C84C9F"/>
    <w:rsid w:val="00C84D33"/>
    <w:rsid w:val="00C851DC"/>
    <w:rsid w:val="00C855A0"/>
    <w:rsid w:val="00C85735"/>
    <w:rsid w:val="00C85E04"/>
    <w:rsid w:val="00C85ECD"/>
    <w:rsid w:val="00C8623C"/>
    <w:rsid w:val="00C863D1"/>
    <w:rsid w:val="00C86CB7"/>
    <w:rsid w:val="00C872F2"/>
    <w:rsid w:val="00C87437"/>
    <w:rsid w:val="00C8794B"/>
    <w:rsid w:val="00C87B14"/>
    <w:rsid w:val="00C87E83"/>
    <w:rsid w:val="00C9067D"/>
    <w:rsid w:val="00C90DD3"/>
    <w:rsid w:val="00C90EDB"/>
    <w:rsid w:val="00C91D33"/>
    <w:rsid w:val="00C91FC7"/>
    <w:rsid w:val="00C924E6"/>
    <w:rsid w:val="00C92BCB"/>
    <w:rsid w:val="00C92D84"/>
    <w:rsid w:val="00C9300A"/>
    <w:rsid w:val="00C93213"/>
    <w:rsid w:val="00C9356D"/>
    <w:rsid w:val="00C9366F"/>
    <w:rsid w:val="00C93798"/>
    <w:rsid w:val="00C93B4E"/>
    <w:rsid w:val="00C93D1C"/>
    <w:rsid w:val="00C947E7"/>
    <w:rsid w:val="00C95043"/>
    <w:rsid w:val="00C95DF7"/>
    <w:rsid w:val="00C964BD"/>
    <w:rsid w:val="00C96BEB"/>
    <w:rsid w:val="00C97A18"/>
    <w:rsid w:val="00CA079F"/>
    <w:rsid w:val="00CA0A1D"/>
    <w:rsid w:val="00CA0B64"/>
    <w:rsid w:val="00CA213E"/>
    <w:rsid w:val="00CA30DF"/>
    <w:rsid w:val="00CA30F0"/>
    <w:rsid w:val="00CA4071"/>
    <w:rsid w:val="00CA42EB"/>
    <w:rsid w:val="00CA44FD"/>
    <w:rsid w:val="00CA46BE"/>
    <w:rsid w:val="00CA47DE"/>
    <w:rsid w:val="00CA4FFB"/>
    <w:rsid w:val="00CA560B"/>
    <w:rsid w:val="00CA6310"/>
    <w:rsid w:val="00CA64D1"/>
    <w:rsid w:val="00CA69A3"/>
    <w:rsid w:val="00CA6D4D"/>
    <w:rsid w:val="00CA701D"/>
    <w:rsid w:val="00CA73F7"/>
    <w:rsid w:val="00CA7891"/>
    <w:rsid w:val="00CA789C"/>
    <w:rsid w:val="00CA7B8D"/>
    <w:rsid w:val="00CB0592"/>
    <w:rsid w:val="00CB06EE"/>
    <w:rsid w:val="00CB0BEC"/>
    <w:rsid w:val="00CB11C5"/>
    <w:rsid w:val="00CB158B"/>
    <w:rsid w:val="00CB2528"/>
    <w:rsid w:val="00CB2A88"/>
    <w:rsid w:val="00CB2DA5"/>
    <w:rsid w:val="00CB2FA0"/>
    <w:rsid w:val="00CB31D4"/>
    <w:rsid w:val="00CB3283"/>
    <w:rsid w:val="00CB373F"/>
    <w:rsid w:val="00CB3FF1"/>
    <w:rsid w:val="00CB4B7E"/>
    <w:rsid w:val="00CB524C"/>
    <w:rsid w:val="00CB5314"/>
    <w:rsid w:val="00CB543C"/>
    <w:rsid w:val="00CB5700"/>
    <w:rsid w:val="00CB62FA"/>
    <w:rsid w:val="00CB64CE"/>
    <w:rsid w:val="00CB6763"/>
    <w:rsid w:val="00CB68AA"/>
    <w:rsid w:val="00CB6CC5"/>
    <w:rsid w:val="00CB6F33"/>
    <w:rsid w:val="00CB7DD0"/>
    <w:rsid w:val="00CB7F17"/>
    <w:rsid w:val="00CC047E"/>
    <w:rsid w:val="00CC056C"/>
    <w:rsid w:val="00CC100F"/>
    <w:rsid w:val="00CC112D"/>
    <w:rsid w:val="00CC1595"/>
    <w:rsid w:val="00CC1AFF"/>
    <w:rsid w:val="00CC3DB1"/>
    <w:rsid w:val="00CC4167"/>
    <w:rsid w:val="00CC4203"/>
    <w:rsid w:val="00CC432F"/>
    <w:rsid w:val="00CC54F9"/>
    <w:rsid w:val="00CC5AD5"/>
    <w:rsid w:val="00CC6372"/>
    <w:rsid w:val="00CC71C8"/>
    <w:rsid w:val="00CC7226"/>
    <w:rsid w:val="00CC7963"/>
    <w:rsid w:val="00CD0796"/>
    <w:rsid w:val="00CD0D5D"/>
    <w:rsid w:val="00CD0E2B"/>
    <w:rsid w:val="00CD117B"/>
    <w:rsid w:val="00CD1401"/>
    <w:rsid w:val="00CD23A4"/>
    <w:rsid w:val="00CD2757"/>
    <w:rsid w:val="00CD2CAD"/>
    <w:rsid w:val="00CD2CC1"/>
    <w:rsid w:val="00CD4142"/>
    <w:rsid w:val="00CD4211"/>
    <w:rsid w:val="00CD4C00"/>
    <w:rsid w:val="00CD4DA6"/>
    <w:rsid w:val="00CD51D7"/>
    <w:rsid w:val="00CD5369"/>
    <w:rsid w:val="00CD558D"/>
    <w:rsid w:val="00CD5874"/>
    <w:rsid w:val="00CD5982"/>
    <w:rsid w:val="00CD5D2B"/>
    <w:rsid w:val="00CD6FAE"/>
    <w:rsid w:val="00CD705C"/>
    <w:rsid w:val="00CE0CD5"/>
    <w:rsid w:val="00CE1029"/>
    <w:rsid w:val="00CE1514"/>
    <w:rsid w:val="00CE1869"/>
    <w:rsid w:val="00CE19F3"/>
    <w:rsid w:val="00CE20DF"/>
    <w:rsid w:val="00CE24A2"/>
    <w:rsid w:val="00CE2581"/>
    <w:rsid w:val="00CE2ABF"/>
    <w:rsid w:val="00CE334F"/>
    <w:rsid w:val="00CE39B0"/>
    <w:rsid w:val="00CE3B8E"/>
    <w:rsid w:val="00CE3FF9"/>
    <w:rsid w:val="00CE43AA"/>
    <w:rsid w:val="00CE4A65"/>
    <w:rsid w:val="00CE5722"/>
    <w:rsid w:val="00CE5C30"/>
    <w:rsid w:val="00CE61F5"/>
    <w:rsid w:val="00CE6ADF"/>
    <w:rsid w:val="00CE6B10"/>
    <w:rsid w:val="00CE6D23"/>
    <w:rsid w:val="00CE7126"/>
    <w:rsid w:val="00CE73E1"/>
    <w:rsid w:val="00CE77ED"/>
    <w:rsid w:val="00CE7B24"/>
    <w:rsid w:val="00CE7C36"/>
    <w:rsid w:val="00CE7E7C"/>
    <w:rsid w:val="00CE7EAC"/>
    <w:rsid w:val="00CF00EF"/>
    <w:rsid w:val="00CF05D9"/>
    <w:rsid w:val="00CF0A50"/>
    <w:rsid w:val="00CF10C0"/>
    <w:rsid w:val="00CF11F7"/>
    <w:rsid w:val="00CF1A2A"/>
    <w:rsid w:val="00CF28D4"/>
    <w:rsid w:val="00CF2D35"/>
    <w:rsid w:val="00CF2DB6"/>
    <w:rsid w:val="00CF31B7"/>
    <w:rsid w:val="00CF3231"/>
    <w:rsid w:val="00CF3B99"/>
    <w:rsid w:val="00CF3F3D"/>
    <w:rsid w:val="00CF40BC"/>
    <w:rsid w:val="00CF4198"/>
    <w:rsid w:val="00CF4216"/>
    <w:rsid w:val="00CF526A"/>
    <w:rsid w:val="00CF5BCC"/>
    <w:rsid w:val="00CF607D"/>
    <w:rsid w:val="00CF6BCE"/>
    <w:rsid w:val="00CF6D38"/>
    <w:rsid w:val="00D0008F"/>
    <w:rsid w:val="00D00482"/>
    <w:rsid w:val="00D0167F"/>
    <w:rsid w:val="00D01BBF"/>
    <w:rsid w:val="00D02176"/>
    <w:rsid w:val="00D0287D"/>
    <w:rsid w:val="00D02A98"/>
    <w:rsid w:val="00D033D4"/>
    <w:rsid w:val="00D033D5"/>
    <w:rsid w:val="00D04DFE"/>
    <w:rsid w:val="00D05E25"/>
    <w:rsid w:val="00D0627E"/>
    <w:rsid w:val="00D06340"/>
    <w:rsid w:val="00D076E1"/>
    <w:rsid w:val="00D07D46"/>
    <w:rsid w:val="00D101B3"/>
    <w:rsid w:val="00D10258"/>
    <w:rsid w:val="00D10CB2"/>
    <w:rsid w:val="00D111D6"/>
    <w:rsid w:val="00D11556"/>
    <w:rsid w:val="00D116AF"/>
    <w:rsid w:val="00D128B7"/>
    <w:rsid w:val="00D129C2"/>
    <w:rsid w:val="00D12EB0"/>
    <w:rsid w:val="00D13093"/>
    <w:rsid w:val="00D13E7F"/>
    <w:rsid w:val="00D14386"/>
    <w:rsid w:val="00D149A9"/>
    <w:rsid w:val="00D14A73"/>
    <w:rsid w:val="00D14CBA"/>
    <w:rsid w:val="00D14CD5"/>
    <w:rsid w:val="00D15081"/>
    <w:rsid w:val="00D15671"/>
    <w:rsid w:val="00D15B5E"/>
    <w:rsid w:val="00D16AA0"/>
    <w:rsid w:val="00D17B3F"/>
    <w:rsid w:val="00D20CF1"/>
    <w:rsid w:val="00D21135"/>
    <w:rsid w:val="00D21ED4"/>
    <w:rsid w:val="00D226AA"/>
    <w:rsid w:val="00D22C16"/>
    <w:rsid w:val="00D23478"/>
    <w:rsid w:val="00D24641"/>
    <w:rsid w:val="00D249E6"/>
    <w:rsid w:val="00D24E60"/>
    <w:rsid w:val="00D250E9"/>
    <w:rsid w:val="00D2520F"/>
    <w:rsid w:val="00D25C90"/>
    <w:rsid w:val="00D25FF1"/>
    <w:rsid w:val="00D2648A"/>
    <w:rsid w:val="00D265CA"/>
    <w:rsid w:val="00D2689F"/>
    <w:rsid w:val="00D26A12"/>
    <w:rsid w:val="00D27353"/>
    <w:rsid w:val="00D275B4"/>
    <w:rsid w:val="00D27826"/>
    <w:rsid w:val="00D278CF"/>
    <w:rsid w:val="00D27C08"/>
    <w:rsid w:val="00D27D33"/>
    <w:rsid w:val="00D3000F"/>
    <w:rsid w:val="00D3059B"/>
    <w:rsid w:val="00D30ADE"/>
    <w:rsid w:val="00D310CB"/>
    <w:rsid w:val="00D311F5"/>
    <w:rsid w:val="00D31598"/>
    <w:rsid w:val="00D31929"/>
    <w:rsid w:val="00D31C4C"/>
    <w:rsid w:val="00D31ED1"/>
    <w:rsid w:val="00D3210D"/>
    <w:rsid w:val="00D327FA"/>
    <w:rsid w:val="00D3295D"/>
    <w:rsid w:val="00D32A26"/>
    <w:rsid w:val="00D32E6F"/>
    <w:rsid w:val="00D32FFD"/>
    <w:rsid w:val="00D3315A"/>
    <w:rsid w:val="00D332BB"/>
    <w:rsid w:val="00D33714"/>
    <w:rsid w:val="00D33F9E"/>
    <w:rsid w:val="00D340C9"/>
    <w:rsid w:val="00D34883"/>
    <w:rsid w:val="00D35C2E"/>
    <w:rsid w:val="00D36E0C"/>
    <w:rsid w:val="00D36EE2"/>
    <w:rsid w:val="00D372CB"/>
    <w:rsid w:val="00D379B9"/>
    <w:rsid w:val="00D37F55"/>
    <w:rsid w:val="00D41CA9"/>
    <w:rsid w:val="00D424E7"/>
    <w:rsid w:val="00D42537"/>
    <w:rsid w:val="00D42687"/>
    <w:rsid w:val="00D42780"/>
    <w:rsid w:val="00D429EE"/>
    <w:rsid w:val="00D42E06"/>
    <w:rsid w:val="00D42F81"/>
    <w:rsid w:val="00D43536"/>
    <w:rsid w:val="00D435B5"/>
    <w:rsid w:val="00D44269"/>
    <w:rsid w:val="00D449DB"/>
    <w:rsid w:val="00D44ECA"/>
    <w:rsid w:val="00D460F0"/>
    <w:rsid w:val="00D46118"/>
    <w:rsid w:val="00D4653F"/>
    <w:rsid w:val="00D46A12"/>
    <w:rsid w:val="00D46C15"/>
    <w:rsid w:val="00D46DE8"/>
    <w:rsid w:val="00D46FFF"/>
    <w:rsid w:val="00D47200"/>
    <w:rsid w:val="00D47983"/>
    <w:rsid w:val="00D47F80"/>
    <w:rsid w:val="00D50051"/>
    <w:rsid w:val="00D5114D"/>
    <w:rsid w:val="00D514CF"/>
    <w:rsid w:val="00D521B4"/>
    <w:rsid w:val="00D52E73"/>
    <w:rsid w:val="00D5311F"/>
    <w:rsid w:val="00D53699"/>
    <w:rsid w:val="00D537F2"/>
    <w:rsid w:val="00D5399E"/>
    <w:rsid w:val="00D5474F"/>
    <w:rsid w:val="00D548D3"/>
    <w:rsid w:val="00D55092"/>
    <w:rsid w:val="00D552ED"/>
    <w:rsid w:val="00D5583D"/>
    <w:rsid w:val="00D56170"/>
    <w:rsid w:val="00D56CEF"/>
    <w:rsid w:val="00D56F77"/>
    <w:rsid w:val="00D57337"/>
    <w:rsid w:val="00D57537"/>
    <w:rsid w:val="00D576C2"/>
    <w:rsid w:val="00D578AE"/>
    <w:rsid w:val="00D57A44"/>
    <w:rsid w:val="00D57E24"/>
    <w:rsid w:val="00D60042"/>
    <w:rsid w:val="00D60E1B"/>
    <w:rsid w:val="00D60F24"/>
    <w:rsid w:val="00D61180"/>
    <w:rsid w:val="00D62160"/>
    <w:rsid w:val="00D62AD1"/>
    <w:rsid w:val="00D636C1"/>
    <w:rsid w:val="00D63B8A"/>
    <w:rsid w:val="00D63CCD"/>
    <w:rsid w:val="00D6414A"/>
    <w:rsid w:val="00D64646"/>
    <w:rsid w:val="00D64705"/>
    <w:rsid w:val="00D6472C"/>
    <w:rsid w:val="00D64830"/>
    <w:rsid w:val="00D64965"/>
    <w:rsid w:val="00D658FA"/>
    <w:rsid w:val="00D65CFF"/>
    <w:rsid w:val="00D6610C"/>
    <w:rsid w:val="00D662FD"/>
    <w:rsid w:val="00D66C97"/>
    <w:rsid w:val="00D6709D"/>
    <w:rsid w:val="00D670B3"/>
    <w:rsid w:val="00D674A8"/>
    <w:rsid w:val="00D7045E"/>
    <w:rsid w:val="00D708D2"/>
    <w:rsid w:val="00D7101D"/>
    <w:rsid w:val="00D7114C"/>
    <w:rsid w:val="00D7135F"/>
    <w:rsid w:val="00D71C85"/>
    <w:rsid w:val="00D71DBC"/>
    <w:rsid w:val="00D724D7"/>
    <w:rsid w:val="00D72E78"/>
    <w:rsid w:val="00D73452"/>
    <w:rsid w:val="00D73B61"/>
    <w:rsid w:val="00D73C73"/>
    <w:rsid w:val="00D73D53"/>
    <w:rsid w:val="00D74057"/>
    <w:rsid w:val="00D74C1B"/>
    <w:rsid w:val="00D74E2C"/>
    <w:rsid w:val="00D74E47"/>
    <w:rsid w:val="00D753EA"/>
    <w:rsid w:val="00D758D1"/>
    <w:rsid w:val="00D761E5"/>
    <w:rsid w:val="00D768E8"/>
    <w:rsid w:val="00D76C32"/>
    <w:rsid w:val="00D76E6E"/>
    <w:rsid w:val="00D773C3"/>
    <w:rsid w:val="00D77983"/>
    <w:rsid w:val="00D77F9F"/>
    <w:rsid w:val="00D8019A"/>
    <w:rsid w:val="00D80362"/>
    <w:rsid w:val="00D803B6"/>
    <w:rsid w:val="00D804B6"/>
    <w:rsid w:val="00D8070D"/>
    <w:rsid w:val="00D81101"/>
    <w:rsid w:val="00D8221C"/>
    <w:rsid w:val="00D83074"/>
    <w:rsid w:val="00D832C9"/>
    <w:rsid w:val="00D83F48"/>
    <w:rsid w:val="00D858FE"/>
    <w:rsid w:val="00D863C4"/>
    <w:rsid w:val="00D86AF7"/>
    <w:rsid w:val="00D86CB7"/>
    <w:rsid w:val="00D86E45"/>
    <w:rsid w:val="00D87431"/>
    <w:rsid w:val="00D877A2"/>
    <w:rsid w:val="00D90068"/>
    <w:rsid w:val="00D9006C"/>
    <w:rsid w:val="00D9047B"/>
    <w:rsid w:val="00D90773"/>
    <w:rsid w:val="00D908EF"/>
    <w:rsid w:val="00D90A5B"/>
    <w:rsid w:val="00D90E6A"/>
    <w:rsid w:val="00D91B7D"/>
    <w:rsid w:val="00D92015"/>
    <w:rsid w:val="00D9223E"/>
    <w:rsid w:val="00D92530"/>
    <w:rsid w:val="00D92B38"/>
    <w:rsid w:val="00D933A8"/>
    <w:rsid w:val="00D93581"/>
    <w:rsid w:val="00D93863"/>
    <w:rsid w:val="00D93C4E"/>
    <w:rsid w:val="00D94557"/>
    <w:rsid w:val="00D945A2"/>
    <w:rsid w:val="00D94BCA"/>
    <w:rsid w:val="00D95979"/>
    <w:rsid w:val="00D95BCA"/>
    <w:rsid w:val="00D960DC"/>
    <w:rsid w:val="00D96A09"/>
    <w:rsid w:val="00D96D39"/>
    <w:rsid w:val="00D97456"/>
    <w:rsid w:val="00DA000F"/>
    <w:rsid w:val="00DA0175"/>
    <w:rsid w:val="00DA0B70"/>
    <w:rsid w:val="00DA17DE"/>
    <w:rsid w:val="00DA1ABE"/>
    <w:rsid w:val="00DA1D5C"/>
    <w:rsid w:val="00DA2008"/>
    <w:rsid w:val="00DA22A9"/>
    <w:rsid w:val="00DA2601"/>
    <w:rsid w:val="00DA2B43"/>
    <w:rsid w:val="00DA3106"/>
    <w:rsid w:val="00DA3A51"/>
    <w:rsid w:val="00DA3A85"/>
    <w:rsid w:val="00DA3B1C"/>
    <w:rsid w:val="00DA3CD4"/>
    <w:rsid w:val="00DA40A8"/>
    <w:rsid w:val="00DA42F2"/>
    <w:rsid w:val="00DA4301"/>
    <w:rsid w:val="00DA46B9"/>
    <w:rsid w:val="00DA59E8"/>
    <w:rsid w:val="00DA5C67"/>
    <w:rsid w:val="00DA6000"/>
    <w:rsid w:val="00DA601C"/>
    <w:rsid w:val="00DA622B"/>
    <w:rsid w:val="00DA65BF"/>
    <w:rsid w:val="00DA663C"/>
    <w:rsid w:val="00DA666D"/>
    <w:rsid w:val="00DA78A2"/>
    <w:rsid w:val="00DA7EA1"/>
    <w:rsid w:val="00DB090B"/>
    <w:rsid w:val="00DB0A1C"/>
    <w:rsid w:val="00DB0C66"/>
    <w:rsid w:val="00DB0D7F"/>
    <w:rsid w:val="00DB0EF3"/>
    <w:rsid w:val="00DB0F9C"/>
    <w:rsid w:val="00DB155E"/>
    <w:rsid w:val="00DB22EA"/>
    <w:rsid w:val="00DB2330"/>
    <w:rsid w:val="00DB2DDF"/>
    <w:rsid w:val="00DB30D0"/>
    <w:rsid w:val="00DB3DD4"/>
    <w:rsid w:val="00DB410D"/>
    <w:rsid w:val="00DB4DCA"/>
    <w:rsid w:val="00DB4FD0"/>
    <w:rsid w:val="00DB5375"/>
    <w:rsid w:val="00DB5467"/>
    <w:rsid w:val="00DB560B"/>
    <w:rsid w:val="00DB6E21"/>
    <w:rsid w:val="00DB7163"/>
    <w:rsid w:val="00DB71E9"/>
    <w:rsid w:val="00DB7325"/>
    <w:rsid w:val="00DB7F51"/>
    <w:rsid w:val="00DC0383"/>
    <w:rsid w:val="00DC1ACE"/>
    <w:rsid w:val="00DC1ADF"/>
    <w:rsid w:val="00DC2887"/>
    <w:rsid w:val="00DC2E5E"/>
    <w:rsid w:val="00DC40D0"/>
    <w:rsid w:val="00DC4559"/>
    <w:rsid w:val="00DC4673"/>
    <w:rsid w:val="00DC58EA"/>
    <w:rsid w:val="00DC5BA7"/>
    <w:rsid w:val="00DC5EE9"/>
    <w:rsid w:val="00DC674B"/>
    <w:rsid w:val="00DC6A5E"/>
    <w:rsid w:val="00DC6BC8"/>
    <w:rsid w:val="00DC7553"/>
    <w:rsid w:val="00DD02C7"/>
    <w:rsid w:val="00DD037D"/>
    <w:rsid w:val="00DD0CAF"/>
    <w:rsid w:val="00DD0F95"/>
    <w:rsid w:val="00DD1D92"/>
    <w:rsid w:val="00DD1EF7"/>
    <w:rsid w:val="00DD249A"/>
    <w:rsid w:val="00DD30BC"/>
    <w:rsid w:val="00DD3421"/>
    <w:rsid w:val="00DD3442"/>
    <w:rsid w:val="00DD3B6E"/>
    <w:rsid w:val="00DD3EAB"/>
    <w:rsid w:val="00DD4201"/>
    <w:rsid w:val="00DD444F"/>
    <w:rsid w:val="00DD4C2A"/>
    <w:rsid w:val="00DD56AC"/>
    <w:rsid w:val="00DD6038"/>
    <w:rsid w:val="00DD654A"/>
    <w:rsid w:val="00DD6FA6"/>
    <w:rsid w:val="00DD7C20"/>
    <w:rsid w:val="00DE01D0"/>
    <w:rsid w:val="00DE102B"/>
    <w:rsid w:val="00DE17AF"/>
    <w:rsid w:val="00DE1C01"/>
    <w:rsid w:val="00DE23CA"/>
    <w:rsid w:val="00DE354F"/>
    <w:rsid w:val="00DE358F"/>
    <w:rsid w:val="00DE3605"/>
    <w:rsid w:val="00DE383F"/>
    <w:rsid w:val="00DE386B"/>
    <w:rsid w:val="00DE3893"/>
    <w:rsid w:val="00DE43BD"/>
    <w:rsid w:val="00DE4438"/>
    <w:rsid w:val="00DE4584"/>
    <w:rsid w:val="00DE4A18"/>
    <w:rsid w:val="00DE4CA3"/>
    <w:rsid w:val="00DE4D04"/>
    <w:rsid w:val="00DE4D77"/>
    <w:rsid w:val="00DE4FA8"/>
    <w:rsid w:val="00DE5033"/>
    <w:rsid w:val="00DE56CF"/>
    <w:rsid w:val="00DE5AB0"/>
    <w:rsid w:val="00DE5E4B"/>
    <w:rsid w:val="00DE6145"/>
    <w:rsid w:val="00DE61C1"/>
    <w:rsid w:val="00DE62A8"/>
    <w:rsid w:val="00DE6D8F"/>
    <w:rsid w:val="00DE7F4B"/>
    <w:rsid w:val="00DF1094"/>
    <w:rsid w:val="00DF14AC"/>
    <w:rsid w:val="00DF14C9"/>
    <w:rsid w:val="00DF15C4"/>
    <w:rsid w:val="00DF2384"/>
    <w:rsid w:val="00DF26B8"/>
    <w:rsid w:val="00DF278D"/>
    <w:rsid w:val="00DF2D13"/>
    <w:rsid w:val="00DF2DD3"/>
    <w:rsid w:val="00DF3694"/>
    <w:rsid w:val="00DF3EEA"/>
    <w:rsid w:val="00DF43A2"/>
    <w:rsid w:val="00DF566B"/>
    <w:rsid w:val="00DF57CD"/>
    <w:rsid w:val="00DF5D09"/>
    <w:rsid w:val="00DF658D"/>
    <w:rsid w:val="00DF692D"/>
    <w:rsid w:val="00DF6DA6"/>
    <w:rsid w:val="00E00535"/>
    <w:rsid w:val="00E01450"/>
    <w:rsid w:val="00E01825"/>
    <w:rsid w:val="00E02DED"/>
    <w:rsid w:val="00E02ECD"/>
    <w:rsid w:val="00E030CD"/>
    <w:rsid w:val="00E0351F"/>
    <w:rsid w:val="00E03884"/>
    <w:rsid w:val="00E03A1D"/>
    <w:rsid w:val="00E04F0D"/>
    <w:rsid w:val="00E04F71"/>
    <w:rsid w:val="00E057C6"/>
    <w:rsid w:val="00E05BEB"/>
    <w:rsid w:val="00E0620D"/>
    <w:rsid w:val="00E064BF"/>
    <w:rsid w:val="00E06561"/>
    <w:rsid w:val="00E105B8"/>
    <w:rsid w:val="00E10736"/>
    <w:rsid w:val="00E11074"/>
    <w:rsid w:val="00E11131"/>
    <w:rsid w:val="00E11748"/>
    <w:rsid w:val="00E119F4"/>
    <w:rsid w:val="00E11BD7"/>
    <w:rsid w:val="00E12012"/>
    <w:rsid w:val="00E1255F"/>
    <w:rsid w:val="00E13282"/>
    <w:rsid w:val="00E13B59"/>
    <w:rsid w:val="00E13FDE"/>
    <w:rsid w:val="00E1462B"/>
    <w:rsid w:val="00E147BC"/>
    <w:rsid w:val="00E14EA4"/>
    <w:rsid w:val="00E150AB"/>
    <w:rsid w:val="00E15F6E"/>
    <w:rsid w:val="00E16975"/>
    <w:rsid w:val="00E16A03"/>
    <w:rsid w:val="00E17332"/>
    <w:rsid w:val="00E175A4"/>
    <w:rsid w:val="00E177DF"/>
    <w:rsid w:val="00E203ED"/>
    <w:rsid w:val="00E208F7"/>
    <w:rsid w:val="00E215C5"/>
    <w:rsid w:val="00E2165A"/>
    <w:rsid w:val="00E21885"/>
    <w:rsid w:val="00E225BD"/>
    <w:rsid w:val="00E22972"/>
    <w:rsid w:val="00E22CE6"/>
    <w:rsid w:val="00E23A32"/>
    <w:rsid w:val="00E2456F"/>
    <w:rsid w:val="00E24720"/>
    <w:rsid w:val="00E260D3"/>
    <w:rsid w:val="00E26967"/>
    <w:rsid w:val="00E2747A"/>
    <w:rsid w:val="00E274F9"/>
    <w:rsid w:val="00E27B4B"/>
    <w:rsid w:val="00E27B4F"/>
    <w:rsid w:val="00E27C43"/>
    <w:rsid w:val="00E27E86"/>
    <w:rsid w:val="00E3004D"/>
    <w:rsid w:val="00E307F1"/>
    <w:rsid w:val="00E309AF"/>
    <w:rsid w:val="00E30B38"/>
    <w:rsid w:val="00E33308"/>
    <w:rsid w:val="00E3385A"/>
    <w:rsid w:val="00E33ABE"/>
    <w:rsid w:val="00E340AD"/>
    <w:rsid w:val="00E349BD"/>
    <w:rsid w:val="00E35BCC"/>
    <w:rsid w:val="00E35D3F"/>
    <w:rsid w:val="00E35D7D"/>
    <w:rsid w:val="00E36D55"/>
    <w:rsid w:val="00E37D48"/>
    <w:rsid w:val="00E37E92"/>
    <w:rsid w:val="00E40172"/>
    <w:rsid w:val="00E40867"/>
    <w:rsid w:val="00E415DB"/>
    <w:rsid w:val="00E416FA"/>
    <w:rsid w:val="00E41BCA"/>
    <w:rsid w:val="00E41BF2"/>
    <w:rsid w:val="00E42757"/>
    <w:rsid w:val="00E42ABB"/>
    <w:rsid w:val="00E43331"/>
    <w:rsid w:val="00E43BF9"/>
    <w:rsid w:val="00E44171"/>
    <w:rsid w:val="00E4463C"/>
    <w:rsid w:val="00E45A20"/>
    <w:rsid w:val="00E45B40"/>
    <w:rsid w:val="00E45D2D"/>
    <w:rsid w:val="00E46122"/>
    <w:rsid w:val="00E46169"/>
    <w:rsid w:val="00E463CD"/>
    <w:rsid w:val="00E46437"/>
    <w:rsid w:val="00E46517"/>
    <w:rsid w:val="00E46630"/>
    <w:rsid w:val="00E46706"/>
    <w:rsid w:val="00E47158"/>
    <w:rsid w:val="00E47843"/>
    <w:rsid w:val="00E479FE"/>
    <w:rsid w:val="00E5032B"/>
    <w:rsid w:val="00E509DD"/>
    <w:rsid w:val="00E51AD1"/>
    <w:rsid w:val="00E51DB8"/>
    <w:rsid w:val="00E52300"/>
    <w:rsid w:val="00E525FB"/>
    <w:rsid w:val="00E55159"/>
    <w:rsid w:val="00E565D4"/>
    <w:rsid w:val="00E56D0F"/>
    <w:rsid w:val="00E57160"/>
    <w:rsid w:val="00E5738D"/>
    <w:rsid w:val="00E57CC3"/>
    <w:rsid w:val="00E60DC5"/>
    <w:rsid w:val="00E617B7"/>
    <w:rsid w:val="00E6186B"/>
    <w:rsid w:val="00E6246D"/>
    <w:rsid w:val="00E627B6"/>
    <w:rsid w:val="00E630BE"/>
    <w:rsid w:val="00E63C48"/>
    <w:rsid w:val="00E63F3F"/>
    <w:rsid w:val="00E63FCF"/>
    <w:rsid w:val="00E64FDD"/>
    <w:rsid w:val="00E65585"/>
    <w:rsid w:val="00E6569E"/>
    <w:rsid w:val="00E65E78"/>
    <w:rsid w:val="00E66656"/>
    <w:rsid w:val="00E6690B"/>
    <w:rsid w:val="00E678E0"/>
    <w:rsid w:val="00E7012E"/>
    <w:rsid w:val="00E70495"/>
    <w:rsid w:val="00E707E4"/>
    <w:rsid w:val="00E70833"/>
    <w:rsid w:val="00E70B54"/>
    <w:rsid w:val="00E7116C"/>
    <w:rsid w:val="00E720E3"/>
    <w:rsid w:val="00E725A3"/>
    <w:rsid w:val="00E72961"/>
    <w:rsid w:val="00E73048"/>
    <w:rsid w:val="00E736E4"/>
    <w:rsid w:val="00E73DA6"/>
    <w:rsid w:val="00E7449B"/>
    <w:rsid w:val="00E74DBE"/>
    <w:rsid w:val="00E752D7"/>
    <w:rsid w:val="00E7550B"/>
    <w:rsid w:val="00E7621B"/>
    <w:rsid w:val="00E766FB"/>
    <w:rsid w:val="00E76D4C"/>
    <w:rsid w:val="00E7740C"/>
    <w:rsid w:val="00E77938"/>
    <w:rsid w:val="00E7794C"/>
    <w:rsid w:val="00E77C32"/>
    <w:rsid w:val="00E806C7"/>
    <w:rsid w:val="00E80F0A"/>
    <w:rsid w:val="00E816CB"/>
    <w:rsid w:val="00E81840"/>
    <w:rsid w:val="00E819F8"/>
    <w:rsid w:val="00E81A4E"/>
    <w:rsid w:val="00E81BC6"/>
    <w:rsid w:val="00E81C45"/>
    <w:rsid w:val="00E81E79"/>
    <w:rsid w:val="00E81FC2"/>
    <w:rsid w:val="00E83850"/>
    <w:rsid w:val="00E83BEE"/>
    <w:rsid w:val="00E83E31"/>
    <w:rsid w:val="00E83EBD"/>
    <w:rsid w:val="00E83FEF"/>
    <w:rsid w:val="00E84268"/>
    <w:rsid w:val="00E844F0"/>
    <w:rsid w:val="00E84654"/>
    <w:rsid w:val="00E84854"/>
    <w:rsid w:val="00E84B56"/>
    <w:rsid w:val="00E84E83"/>
    <w:rsid w:val="00E8526C"/>
    <w:rsid w:val="00E8551F"/>
    <w:rsid w:val="00E85631"/>
    <w:rsid w:val="00E85704"/>
    <w:rsid w:val="00E85C0A"/>
    <w:rsid w:val="00E85E6E"/>
    <w:rsid w:val="00E85E99"/>
    <w:rsid w:val="00E85F9F"/>
    <w:rsid w:val="00E86049"/>
    <w:rsid w:val="00E86C34"/>
    <w:rsid w:val="00E87078"/>
    <w:rsid w:val="00E8739C"/>
    <w:rsid w:val="00E874CB"/>
    <w:rsid w:val="00E9016F"/>
    <w:rsid w:val="00E906CB"/>
    <w:rsid w:val="00E90708"/>
    <w:rsid w:val="00E90C74"/>
    <w:rsid w:val="00E90EB0"/>
    <w:rsid w:val="00E9180D"/>
    <w:rsid w:val="00E91856"/>
    <w:rsid w:val="00E91A2F"/>
    <w:rsid w:val="00E91D22"/>
    <w:rsid w:val="00E92316"/>
    <w:rsid w:val="00E923A1"/>
    <w:rsid w:val="00E92AFF"/>
    <w:rsid w:val="00E932AA"/>
    <w:rsid w:val="00E93664"/>
    <w:rsid w:val="00E93734"/>
    <w:rsid w:val="00E93AAF"/>
    <w:rsid w:val="00E94118"/>
    <w:rsid w:val="00E95011"/>
    <w:rsid w:val="00E953E7"/>
    <w:rsid w:val="00E95849"/>
    <w:rsid w:val="00E959E0"/>
    <w:rsid w:val="00E95BB4"/>
    <w:rsid w:val="00E961C2"/>
    <w:rsid w:val="00E9715B"/>
    <w:rsid w:val="00E974DB"/>
    <w:rsid w:val="00E97C76"/>
    <w:rsid w:val="00E97DCE"/>
    <w:rsid w:val="00E97FA4"/>
    <w:rsid w:val="00EA049F"/>
    <w:rsid w:val="00EA068F"/>
    <w:rsid w:val="00EA0E9C"/>
    <w:rsid w:val="00EA1DF2"/>
    <w:rsid w:val="00EA2746"/>
    <w:rsid w:val="00EA28CB"/>
    <w:rsid w:val="00EA35DE"/>
    <w:rsid w:val="00EA419A"/>
    <w:rsid w:val="00EA439A"/>
    <w:rsid w:val="00EA4465"/>
    <w:rsid w:val="00EA455D"/>
    <w:rsid w:val="00EA4DE0"/>
    <w:rsid w:val="00EA4E94"/>
    <w:rsid w:val="00EA501D"/>
    <w:rsid w:val="00EA6132"/>
    <w:rsid w:val="00EA6C93"/>
    <w:rsid w:val="00EA7404"/>
    <w:rsid w:val="00EA7D68"/>
    <w:rsid w:val="00EB0120"/>
    <w:rsid w:val="00EB093B"/>
    <w:rsid w:val="00EB124D"/>
    <w:rsid w:val="00EB130A"/>
    <w:rsid w:val="00EB1800"/>
    <w:rsid w:val="00EB20BC"/>
    <w:rsid w:val="00EB29D6"/>
    <w:rsid w:val="00EB2AFB"/>
    <w:rsid w:val="00EB3041"/>
    <w:rsid w:val="00EB3DBD"/>
    <w:rsid w:val="00EB3F4E"/>
    <w:rsid w:val="00EB4862"/>
    <w:rsid w:val="00EB4A9F"/>
    <w:rsid w:val="00EB4FC0"/>
    <w:rsid w:val="00EB545B"/>
    <w:rsid w:val="00EB588A"/>
    <w:rsid w:val="00EB59A6"/>
    <w:rsid w:val="00EB5BF2"/>
    <w:rsid w:val="00EB5EA7"/>
    <w:rsid w:val="00EB637A"/>
    <w:rsid w:val="00EB6F89"/>
    <w:rsid w:val="00EB6F8F"/>
    <w:rsid w:val="00EC0D1E"/>
    <w:rsid w:val="00EC11EA"/>
    <w:rsid w:val="00EC2411"/>
    <w:rsid w:val="00EC2A5A"/>
    <w:rsid w:val="00EC3346"/>
    <w:rsid w:val="00EC3724"/>
    <w:rsid w:val="00EC3B69"/>
    <w:rsid w:val="00EC3C39"/>
    <w:rsid w:val="00EC3D1D"/>
    <w:rsid w:val="00EC4077"/>
    <w:rsid w:val="00EC46AA"/>
    <w:rsid w:val="00EC46C3"/>
    <w:rsid w:val="00EC4CDE"/>
    <w:rsid w:val="00EC4E47"/>
    <w:rsid w:val="00EC4F12"/>
    <w:rsid w:val="00EC51DA"/>
    <w:rsid w:val="00EC51EC"/>
    <w:rsid w:val="00EC520B"/>
    <w:rsid w:val="00EC54CC"/>
    <w:rsid w:val="00EC5657"/>
    <w:rsid w:val="00EC5777"/>
    <w:rsid w:val="00EC5872"/>
    <w:rsid w:val="00EC58E9"/>
    <w:rsid w:val="00EC5C0A"/>
    <w:rsid w:val="00EC627D"/>
    <w:rsid w:val="00EC65AD"/>
    <w:rsid w:val="00EC70BC"/>
    <w:rsid w:val="00EC726B"/>
    <w:rsid w:val="00EC75A5"/>
    <w:rsid w:val="00ED0CB0"/>
    <w:rsid w:val="00ED0FEF"/>
    <w:rsid w:val="00ED1461"/>
    <w:rsid w:val="00ED1C2D"/>
    <w:rsid w:val="00ED2081"/>
    <w:rsid w:val="00ED2E15"/>
    <w:rsid w:val="00ED2E70"/>
    <w:rsid w:val="00ED3ED2"/>
    <w:rsid w:val="00ED42AB"/>
    <w:rsid w:val="00ED44F1"/>
    <w:rsid w:val="00ED5234"/>
    <w:rsid w:val="00ED552C"/>
    <w:rsid w:val="00ED5565"/>
    <w:rsid w:val="00ED674A"/>
    <w:rsid w:val="00ED6841"/>
    <w:rsid w:val="00ED6F2A"/>
    <w:rsid w:val="00ED7FBF"/>
    <w:rsid w:val="00EE022F"/>
    <w:rsid w:val="00EE0582"/>
    <w:rsid w:val="00EE1214"/>
    <w:rsid w:val="00EE1884"/>
    <w:rsid w:val="00EE1C6A"/>
    <w:rsid w:val="00EE1CB6"/>
    <w:rsid w:val="00EE213B"/>
    <w:rsid w:val="00EE2341"/>
    <w:rsid w:val="00EE247B"/>
    <w:rsid w:val="00EE38B7"/>
    <w:rsid w:val="00EE3E4E"/>
    <w:rsid w:val="00EE41E5"/>
    <w:rsid w:val="00EE43DE"/>
    <w:rsid w:val="00EE4BBF"/>
    <w:rsid w:val="00EE4BF5"/>
    <w:rsid w:val="00EE52EC"/>
    <w:rsid w:val="00EE5790"/>
    <w:rsid w:val="00EE6515"/>
    <w:rsid w:val="00EE66CF"/>
    <w:rsid w:val="00EE6BF2"/>
    <w:rsid w:val="00EE7245"/>
    <w:rsid w:val="00EE73F2"/>
    <w:rsid w:val="00EE767E"/>
    <w:rsid w:val="00EE7D5D"/>
    <w:rsid w:val="00EE7E34"/>
    <w:rsid w:val="00EF0585"/>
    <w:rsid w:val="00EF0A63"/>
    <w:rsid w:val="00EF2924"/>
    <w:rsid w:val="00EF300A"/>
    <w:rsid w:val="00EF357E"/>
    <w:rsid w:val="00EF37BF"/>
    <w:rsid w:val="00EF3E65"/>
    <w:rsid w:val="00EF59B0"/>
    <w:rsid w:val="00EF5E30"/>
    <w:rsid w:val="00EF62DB"/>
    <w:rsid w:val="00EF64B9"/>
    <w:rsid w:val="00EF65E8"/>
    <w:rsid w:val="00EF704D"/>
    <w:rsid w:val="00EF725F"/>
    <w:rsid w:val="00EF7F3C"/>
    <w:rsid w:val="00EF7F89"/>
    <w:rsid w:val="00EF7FD5"/>
    <w:rsid w:val="00EF7FF1"/>
    <w:rsid w:val="00EFE9D8"/>
    <w:rsid w:val="00F002E4"/>
    <w:rsid w:val="00F0040F"/>
    <w:rsid w:val="00F00BA3"/>
    <w:rsid w:val="00F010A9"/>
    <w:rsid w:val="00F0146D"/>
    <w:rsid w:val="00F02FF7"/>
    <w:rsid w:val="00F030C1"/>
    <w:rsid w:val="00F030DD"/>
    <w:rsid w:val="00F03940"/>
    <w:rsid w:val="00F03ADA"/>
    <w:rsid w:val="00F03DED"/>
    <w:rsid w:val="00F045AC"/>
    <w:rsid w:val="00F04923"/>
    <w:rsid w:val="00F04A17"/>
    <w:rsid w:val="00F04A36"/>
    <w:rsid w:val="00F04C8E"/>
    <w:rsid w:val="00F04E28"/>
    <w:rsid w:val="00F04FB3"/>
    <w:rsid w:val="00F06562"/>
    <w:rsid w:val="00F06E67"/>
    <w:rsid w:val="00F07640"/>
    <w:rsid w:val="00F077AD"/>
    <w:rsid w:val="00F07B93"/>
    <w:rsid w:val="00F10671"/>
    <w:rsid w:val="00F10DD7"/>
    <w:rsid w:val="00F10F6B"/>
    <w:rsid w:val="00F12D4F"/>
    <w:rsid w:val="00F12D82"/>
    <w:rsid w:val="00F12E87"/>
    <w:rsid w:val="00F13B09"/>
    <w:rsid w:val="00F13C4A"/>
    <w:rsid w:val="00F141BF"/>
    <w:rsid w:val="00F1428D"/>
    <w:rsid w:val="00F14735"/>
    <w:rsid w:val="00F151B4"/>
    <w:rsid w:val="00F158A6"/>
    <w:rsid w:val="00F1595F"/>
    <w:rsid w:val="00F15C5D"/>
    <w:rsid w:val="00F15D18"/>
    <w:rsid w:val="00F15FC7"/>
    <w:rsid w:val="00F16393"/>
    <w:rsid w:val="00F1656C"/>
    <w:rsid w:val="00F16881"/>
    <w:rsid w:val="00F2001F"/>
    <w:rsid w:val="00F206DA"/>
    <w:rsid w:val="00F209ED"/>
    <w:rsid w:val="00F20E0B"/>
    <w:rsid w:val="00F20E13"/>
    <w:rsid w:val="00F2115E"/>
    <w:rsid w:val="00F21BCD"/>
    <w:rsid w:val="00F22741"/>
    <w:rsid w:val="00F22798"/>
    <w:rsid w:val="00F2297C"/>
    <w:rsid w:val="00F2405A"/>
    <w:rsid w:val="00F240F5"/>
    <w:rsid w:val="00F25EAD"/>
    <w:rsid w:val="00F25F8D"/>
    <w:rsid w:val="00F25FE0"/>
    <w:rsid w:val="00F260E5"/>
    <w:rsid w:val="00F26178"/>
    <w:rsid w:val="00F26738"/>
    <w:rsid w:val="00F268FF"/>
    <w:rsid w:val="00F27282"/>
    <w:rsid w:val="00F27C5E"/>
    <w:rsid w:val="00F302BC"/>
    <w:rsid w:val="00F30400"/>
    <w:rsid w:val="00F30FE6"/>
    <w:rsid w:val="00F3156B"/>
    <w:rsid w:val="00F318E9"/>
    <w:rsid w:val="00F3271F"/>
    <w:rsid w:val="00F327E9"/>
    <w:rsid w:val="00F33B25"/>
    <w:rsid w:val="00F33D7C"/>
    <w:rsid w:val="00F33EC0"/>
    <w:rsid w:val="00F3572E"/>
    <w:rsid w:val="00F35907"/>
    <w:rsid w:val="00F359A2"/>
    <w:rsid w:val="00F36589"/>
    <w:rsid w:val="00F36D8D"/>
    <w:rsid w:val="00F36FCF"/>
    <w:rsid w:val="00F3757E"/>
    <w:rsid w:val="00F37CC5"/>
    <w:rsid w:val="00F40607"/>
    <w:rsid w:val="00F40B2A"/>
    <w:rsid w:val="00F41043"/>
    <w:rsid w:val="00F41351"/>
    <w:rsid w:val="00F41483"/>
    <w:rsid w:val="00F416E5"/>
    <w:rsid w:val="00F41B54"/>
    <w:rsid w:val="00F41E2B"/>
    <w:rsid w:val="00F4225A"/>
    <w:rsid w:val="00F42A04"/>
    <w:rsid w:val="00F42A47"/>
    <w:rsid w:val="00F432A9"/>
    <w:rsid w:val="00F44531"/>
    <w:rsid w:val="00F44718"/>
    <w:rsid w:val="00F44D43"/>
    <w:rsid w:val="00F44E46"/>
    <w:rsid w:val="00F45442"/>
    <w:rsid w:val="00F469E0"/>
    <w:rsid w:val="00F473F8"/>
    <w:rsid w:val="00F4746D"/>
    <w:rsid w:val="00F476D2"/>
    <w:rsid w:val="00F47836"/>
    <w:rsid w:val="00F504CC"/>
    <w:rsid w:val="00F50B8B"/>
    <w:rsid w:val="00F50CB9"/>
    <w:rsid w:val="00F51ED9"/>
    <w:rsid w:val="00F521D6"/>
    <w:rsid w:val="00F524DE"/>
    <w:rsid w:val="00F5300D"/>
    <w:rsid w:val="00F53230"/>
    <w:rsid w:val="00F5324F"/>
    <w:rsid w:val="00F542DD"/>
    <w:rsid w:val="00F54EE8"/>
    <w:rsid w:val="00F5572A"/>
    <w:rsid w:val="00F55A91"/>
    <w:rsid w:val="00F55E62"/>
    <w:rsid w:val="00F563B9"/>
    <w:rsid w:val="00F563CC"/>
    <w:rsid w:val="00F56FFD"/>
    <w:rsid w:val="00F576A3"/>
    <w:rsid w:val="00F5776B"/>
    <w:rsid w:val="00F57978"/>
    <w:rsid w:val="00F57DB1"/>
    <w:rsid w:val="00F60223"/>
    <w:rsid w:val="00F60237"/>
    <w:rsid w:val="00F60635"/>
    <w:rsid w:val="00F60DD1"/>
    <w:rsid w:val="00F61280"/>
    <w:rsid w:val="00F612C8"/>
    <w:rsid w:val="00F614A3"/>
    <w:rsid w:val="00F614BC"/>
    <w:rsid w:val="00F61FD7"/>
    <w:rsid w:val="00F623C6"/>
    <w:rsid w:val="00F623D5"/>
    <w:rsid w:val="00F625D8"/>
    <w:rsid w:val="00F62C2A"/>
    <w:rsid w:val="00F63375"/>
    <w:rsid w:val="00F6348D"/>
    <w:rsid w:val="00F63907"/>
    <w:rsid w:val="00F64808"/>
    <w:rsid w:val="00F64B0D"/>
    <w:rsid w:val="00F6505C"/>
    <w:rsid w:val="00F65ED0"/>
    <w:rsid w:val="00F65F3B"/>
    <w:rsid w:val="00F66475"/>
    <w:rsid w:val="00F6656D"/>
    <w:rsid w:val="00F678C8"/>
    <w:rsid w:val="00F70477"/>
    <w:rsid w:val="00F70666"/>
    <w:rsid w:val="00F70F71"/>
    <w:rsid w:val="00F716E2"/>
    <w:rsid w:val="00F71C8E"/>
    <w:rsid w:val="00F72C3C"/>
    <w:rsid w:val="00F72D1B"/>
    <w:rsid w:val="00F72E4C"/>
    <w:rsid w:val="00F73B58"/>
    <w:rsid w:val="00F745AA"/>
    <w:rsid w:val="00F74BD1"/>
    <w:rsid w:val="00F751E5"/>
    <w:rsid w:val="00F76470"/>
    <w:rsid w:val="00F771BD"/>
    <w:rsid w:val="00F7762F"/>
    <w:rsid w:val="00F80931"/>
    <w:rsid w:val="00F80EE1"/>
    <w:rsid w:val="00F8119E"/>
    <w:rsid w:val="00F81562"/>
    <w:rsid w:val="00F81844"/>
    <w:rsid w:val="00F825BF"/>
    <w:rsid w:val="00F82736"/>
    <w:rsid w:val="00F82B1C"/>
    <w:rsid w:val="00F82F2E"/>
    <w:rsid w:val="00F83173"/>
    <w:rsid w:val="00F8336A"/>
    <w:rsid w:val="00F837EF"/>
    <w:rsid w:val="00F83973"/>
    <w:rsid w:val="00F83D0C"/>
    <w:rsid w:val="00F848C6"/>
    <w:rsid w:val="00F84F5F"/>
    <w:rsid w:val="00F8505E"/>
    <w:rsid w:val="00F85321"/>
    <w:rsid w:val="00F853FA"/>
    <w:rsid w:val="00F85476"/>
    <w:rsid w:val="00F862B7"/>
    <w:rsid w:val="00F863AA"/>
    <w:rsid w:val="00F86636"/>
    <w:rsid w:val="00F866D1"/>
    <w:rsid w:val="00F86A15"/>
    <w:rsid w:val="00F86A1F"/>
    <w:rsid w:val="00F87498"/>
    <w:rsid w:val="00F87519"/>
    <w:rsid w:val="00F87860"/>
    <w:rsid w:val="00F90378"/>
    <w:rsid w:val="00F90423"/>
    <w:rsid w:val="00F90D87"/>
    <w:rsid w:val="00F91B0E"/>
    <w:rsid w:val="00F927EA"/>
    <w:rsid w:val="00F930FE"/>
    <w:rsid w:val="00F93198"/>
    <w:rsid w:val="00F93606"/>
    <w:rsid w:val="00F938DE"/>
    <w:rsid w:val="00F9479F"/>
    <w:rsid w:val="00F949C5"/>
    <w:rsid w:val="00F95261"/>
    <w:rsid w:val="00F95726"/>
    <w:rsid w:val="00F9573C"/>
    <w:rsid w:val="00F960BF"/>
    <w:rsid w:val="00F968F9"/>
    <w:rsid w:val="00F96A74"/>
    <w:rsid w:val="00F96AB7"/>
    <w:rsid w:val="00F9707D"/>
    <w:rsid w:val="00F97739"/>
    <w:rsid w:val="00F9787F"/>
    <w:rsid w:val="00F979A8"/>
    <w:rsid w:val="00F97C5F"/>
    <w:rsid w:val="00F97DA8"/>
    <w:rsid w:val="00F97F83"/>
    <w:rsid w:val="00FA015B"/>
    <w:rsid w:val="00FA0ABD"/>
    <w:rsid w:val="00FA17BB"/>
    <w:rsid w:val="00FA1AFF"/>
    <w:rsid w:val="00FA1BAF"/>
    <w:rsid w:val="00FA26A0"/>
    <w:rsid w:val="00FA2738"/>
    <w:rsid w:val="00FA285A"/>
    <w:rsid w:val="00FA291E"/>
    <w:rsid w:val="00FA2E42"/>
    <w:rsid w:val="00FA3807"/>
    <w:rsid w:val="00FA39FC"/>
    <w:rsid w:val="00FA4E34"/>
    <w:rsid w:val="00FA5F37"/>
    <w:rsid w:val="00FA65C5"/>
    <w:rsid w:val="00FA6B76"/>
    <w:rsid w:val="00FA6B78"/>
    <w:rsid w:val="00FA725A"/>
    <w:rsid w:val="00FA7EAC"/>
    <w:rsid w:val="00FB0310"/>
    <w:rsid w:val="00FB178C"/>
    <w:rsid w:val="00FB1A81"/>
    <w:rsid w:val="00FB25B1"/>
    <w:rsid w:val="00FB27D8"/>
    <w:rsid w:val="00FB2ABC"/>
    <w:rsid w:val="00FB2AE2"/>
    <w:rsid w:val="00FB2B7C"/>
    <w:rsid w:val="00FB2C70"/>
    <w:rsid w:val="00FB349B"/>
    <w:rsid w:val="00FB382F"/>
    <w:rsid w:val="00FB3E49"/>
    <w:rsid w:val="00FB4032"/>
    <w:rsid w:val="00FB4372"/>
    <w:rsid w:val="00FB4585"/>
    <w:rsid w:val="00FB4CBF"/>
    <w:rsid w:val="00FB5840"/>
    <w:rsid w:val="00FB594B"/>
    <w:rsid w:val="00FB64D0"/>
    <w:rsid w:val="00FB68D8"/>
    <w:rsid w:val="00FB6B12"/>
    <w:rsid w:val="00FB6E3A"/>
    <w:rsid w:val="00FB7861"/>
    <w:rsid w:val="00FB78C3"/>
    <w:rsid w:val="00FC119B"/>
    <w:rsid w:val="00FC18A1"/>
    <w:rsid w:val="00FC18A7"/>
    <w:rsid w:val="00FC1C80"/>
    <w:rsid w:val="00FC2202"/>
    <w:rsid w:val="00FC25F3"/>
    <w:rsid w:val="00FC2644"/>
    <w:rsid w:val="00FC335F"/>
    <w:rsid w:val="00FC33C1"/>
    <w:rsid w:val="00FC3996"/>
    <w:rsid w:val="00FC39E6"/>
    <w:rsid w:val="00FC3C48"/>
    <w:rsid w:val="00FC535E"/>
    <w:rsid w:val="00FC5421"/>
    <w:rsid w:val="00FC5598"/>
    <w:rsid w:val="00FC6382"/>
    <w:rsid w:val="00FC63B2"/>
    <w:rsid w:val="00FC66A2"/>
    <w:rsid w:val="00FC68C4"/>
    <w:rsid w:val="00FC6FD7"/>
    <w:rsid w:val="00FC70B8"/>
    <w:rsid w:val="00FC75F9"/>
    <w:rsid w:val="00FC7F28"/>
    <w:rsid w:val="00FD129C"/>
    <w:rsid w:val="00FD1BD1"/>
    <w:rsid w:val="00FD1C65"/>
    <w:rsid w:val="00FD1D1C"/>
    <w:rsid w:val="00FD24C5"/>
    <w:rsid w:val="00FD2959"/>
    <w:rsid w:val="00FD2C87"/>
    <w:rsid w:val="00FD2ED0"/>
    <w:rsid w:val="00FD328A"/>
    <w:rsid w:val="00FD339F"/>
    <w:rsid w:val="00FD38D1"/>
    <w:rsid w:val="00FD3B67"/>
    <w:rsid w:val="00FD3B8A"/>
    <w:rsid w:val="00FD3E58"/>
    <w:rsid w:val="00FD43AE"/>
    <w:rsid w:val="00FD4988"/>
    <w:rsid w:val="00FD4C9E"/>
    <w:rsid w:val="00FD4FB9"/>
    <w:rsid w:val="00FD5123"/>
    <w:rsid w:val="00FD592E"/>
    <w:rsid w:val="00FD5C62"/>
    <w:rsid w:val="00FD5F19"/>
    <w:rsid w:val="00FD60BC"/>
    <w:rsid w:val="00FD6DBB"/>
    <w:rsid w:val="00FD7891"/>
    <w:rsid w:val="00FD79F4"/>
    <w:rsid w:val="00FD7D7B"/>
    <w:rsid w:val="00FE0329"/>
    <w:rsid w:val="00FE0967"/>
    <w:rsid w:val="00FE17D6"/>
    <w:rsid w:val="00FE1C8C"/>
    <w:rsid w:val="00FE1E10"/>
    <w:rsid w:val="00FE211D"/>
    <w:rsid w:val="00FE2A56"/>
    <w:rsid w:val="00FE2D1A"/>
    <w:rsid w:val="00FE3D6F"/>
    <w:rsid w:val="00FE410D"/>
    <w:rsid w:val="00FE4313"/>
    <w:rsid w:val="00FE437C"/>
    <w:rsid w:val="00FE452E"/>
    <w:rsid w:val="00FE4FA5"/>
    <w:rsid w:val="00FE5F6D"/>
    <w:rsid w:val="00FE6C13"/>
    <w:rsid w:val="00FE6D87"/>
    <w:rsid w:val="00FE7649"/>
    <w:rsid w:val="00FE7CF8"/>
    <w:rsid w:val="00FF0013"/>
    <w:rsid w:val="00FF0C14"/>
    <w:rsid w:val="00FF102A"/>
    <w:rsid w:val="00FF149D"/>
    <w:rsid w:val="00FF196D"/>
    <w:rsid w:val="00FF25CB"/>
    <w:rsid w:val="00FF34F8"/>
    <w:rsid w:val="00FF4D4F"/>
    <w:rsid w:val="00FF5A0B"/>
    <w:rsid w:val="00FF5F15"/>
    <w:rsid w:val="00FF6206"/>
    <w:rsid w:val="00FF6348"/>
    <w:rsid w:val="00FF6558"/>
    <w:rsid w:val="00FF6637"/>
    <w:rsid w:val="00FF764C"/>
    <w:rsid w:val="0158846B"/>
    <w:rsid w:val="0165B991"/>
    <w:rsid w:val="019BE3E6"/>
    <w:rsid w:val="01C9A1C2"/>
    <w:rsid w:val="01F5B21F"/>
    <w:rsid w:val="02058905"/>
    <w:rsid w:val="02362ADA"/>
    <w:rsid w:val="02963030"/>
    <w:rsid w:val="02B4B938"/>
    <w:rsid w:val="02D08A66"/>
    <w:rsid w:val="02D5B729"/>
    <w:rsid w:val="02F2C8BA"/>
    <w:rsid w:val="0327C844"/>
    <w:rsid w:val="03521229"/>
    <w:rsid w:val="03C59D6B"/>
    <w:rsid w:val="03DD007D"/>
    <w:rsid w:val="03FF8B40"/>
    <w:rsid w:val="040CDD4E"/>
    <w:rsid w:val="0424C990"/>
    <w:rsid w:val="044A2E81"/>
    <w:rsid w:val="0478AFC7"/>
    <w:rsid w:val="04C33F1C"/>
    <w:rsid w:val="04C6D02E"/>
    <w:rsid w:val="04E51D52"/>
    <w:rsid w:val="055D040A"/>
    <w:rsid w:val="059A88A5"/>
    <w:rsid w:val="05FAD6EE"/>
    <w:rsid w:val="0626BE8E"/>
    <w:rsid w:val="0681ABB3"/>
    <w:rsid w:val="06FDEC34"/>
    <w:rsid w:val="0734C29E"/>
    <w:rsid w:val="07500ABD"/>
    <w:rsid w:val="078658D3"/>
    <w:rsid w:val="07C488AC"/>
    <w:rsid w:val="08187A74"/>
    <w:rsid w:val="0850F6D6"/>
    <w:rsid w:val="085EAA2D"/>
    <w:rsid w:val="088F5913"/>
    <w:rsid w:val="08AEED2D"/>
    <w:rsid w:val="0903267E"/>
    <w:rsid w:val="092C8B70"/>
    <w:rsid w:val="097302C8"/>
    <w:rsid w:val="09DEEDA6"/>
    <w:rsid w:val="09E45593"/>
    <w:rsid w:val="0B030438"/>
    <w:rsid w:val="0BFA4787"/>
    <w:rsid w:val="0C711800"/>
    <w:rsid w:val="0C86B95A"/>
    <w:rsid w:val="0C954484"/>
    <w:rsid w:val="0DFFF28D"/>
    <w:rsid w:val="0E6A5BA0"/>
    <w:rsid w:val="0EAD27C2"/>
    <w:rsid w:val="0EB56C6C"/>
    <w:rsid w:val="0F522475"/>
    <w:rsid w:val="0F53DABA"/>
    <w:rsid w:val="0F65C9D6"/>
    <w:rsid w:val="0F7D9A18"/>
    <w:rsid w:val="0F926CEF"/>
    <w:rsid w:val="0FC14007"/>
    <w:rsid w:val="10710D09"/>
    <w:rsid w:val="10A75453"/>
    <w:rsid w:val="10B51952"/>
    <w:rsid w:val="118A3B40"/>
    <w:rsid w:val="118BC092"/>
    <w:rsid w:val="1196834E"/>
    <w:rsid w:val="11B88750"/>
    <w:rsid w:val="125BDE7B"/>
    <w:rsid w:val="1326A7DE"/>
    <w:rsid w:val="137B1DDC"/>
    <w:rsid w:val="13A9D57B"/>
    <w:rsid w:val="13D604F3"/>
    <w:rsid w:val="142D0218"/>
    <w:rsid w:val="1446C479"/>
    <w:rsid w:val="14E5818C"/>
    <w:rsid w:val="151F4C59"/>
    <w:rsid w:val="152D2D28"/>
    <w:rsid w:val="15551BFA"/>
    <w:rsid w:val="15D46FC6"/>
    <w:rsid w:val="1624E1D7"/>
    <w:rsid w:val="166591B3"/>
    <w:rsid w:val="16CA4F21"/>
    <w:rsid w:val="1713D37E"/>
    <w:rsid w:val="1730734F"/>
    <w:rsid w:val="178415C3"/>
    <w:rsid w:val="17D4FFED"/>
    <w:rsid w:val="17E09142"/>
    <w:rsid w:val="17EF3D00"/>
    <w:rsid w:val="18D6D0BB"/>
    <w:rsid w:val="19037916"/>
    <w:rsid w:val="1922B2D4"/>
    <w:rsid w:val="1983EDBB"/>
    <w:rsid w:val="19BB1D80"/>
    <w:rsid w:val="19ECC535"/>
    <w:rsid w:val="1A06FADD"/>
    <w:rsid w:val="1AA8BA64"/>
    <w:rsid w:val="1AD3157E"/>
    <w:rsid w:val="1AD9DA59"/>
    <w:rsid w:val="1B03901F"/>
    <w:rsid w:val="1B25B9CF"/>
    <w:rsid w:val="1C3DCA5F"/>
    <w:rsid w:val="1C4E3F5E"/>
    <w:rsid w:val="1C4F6543"/>
    <w:rsid w:val="1C5B2DD2"/>
    <w:rsid w:val="1C5C44C9"/>
    <w:rsid w:val="1C795631"/>
    <w:rsid w:val="1C811B15"/>
    <w:rsid w:val="1C81DAF0"/>
    <w:rsid w:val="1CAE9A43"/>
    <w:rsid w:val="1D301F4E"/>
    <w:rsid w:val="1DA978D4"/>
    <w:rsid w:val="1DCC7E16"/>
    <w:rsid w:val="1DF1A13C"/>
    <w:rsid w:val="1E22F137"/>
    <w:rsid w:val="1E3758C5"/>
    <w:rsid w:val="1E3E46D0"/>
    <w:rsid w:val="1F7DC098"/>
    <w:rsid w:val="1FF304A9"/>
    <w:rsid w:val="2003FD35"/>
    <w:rsid w:val="20205F92"/>
    <w:rsid w:val="2024E694"/>
    <w:rsid w:val="20A6585D"/>
    <w:rsid w:val="213CC36E"/>
    <w:rsid w:val="2152F712"/>
    <w:rsid w:val="21A4185C"/>
    <w:rsid w:val="21C43811"/>
    <w:rsid w:val="221E2272"/>
    <w:rsid w:val="22C04DE8"/>
    <w:rsid w:val="22D3B6B2"/>
    <w:rsid w:val="235F47AF"/>
    <w:rsid w:val="23C8AE47"/>
    <w:rsid w:val="2449988F"/>
    <w:rsid w:val="244A13A9"/>
    <w:rsid w:val="2483A15D"/>
    <w:rsid w:val="249B13C2"/>
    <w:rsid w:val="24CAC300"/>
    <w:rsid w:val="24F5C777"/>
    <w:rsid w:val="254791E3"/>
    <w:rsid w:val="2548B0D0"/>
    <w:rsid w:val="254B1C22"/>
    <w:rsid w:val="26475C5A"/>
    <w:rsid w:val="26513CAA"/>
    <w:rsid w:val="26A78AA3"/>
    <w:rsid w:val="26DAE1E8"/>
    <w:rsid w:val="270DE9E2"/>
    <w:rsid w:val="273FE6AE"/>
    <w:rsid w:val="2762B3C8"/>
    <w:rsid w:val="2809662C"/>
    <w:rsid w:val="281C4B62"/>
    <w:rsid w:val="286F2F52"/>
    <w:rsid w:val="28BD80D1"/>
    <w:rsid w:val="294FEBE4"/>
    <w:rsid w:val="29CCBF36"/>
    <w:rsid w:val="29E0CE1F"/>
    <w:rsid w:val="29E28C52"/>
    <w:rsid w:val="2A1836CD"/>
    <w:rsid w:val="2B1F31B1"/>
    <w:rsid w:val="2B4D4EA7"/>
    <w:rsid w:val="2B5EDF3E"/>
    <w:rsid w:val="2B618C11"/>
    <w:rsid w:val="2BD00D00"/>
    <w:rsid w:val="2BE8F98D"/>
    <w:rsid w:val="2C91BD9D"/>
    <w:rsid w:val="2CF376CC"/>
    <w:rsid w:val="2D0912D2"/>
    <w:rsid w:val="2D28EFDC"/>
    <w:rsid w:val="2D3132AD"/>
    <w:rsid w:val="2DE62347"/>
    <w:rsid w:val="2E079959"/>
    <w:rsid w:val="2E2A9B88"/>
    <w:rsid w:val="2E30920B"/>
    <w:rsid w:val="2E410CAD"/>
    <w:rsid w:val="2EDB0D48"/>
    <w:rsid w:val="2F9BC691"/>
    <w:rsid w:val="300D1F3E"/>
    <w:rsid w:val="304724C3"/>
    <w:rsid w:val="30BC4D32"/>
    <w:rsid w:val="312E10BB"/>
    <w:rsid w:val="321CB61A"/>
    <w:rsid w:val="32254A91"/>
    <w:rsid w:val="324670DF"/>
    <w:rsid w:val="32F3B685"/>
    <w:rsid w:val="332BF1E4"/>
    <w:rsid w:val="3337E7FA"/>
    <w:rsid w:val="33660DAE"/>
    <w:rsid w:val="33A78809"/>
    <w:rsid w:val="33E7C3DA"/>
    <w:rsid w:val="33E822E2"/>
    <w:rsid w:val="33EC1188"/>
    <w:rsid w:val="33F5E9D1"/>
    <w:rsid w:val="33FA6CC9"/>
    <w:rsid w:val="34B38103"/>
    <w:rsid w:val="3588FAE5"/>
    <w:rsid w:val="35C33163"/>
    <w:rsid w:val="35F620A1"/>
    <w:rsid w:val="36CE41CB"/>
    <w:rsid w:val="36D1B672"/>
    <w:rsid w:val="36D389D4"/>
    <w:rsid w:val="370885E4"/>
    <w:rsid w:val="37DCF3A8"/>
    <w:rsid w:val="38CBDEA4"/>
    <w:rsid w:val="39396B11"/>
    <w:rsid w:val="3999266F"/>
    <w:rsid w:val="3A4E9D1E"/>
    <w:rsid w:val="3AB60AF7"/>
    <w:rsid w:val="3B1D60F0"/>
    <w:rsid w:val="3B338DF3"/>
    <w:rsid w:val="3B4D4481"/>
    <w:rsid w:val="3B90B4E1"/>
    <w:rsid w:val="3BB05D70"/>
    <w:rsid w:val="3C866DAD"/>
    <w:rsid w:val="3C87C83A"/>
    <w:rsid w:val="3CA59B95"/>
    <w:rsid w:val="3CD29DC8"/>
    <w:rsid w:val="3CE21D5C"/>
    <w:rsid w:val="3CE3F968"/>
    <w:rsid w:val="3D0165CF"/>
    <w:rsid w:val="3D9F9B78"/>
    <w:rsid w:val="3E3BCB83"/>
    <w:rsid w:val="3E617D81"/>
    <w:rsid w:val="3E7FEDAA"/>
    <w:rsid w:val="3F32A9EA"/>
    <w:rsid w:val="3FA322A1"/>
    <w:rsid w:val="3FE5927D"/>
    <w:rsid w:val="404FDBA6"/>
    <w:rsid w:val="410E7033"/>
    <w:rsid w:val="418337B8"/>
    <w:rsid w:val="419C7855"/>
    <w:rsid w:val="41E326F9"/>
    <w:rsid w:val="425BF66D"/>
    <w:rsid w:val="42B08B48"/>
    <w:rsid w:val="42B582BE"/>
    <w:rsid w:val="43330A34"/>
    <w:rsid w:val="4367604F"/>
    <w:rsid w:val="43C74220"/>
    <w:rsid w:val="4405AF35"/>
    <w:rsid w:val="44829C52"/>
    <w:rsid w:val="45AAF037"/>
    <w:rsid w:val="46151C21"/>
    <w:rsid w:val="4683D2BB"/>
    <w:rsid w:val="4688A12C"/>
    <w:rsid w:val="468E42E0"/>
    <w:rsid w:val="47A12141"/>
    <w:rsid w:val="47FE1404"/>
    <w:rsid w:val="4824BCA4"/>
    <w:rsid w:val="49492701"/>
    <w:rsid w:val="49B08EC4"/>
    <w:rsid w:val="49C6C07A"/>
    <w:rsid w:val="4ABB600C"/>
    <w:rsid w:val="4AC5C0C2"/>
    <w:rsid w:val="4AC82175"/>
    <w:rsid w:val="4AEF1400"/>
    <w:rsid w:val="4B9AFF13"/>
    <w:rsid w:val="4C0CD98E"/>
    <w:rsid w:val="4C116ED4"/>
    <w:rsid w:val="4C3CDF96"/>
    <w:rsid w:val="4CDE6859"/>
    <w:rsid w:val="4D167237"/>
    <w:rsid w:val="4D2C082B"/>
    <w:rsid w:val="4D5A183B"/>
    <w:rsid w:val="4D5EDE9E"/>
    <w:rsid w:val="4DE6CF14"/>
    <w:rsid w:val="4E08DA83"/>
    <w:rsid w:val="4E0B03C1"/>
    <w:rsid w:val="4ED6AC7A"/>
    <w:rsid w:val="4F280C79"/>
    <w:rsid w:val="4FB42C7A"/>
    <w:rsid w:val="506CD03C"/>
    <w:rsid w:val="50C77061"/>
    <w:rsid w:val="50F87A6D"/>
    <w:rsid w:val="5143AB78"/>
    <w:rsid w:val="514573F9"/>
    <w:rsid w:val="526BEAF9"/>
    <w:rsid w:val="5339A43C"/>
    <w:rsid w:val="538112F2"/>
    <w:rsid w:val="5382FAAD"/>
    <w:rsid w:val="5400B29C"/>
    <w:rsid w:val="541C7319"/>
    <w:rsid w:val="54571949"/>
    <w:rsid w:val="54C27044"/>
    <w:rsid w:val="54D4D82F"/>
    <w:rsid w:val="558659CC"/>
    <w:rsid w:val="55943A40"/>
    <w:rsid w:val="5642D2CE"/>
    <w:rsid w:val="56A9518C"/>
    <w:rsid w:val="56B15F7A"/>
    <w:rsid w:val="56C10707"/>
    <w:rsid w:val="56C5FC59"/>
    <w:rsid w:val="57648121"/>
    <w:rsid w:val="57C4B23C"/>
    <w:rsid w:val="5923E2EF"/>
    <w:rsid w:val="592B328A"/>
    <w:rsid w:val="5946C4F9"/>
    <w:rsid w:val="594F1BDE"/>
    <w:rsid w:val="59A07455"/>
    <w:rsid w:val="59B7F410"/>
    <w:rsid w:val="59D3A399"/>
    <w:rsid w:val="5A55C921"/>
    <w:rsid w:val="5A8229D5"/>
    <w:rsid w:val="5AB3E3F4"/>
    <w:rsid w:val="5AEC74BD"/>
    <w:rsid w:val="5B04DC8C"/>
    <w:rsid w:val="5BCBE383"/>
    <w:rsid w:val="5C481848"/>
    <w:rsid w:val="5CBB9C4C"/>
    <w:rsid w:val="5CC7F87D"/>
    <w:rsid w:val="5CE0FDE4"/>
    <w:rsid w:val="5D5F14DE"/>
    <w:rsid w:val="5D85419C"/>
    <w:rsid w:val="5DB3828C"/>
    <w:rsid w:val="5DC771AB"/>
    <w:rsid w:val="5E3FD62E"/>
    <w:rsid w:val="5EDBFC48"/>
    <w:rsid w:val="5F23A155"/>
    <w:rsid w:val="5FAB3344"/>
    <w:rsid w:val="6071BC7F"/>
    <w:rsid w:val="60F80C67"/>
    <w:rsid w:val="614E24BB"/>
    <w:rsid w:val="6183A5D9"/>
    <w:rsid w:val="61D59A7D"/>
    <w:rsid w:val="62351A62"/>
    <w:rsid w:val="62BF0B16"/>
    <w:rsid w:val="62BFE665"/>
    <w:rsid w:val="6307BC39"/>
    <w:rsid w:val="633B9D79"/>
    <w:rsid w:val="633D0819"/>
    <w:rsid w:val="635937A0"/>
    <w:rsid w:val="63E0CF9C"/>
    <w:rsid w:val="64B68CA5"/>
    <w:rsid w:val="65613CB4"/>
    <w:rsid w:val="65EBE335"/>
    <w:rsid w:val="6656C3F4"/>
    <w:rsid w:val="6678CE67"/>
    <w:rsid w:val="66A546BC"/>
    <w:rsid w:val="66CFF882"/>
    <w:rsid w:val="67250857"/>
    <w:rsid w:val="672F4110"/>
    <w:rsid w:val="6741DB7F"/>
    <w:rsid w:val="6764CB57"/>
    <w:rsid w:val="67A711A2"/>
    <w:rsid w:val="68182A5A"/>
    <w:rsid w:val="683737B0"/>
    <w:rsid w:val="684C5B05"/>
    <w:rsid w:val="68FB2548"/>
    <w:rsid w:val="691F463D"/>
    <w:rsid w:val="69919462"/>
    <w:rsid w:val="6AC3A7DE"/>
    <w:rsid w:val="6B151ABE"/>
    <w:rsid w:val="6BAABA48"/>
    <w:rsid w:val="6BC26289"/>
    <w:rsid w:val="6BC6AF42"/>
    <w:rsid w:val="6BDB08F4"/>
    <w:rsid w:val="6BEEE707"/>
    <w:rsid w:val="6C0B1816"/>
    <w:rsid w:val="6C184FAB"/>
    <w:rsid w:val="6C258F85"/>
    <w:rsid w:val="6C419543"/>
    <w:rsid w:val="6C7A53B9"/>
    <w:rsid w:val="6C8A2C8C"/>
    <w:rsid w:val="6D7DDB87"/>
    <w:rsid w:val="6DA17DDB"/>
    <w:rsid w:val="6DDC021A"/>
    <w:rsid w:val="6E8BCB7F"/>
    <w:rsid w:val="6EC96838"/>
    <w:rsid w:val="6ECF0A8B"/>
    <w:rsid w:val="6EF9A4EB"/>
    <w:rsid w:val="6F2E0A14"/>
    <w:rsid w:val="6F43167C"/>
    <w:rsid w:val="6F4D48FD"/>
    <w:rsid w:val="7004D6B5"/>
    <w:rsid w:val="709EB6DD"/>
    <w:rsid w:val="70ADDA1E"/>
    <w:rsid w:val="70B0C898"/>
    <w:rsid w:val="70F04F99"/>
    <w:rsid w:val="711CF37F"/>
    <w:rsid w:val="71306416"/>
    <w:rsid w:val="7179D1E6"/>
    <w:rsid w:val="717F642D"/>
    <w:rsid w:val="7199B16E"/>
    <w:rsid w:val="72004287"/>
    <w:rsid w:val="72347A1E"/>
    <w:rsid w:val="7267BF77"/>
    <w:rsid w:val="72B75AA5"/>
    <w:rsid w:val="730B2B9B"/>
    <w:rsid w:val="73174D98"/>
    <w:rsid w:val="73230812"/>
    <w:rsid w:val="73B15363"/>
    <w:rsid w:val="741D0E05"/>
    <w:rsid w:val="74A44064"/>
    <w:rsid w:val="7521D5F3"/>
    <w:rsid w:val="756E2BDB"/>
    <w:rsid w:val="75C8648E"/>
    <w:rsid w:val="7656790E"/>
    <w:rsid w:val="7658E797"/>
    <w:rsid w:val="765C1C79"/>
    <w:rsid w:val="76923549"/>
    <w:rsid w:val="76964E25"/>
    <w:rsid w:val="76E8ADCA"/>
    <w:rsid w:val="76F7C7B5"/>
    <w:rsid w:val="774CAFF4"/>
    <w:rsid w:val="777C39EC"/>
    <w:rsid w:val="778E7986"/>
    <w:rsid w:val="77E906FA"/>
    <w:rsid w:val="781F42EB"/>
    <w:rsid w:val="782EF028"/>
    <w:rsid w:val="78B2DABD"/>
    <w:rsid w:val="78D20D40"/>
    <w:rsid w:val="791483E6"/>
    <w:rsid w:val="7918DF8A"/>
    <w:rsid w:val="791D5017"/>
    <w:rsid w:val="79691657"/>
    <w:rsid w:val="798A3C27"/>
    <w:rsid w:val="799694CF"/>
    <w:rsid w:val="79A0EB5B"/>
    <w:rsid w:val="7A0A1B14"/>
    <w:rsid w:val="7A2623D5"/>
    <w:rsid w:val="7A7635AD"/>
    <w:rsid w:val="7AD56761"/>
    <w:rsid w:val="7AE9A7D0"/>
    <w:rsid w:val="7B6D880C"/>
    <w:rsid w:val="7BDB7B06"/>
    <w:rsid w:val="7BDD7C66"/>
    <w:rsid w:val="7C33163D"/>
    <w:rsid w:val="7C5A9AC9"/>
    <w:rsid w:val="7C84F932"/>
    <w:rsid w:val="7CD6F987"/>
    <w:rsid w:val="7D806A19"/>
    <w:rsid w:val="7D88C025"/>
    <w:rsid w:val="7DADD3E3"/>
    <w:rsid w:val="7E199787"/>
    <w:rsid w:val="7E68B171"/>
    <w:rsid w:val="7E85A578"/>
    <w:rsid w:val="7F600A4B"/>
    <w:rsid w:val="7FC0E3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F5BED"/>
  <w15:chartTrackingRefBased/>
  <w15:docId w15:val="{ECA58552-0EC6-495B-8517-2FE5E4C01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46F"/>
    <w:pPr>
      <w:spacing w:after="240" w:line="276" w:lineRule="auto"/>
    </w:pPr>
  </w:style>
  <w:style w:type="paragraph" w:styleId="Heading1">
    <w:name w:val="heading 1"/>
    <w:basedOn w:val="Normal"/>
    <w:next w:val="Normal"/>
    <w:link w:val="Heading1Char"/>
    <w:uiPriority w:val="9"/>
    <w:qFormat/>
    <w:rsid w:val="00017EDF"/>
    <w:pPr>
      <w:keepNext/>
      <w:keepLines/>
      <w:numPr>
        <w:numId w:val="2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242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21B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7131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21B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E4D77"/>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77EA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7131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311F5"/>
    <w:pPr>
      <w:keepNext/>
      <w:jc w:val="both"/>
      <w:outlineLvl w:val="8"/>
    </w:pPr>
    <w:rPr>
      <w:rFonts w:ascii="Calibri" w:eastAsia="Calibri" w:hAnsi="Calibri" w:cs="Calibri"/>
      <w:sz w:val="22"/>
      <w:szCs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3A9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3A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63A9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E56CF"/>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2CC" w:themeFill="accent4" w:themeFillTint="33"/>
    </w:tcPr>
  </w:style>
  <w:style w:type="paragraph" w:styleId="Caption">
    <w:name w:val="caption"/>
    <w:basedOn w:val="Normal"/>
    <w:next w:val="Normal"/>
    <w:uiPriority w:val="35"/>
    <w:unhideWhenUsed/>
    <w:qFormat/>
    <w:rsid w:val="00440B00"/>
    <w:pPr>
      <w:spacing w:before="240"/>
      <w:jc w:val="center"/>
    </w:pPr>
    <w:rPr>
      <w:b/>
      <w:iCs/>
      <w:color w:val="000000" w:themeColor="text1"/>
      <w:szCs w:val="18"/>
    </w:rPr>
  </w:style>
  <w:style w:type="paragraph" w:styleId="ListParagraph">
    <w:name w:val="List Paragraph"/>
    <w:basedOn w:val="Normal"/>
    <w:uiPriority w:val="34"/>
    <w:qFormat/>
    <w:rsid w:val="00F045AC"/>
    <w:pPr>
      <w:ind w:left="720"/>
      <w:contextualSpacing/>
    </w:pPr>
  </w:style>
  <w:style w:type="paragraph" w:styleId="Date">
    <w:name w:val="Date"/>
    <w:basedOn w:val="Normal"/>
    <w:next w:val="Normal"/>
    <w:link w:val="DateChar"/>
    <w:uiPriority w:val="99"/>
    <w:unhideWhenUsed/>
    <w:rsid w:val="00796EF6"/>
  </w:style>
  <w:style w:type="character" w:customStyle="1" w:styleId="DateChar">
    <w:name w:val="Date Char"/>
    <w:basedOn w:val="DefaultParagraphFont"/>
    <w:link w:val="Date"/>
    <w:uiPriority w:val="99"/>
    <w:rsid w:val="00796EF6"/>
  </w:style>
  <w:style w:type="paragraph" w:styleId="Footer">
    <w:name w:val="footer"/>
    <w:basedOn w:val="Normal"/>
    <w:link w:val="FooterChar"/>
    <w:uiPriority w:val="99"/>
    <w:unhideWhenUsed/>
    <w:rsid w:val="000A7ABA"/>
    <w:pPr>
      <w:tabs>
        <w:tab w:val="center" w:pos="4680"/>
        <w:tab w:val="right" w:pos="9360"/>
      </w:tabs>
    </w:pPr>
  </w:style>
  <w:style w:type="character" w:customStyle="1" w:styleId="FooterChar">
    <w:name w:val="Footer Char"/>
    <w:basedOn w:val="DefaultParagraphFont"/>
    <w:link w:val="Footer"/>
    <w:uiPriority w:val="99"/>
    <w:rsid w:val="000A7ABA"/>
  </w:style>
  <w:style w:type="character" w:styleId="PageNumber">
    <w:name w:val="page number"/>
    <w:basedOn w:val="DefaultParagraphFont"/>
    <w:uiPriority w:val="99"/>
    <w:semiHidden/>
    <w:unhideWhenUsed/>
    <w:rsid w:val="000A7ABA"/>
  </w:style>
  <w:style w:type="paragraph" w:styleId="Header">
    <w:name w:val="header"/>
    <w:basedOn w:val="Normal"/>
    <w:link w:val="HeaderChar"/>
    <w:uiPriority w:val="99"/>
    <w:unhideWhenUsed/>
    <w:rsid w:val="000A7ABA"/>
    <w:pPr>
      <w:tabs>
        <w:tab w:val="center" w:pos="4680"/>
        <w:tab w:val="right" w:pos="9360"/>
      </w:tabs>
    </w:pPr>
  </w:style>
  <w:style w:type="character" w:customStyle="1" w:styleId="HeaderChar">
    <w:name w:val="Header Char"/>
    <w:basedOn w:val="DefaultParagraphFont"/>
    <w:link w:val="Header"/>
    <w:uiPriority w:val="99"/>
    <w:rsid w:val="000A7ABA"/>
  </w:style>
  <w:style w:type="character" w:customStyle="1" w:styleId="Heading2Char">
    <w:name w:val="Heading 2 Char"/>
    <w:basedOn w:val="DefaultParagraphFont"/>
    <w:link w:val="Heading2"/>
    <w:uiPriority w:val="9"/>
    <w:rsid w:val="00B6242B"/>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unhideWhenUsed/>
    <w:rsid w:val="00020686"/>
    <w:rPr>
      <w:rFonts w:ascii="Segoe UI" w:hAnsi="Segoe UI" w:cs="Segoe UI"/>
      <w:sz w:val="18"/>
      <w:szCs w:val="18"/>
    </w:rPr>
  </w:style>
  <w:style w:type="character" w:customStyle="1" w:styleId="BalloonTextChar">
    <w:name w:val="Balloon Text Char"/>
    <w:basedOn w:val="DefaultParagraphFont"/>
    <w:link w:val="BalloonText"/>
    <w:uiPriority w:val="99"/>
    <w:rsid w:val="00020686"/>
    <w:rPr>
      <w:rFonts w:ascii="Segoe UI" w:hAnsi="Segoe UI" w:cs="Segoe UI"/>
      <w:sz w:val="18"/>
      <w:szCs w:val="18"/>
    </w:rPr>
  </w:style>
  <w:style w:type="paragraph" w:styleId="BodyText">
    <w:name w:val="Body Text"/>
    <w:basedOn w:val="Normal"/>
    <w:link w:val="BodyTextChar"/>
    <w:uiPriority w:val="99"/>
    <w:unhideWhenUsed/>
    <w:rsid w:val="00C713A9"/>
    <w:pPr>
      <w:jc w:val="both"/>
    </w:pPr>
    <w:rPr>
      <w:sz w:val="22"/>
      <w:szCs w:val="22"/>
    </w:rPr>
  </w:style>
  <w:style w:type="character" w:customStyle="1" w:styleId="BodyTextChar">
    <w:name w:val="Body Text Char"/>
    <w:basedOn w:val="DefaultParagraphFont"/>
    <w:link w:val="BodyText"/>
    <w:uiPriority w:val="99"/>
    <w:rsid w:val="00C713A9"/>
    <w:rPr>
      <w:sz w:val="22"/>
      <w:szCs w:val="22"/>
    </w:rPr>
  </w:style>
  <w:style w:type="character" w:customStyle="1" w:styleId="Heading3Char">
    <w:name w:val="Heading 3 Char"/>
    <w:basedOn w:val="DefaultParagraphFont"/>
    <w:link w:val="Heading3"/>
    <w:uiPriority w:val="9"/>
    <w:rsid w:val="003E21B4"/>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3E21B4"/>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3E21B4"/>
    <w:rPr>
      <w:sz w:val="16"/>
      <w:szCs w:val="16"/>
    </w:rPr>
  </w:style>
  <w:style w:type="paragraph" w:styleId="CommentText">
    <w:name w:val="annotation text"/>
    <w:basedOn w:val="Normal"/>
    <w:link w:val="CommentTextChar"/>
    <w:uiPriority w:val="99"/>
    <w:unhideWhenUsed/>
    <w:rsid w:val="003E21B4"/>
    <w:pPr>
      <w:spacing w:after="160"/>
    </w:pPr>
    <w:rPr>
      <w:rFonts w:ascii="Ideal Sans Light" w:eastAsiaTheme="minorHAnsi" w:hAnsi="Ideal Sans Light"/>
      <w:sz w:val="20"/>
      <w:szCs w:val="20"/>
      <w:lang w:eastAsia="en-US"/>
    </w:rPr>
  </w:style>
  <w:style w:type="character" w:customStyle="1" w:styleId="CommentTextChar">
    <w:name w:val="Comment Text Char"/>
    <w:basedOn w:val="DefaultParagraphFont"/>
    <w:link w:val="CommentText"/>
    <w:uiPriority w:val="99"/>
    <w:rsid w:val="003E21B4"/>
    <w:rPr>
      <w:rFonts w:ascii="Ideal Sans Light" w:eastAsiaTheme="minorHAnsi" w:hAnsi="Ideal Sans Light"/>
      <w:sz w:val="20"/>
      <w:szCs w:val="20"/>
      <w:lang w:eastAsia="en-US"/>
    </w:rPr>
  </w:style>
  <w:style w:type="character" w:customStyle="1" w:styleId="Heading7Char">
    <w:name w:val="Heading 7 Char"/>
    <w:basedOn w:val="DefaultParagraphFont"/>
    <w:link w:val="Heading7"/>
    <w:uiPriority w:val="9"/>
    <w:rsid w:val="00177EA4"/>
    <w:rPr>
      <w:rFonts w:asciiTheme="majorHAnsi" w:eastAsiaTheme="majorEastAsia" w:hAnsiTheme="majorHAnsi" w:cstheme="majorBidi"/>
      <w:i/>
      <w:iCs/>
      <w:color w:val="1F3763" w:themeColor="accent1" w:themeShade="7F"/>
    </w:rPr>
  </w:style>
  <w:style w:type="character" w:customStyle="1" w:styleId="Heading6Char">
    <w:name w:val="Heading 6 Char"/>
    <w:basedOn w:val="DefaultParagraphFont"/>
    <w:link w:val="Heading6"/>
    <w:uiPriority w:val="9"/>
    <w:rsid w:val="00DE4D7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71312"/>
    <w:rPr>
      <w:rFonts w:asciiTheme="majorHAnsi" w:eastAsiaTheme="majorEastAsia" w:hAnsiTheme="majorHAnsi" w:cstheme="majorBidi"/>
      <w:i/>
      <w:iCs/>
      <w:color w:val="2F5496" w:themeColor="accent1" w:themeShade="BF"/>
    </w:rPr>
  </w:style>
  <w:style w:type="character" w:customStyle="1" w:styleId="Heading8Char">
    <w:name w:val="Heading 8 Char"/>
    <w:basedOn w:val="DefaultParagraphFont"/>
    <w:link w:val="Heading8"/>
    <w:uiPriority w:val="9"/>
    <w:rsid w:val="006713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311F5"/>
    <w:rPr>
      <w:rFonts w:ascii="Calibri" w:eastAsia="Calibri" w:hAnsi="Calibri" w:cs="Calibri"/>
      <w:sz w:val="22"/>
      <w:szCs w:val="22"/>
      <w:u w:val="single"/>
    </w:rPr>
  </w:style>
  <w:style w:type="paragraph" w:styleId="BodyText2">
    <w:name w:val="Body Text 2"/>
    <w:basedOn w:val="Normal"/>
    <w:link w:val="BodyText2Char"/>
    <w:uiPriority w:val="99"/>
    <w:unhideWhenUsed/>
    <w:rsid w:val="00B56E50"/>
    <w:pPr>
      <w:jc w:val="both"/>
    </w:pPr>
    <w:rPr>
      <w:rFonts w:eastAsia="Ideal Sans Light" w:cstheme="minorHAnsi"/>
    </w:rPr>
  </w:style>
  <w:style w:type="character" w:customStyle="1" w:styleId="BodyText2Char">
    <w:name w:val="Body Text 2 Char"/>
    <w:basedOn w:val="DefaultParagraphFont"/>
    <w:link w:val="BodyText2"/>
    <w:uiPriority w:val="99"/>
    <w:rsid w:val="00B56E50"/>
    <w:rPr>
      <w:rFonts w:eastAsia="Ideal Sans Light" w:cstheme="minorHAnsi"/>
    </w:rPr>
  </w:style>
  <w:style w:type="paragraph" w:styleId="TOC1">
    <w:name w:val="toc 1"/>
    <w:basedOn w:val="Normal"/>
    <w:next w:val="Normal"/>
    <w:autoRedefine/>
    <w:uiPriority w:val="39"/>
    <w:unhideWhenUsed/>
    <w:rsid w:val="004A77B0"/>
    <w:pPr>
      <w:spacing w:before="120" w:after="120"/>
    </w:pPr>
    <w:rPr>
      <w:rFonts w:cstheme="minorHAnsi"/>
      <w:b/>
      <w:bCs/>
      <w:caps/>
      <w:sz w:val="20"/>
    </w:rPr>
  </w:style>
  <w:style w:type="paragraph" w:styleId="TOC2">
    <w:name w:val="toc 2"/>
    <w:basedOn w:val="Normal"/>
    <w:next w:val="Normal"/>
    <w:autoRedefine/>
    <w:uiPriority w:val="39"/>
    <w:unhideWhenUsed/>
    <w:rsid w:val="004A77B0"/>
    <w:pPr>
      <w:spacing w:after="0"/>
      <w:ind w:left="240"/>
    </w:pPr>
    <w:rPr>
      <w:rFonts w:cstheme="minorHAnsi"/>
      <w:smallCaps/>
      <w:sz w:val="20"/>
    </w:rPr>
  </w:style>
  <w:style w:type="paragraph" w:styleId="TOC3">
    <w:name w:val="toc 3"/>
    <w:basedOn w:val="Normal"/>
    <w:next w:val="Normal"/>
    <w:autoRedefine/>
    <w:uiPriority w:val="39"/>
    <w:unhideWhenUsed/>
    <w:rsid w:val="004A77B0"/>
    <w:pPr>
      <w:spacing w:after="0"/>
      <w:ind w:left="480"/>
    </w:pPr>
    <w:rPr>
      <w:rFonts w:cstheme="minorHAnsi"/>
      <w:i/>
      <w:iCs/>
      <w:sz w:val="20"/>
    </w:rPr>
  </w:style>
  <w:style w:type="paragraph" w:styleId="TOC4">
    <w:name w:val="toc 4"/>
    <w:basedOn w:val="Normal"/>
    <w:next w:val="Normal"/>
    <w:autoRedefine/>
    <w:uiPriority w:val="39"/>
    <w:unhideWhenUsed/>
    <w:rsid w:val="004A77B0"/>
    <w:pPr>
      <w:spacing w:after="0"/>
      <w:ind w:left="720"/>
    </w:pPr>
    <w:rPr>
      <w:rFonts w:cstheme="minorHAnsi"/>
      <w:sz w:val="18"/>
      <w:szCs w:val="21"/>
    </w:rPr>
  </w:style>
  <w:style w:type="paragraph" w:styleId="TOC5">
    <w:name w:val="toc 5"/>
    <w:basedOn w:val="Normal"/>
    <w:next w:val="Normal"/>
    <w:autoRedefine/>
    <w:uiPriority w:val="39"/>
    <w:unhideWhenUsed/>
    <w:rsid w:val="004A77B0"/>
    <w:pPr>
      <w:spacing w:after="0"/>
      <w:ind w:left="960"/>
    </w:pPr>
    <w:rPr>
      <w:rFonts w:cstheme="minorHAnsi"/>
      <w:sz w:val="18"/>
      <w:szCs w:val="21"/>
    </w:rPr>
  </w:style>
  <w:style w:type="paragraph" w:styleId="TOC6">
    <w:name w:val="toc 6"/>
    <w:basedOn w:val="Normal"/>
    <w:next w:val="Normal"/>
    <w:autoRedefine/>
    <w:uiPriority w:val="39"/>
    <w:unhideWhenUsed/>
    <w:rsid w:val="004A77B0"/>
    <w:pPr>
      <w:spacing w:after="0"/>
      <w:ind w:left="1200"/>
    </w:pPr>
    <w:rPr>
      <w:rFonts w:cstheme="minorHAnsi"/>
      <w:sz w:val="18"/>
      <w:szCs w:val="21"/>
    </w:rPr>
  </w:style>
  <w:style w:type="paragraph" w:styleId="TOC7">
    <w:name w:val="toc 7"/>
    <w:basedOn w:val="Normal"/>
    <w:next w:val="Normal"/>
    <w:autoRedefine/>
    <w:uiPriority w:val="39"/>
    <w:unhideWhenUsed/>
    <w:rsid w:val="004A77B0"/>
    <w:pPr>
      <w:spacing w:after="0"/>
      <w:ind w:left="1440"/>
    </w:pPr>
    <w:rPr>
      <w:rFonts w:cstheme="minorHAnsi"/>
      <w:sz w:val="18"/>
      <w:szCs w:val="21"/>
    </w:rPr>
  </w:style>
  <w:style w:type="paragraph" w:styleId="TOC8">
    <w:name w:val="toc 8"/>
    <w:basedOn w:val="Normal"/>
    <w:next w:val="Normal"/>
    <w:autoRedefine/>
    <w:uiPriority w:val="39"/>
    <w:unhideWhenUsed/>
    <w:rsid w:val="004A77B0"/>
    <w:pPr>
      <w:spacing w:after="0"/>
      <w:ind w:left="1680"/>
    </w:pPr>
    <w:rPr>
      <w:rFonts w:cstheme="minorHAnsi"/>
      <w:sz w:val="18"/>
      <w:szCs w:val="21"/>
    </w:rPr>
  </w:style>
  <w:style w:type="paragraph" w:styleId="TOC9">
    <w:name w:val="toc 9"/>
    <w:basedOn w:val="Normal"/>
    <w:next w:val="Normal"/>
    <w:autoRedefine/>
    <w:uiPriority w:val="39"/>
    <w:unhideWhenUsed/>
    <w:rsid w:val="004A77B0"/>
    <w:pPr>
      <w:spacing w:after="0"/>
      <w:ind w:left="1920"/>
    </w:pPr>
    <w:rPr>
      <w:rFonts w:cstheme="minorHAnsi"/>
      <w:sz w:val="18"/>
      <w:szCs w:val="21"/>
    </w:rPr>
  </w:style>
  <w:style w:type="character" w:styleId="Hyperlink">
    <w:name w:val="Hyperlink"/>
    <w:basedOn w:val="DefaultParagraphFont"/>
    <w:uiPriority w:val="99"/>
    <w:unhideWhenUsed/>
    <w:rsid w:val="004A77B0"/>
    <w:rPr>
      <w:color w:val="0563C1" w:themeColor="hyperlink"/>
      <w:u w:val="single"/>
    </w:rPr>
  </w:style>
  <w:style w:type="paragraph" w:styleId="TOCHeading">
    <w:name w:val="TOC Heading"/>
    <w:basedOn w:val="Heading1"/>
    <w:next w:val="Normal"/>
    <w:uiPriority w:val="39"/>
    <w:unhideWhenUsed/>
    <w:qFormat/>
    <w:rsid w:val="00D57337"/>
    <w:pPr>
      <w:spacing w:line="259" w:lineRule="auto"/>
      <w:outlineLvl w:val="9"/>
    </w:pPr>
    <w:rPr>
      <w:lang w:eastAsia="en-US"/>
    </w:rPr>
  </w:style>
  <w:style w:type="paragraph" w:styleId="CommentSubject">
    <w:name w:val="annotation subject"/>
    <w:basedOn w:val="CommentText"/>
    <w:next w:val="CommentText"/>
    <w:link w:val="CommentSubjectChar"/>
    <w:uiPriority w:val="99"/>
    <w:semiHidden/>
    <w:unhideWhenUsed/>
    <w:rsid w:val="004B7B32"/>
    <w:pPr>
      <w:spacing w:after="0"/>
    </w:pPr>
    <w:rPr>
      <w:rFonts w:asciiTheme="minorHAnsi" w:eastAsiaTheme="minorEastAsia" w:hAnsiTheme="minorHAnsi"/>
      <w:b/>
      <w:bCs/>
      <w:lang w:eastAsia="zh-CN"/>
    </w:rPr>
  </w:style>
  <w:style w:type="character" w:customStyle="1" w:styleId="CommentSubjectChar">
    <w:name w:val="Comment Subject Char"/>
    <w:basedOn w:val="CommentTextChar"/>
    <w:link w:val="CommentSubject"/>
    <w:uiPriority w:val="99"/>
    <w:semiHidden/>
    <w:rsid w:val="004B7B32"/>
    <w:rPr>
      <w:rFonts w:ascii="Ideal Sans Light" w:eastAsiaTheme="minorHAnsi" w:hAnsi="Ideal Sans Light"/>
      <w:b/>
      <w:bCs/>
      <w:sz w:val="20"/>
      <w:szCs w:val="20"/>
      <w:lang w:eastAsia="en-US"/>
    </w:rPr>
  </w:style>
  <w:style w:type="character" w:styleId="UnresolvedMention">
    <w:name w:val="Unresolved Mention"/>
    <w:basedOn w:val="DefaultParagraphFont"/>
    <w:uiPriority w:val="99"/>
    <w:semiHidden/>
    <w:unhideWhenUsed/>
    <w:rsid w:val="00BA2BA4"/>
    <w:rPr>
      <w:color w:val="605E5C"/>
      <w:shd w:val="clear" w:color="auto" w:fill="E1DFDD"/>
    </w:rPr>
  </w:style>
  <w:style w:type="character" w:styleId="PlaceholderText">
    <w:name w:val="Placeholder Text"/>
    <w:basedOn w:val="DefaultParagraphFont"/>
    <w:uiPriority w:val="99"/>
    <w:semiHidden/>
    <w:rsid w:val="00A11674"/>
    <w:rPr>
      <w:color w:val="808080"/>
    </w:rPr>
  </w:style>
  <w:style w:type="paragraph" w:styleId="FootnoteText">
    <w:name w:val="footnote text"/>
    <w:basedOn w:val="Normal"/>
    <w:link w:val="FootnoteTextChar"/>
    <w:uiPriority w:val="99"/>
    <w:semiHidden/>
    <w:unhideWhenUsed/>
    <w:rsid w:val="0015317A"/>
    <w:pPr>
      <w:spacing w:line="240" w:lineRule="auto"/>
    </w:pPr>
    <w:rPr>
      <w:sz w:val="20"/>
      <w:szCs w:val="20"/>
    </w:rPr>
  </w:style>
  <w:style w:type="character" w:customStyle="1" w:styleId="FootnoteTextChar">
    <w:name w:val="Footnote Text Char"/>
    <w:basedOn w:val="DefaultParagraphFont"/>
    <w:link w:val="FootnoteText"/>
    <w:uiPriority w:val="99"/>
    <w:semiHidden/>
    <w:rsid w:val="0015317A"/>
    <w:rPr>
      <w:sz w:val="20"/>
      <w:szCs w:val="20"/>
    </w:rPr>
  </w:style>
  <w:style w:type="character" w:styleId="FootnoteReference">
    <w:name w:val="footnote reference"/>
    <w:basedOn w:val="DefaultParagraphFont"/>
    <w:uiPriority w:val="99"/>
    <w:semiHidden/>
    <w:unhideWhenUsed/>
    <w:rsid w:val="0015317A"/>
    <w:rPr>
      <w:vertAlign w:val="superscript"/>
    </w:rPr>
  </w:style>
  <w:style w:type="paragraph" w:styleId="NormalWeb">
    <w:name w:val="Normal (Web)"/>
    <w:basedOn w:val="Normal"/>
    <w:uiPriority w:val="99"/>
    <w:semiHidden/>
    <w:unhideWhenUsed/>
    <w:rsid w:val="001014A4"/>
    <w:pPr>
      <w:spacing w:before="100" w:beforeAutospacing="1" w:after="100" w:afterAutospacing="1" w:line="240" w:lineRule="auto"/>
    </w:pPr>
    <w:rPr>
      <w:rFonts w:ascii="Times New Roman" w:eastAsia="Times New Roman" w:hAnsi="Times New Roman" w:cs="Times New Roman"/>
      <w:lang w:bidi="he-IL"/>
    </w:rPr>
  </w:style>
  <w:style w:type="character" w:styleId="LineNumber">
    <w:name w:val="line number"/>
    <w:basedOn w:val="DefaultParagraphFont"/>
    <w:uiPriority w:val="99"/>
    <w:semiHidden/>
    <w:unhideWhenUsed/>
    <w:rsid w:val="00A63B35"/>
  </w:style>
  <w:style w:type="numbering" w:customStyle="1" w:styleId="CurrentList1">
    <w:name w:val="Current List1"/>
    <w:uiPriority w:val="99"/>
    <w:rsid w:val="00017EDF"/>
    <w:pPr>
      <w:numPr>
        <w:numId w:val="26"/>
      </w:numPr>
    </w:pPr>
  </w:style>
  <w:style w:type="numbering" w:customStyle="1" w:styleId="CurrentList2">
    <w:name w:val="Current List2"/>
    <w:uiPriority w:val="99"/>
    <w:rsid w:val="00017EDF"/>
    <w:pPr>
      <w:numPr>
        <w:numId w:val="27"/>
      </w:numPr>
    </w:pPr>
  </w:style>
  <w:style w:type="paragraph" w:customStyle="1" w:styleId="BoxReferences">
    <w:name w:val="Box References"/>
    <w:basedOn w:val="Box"/>
    <w:qFormat/>
    <w:rsid w:val="00DC0383"/>
    <w:pPr>
      <w:ind w:left="284" w:hanging="284"/>
    </w:pPr>
  </w:style>
  <w:style w:type="paragraph" w:customStyle="1" w:styleId="Notes">
    <w:name w:val="Notes"/>
    <w:basedOn w:val="Normal"/>
    <w:qFormat/>
    <w:rsid w:val="004533A2"/>
    <w:pPr>
      <w:tabs>
        <w:tab w:val="left" w:pos="709"/>
      </w:tabs>
      <w:spacing w:after="120" w:line="240" w:lineRule="auto"/>
      <w:ind w:left="709" w:hanging="709"/>
    </w:pPr>
    <w:rPr>
      <w:sz w:val="16"/>
    </w:rPr>
  </w:style>
  <w:style w:type="paragraph" w:customStyle="1" w:styleId="NotesAbbreviations">
    <w:name w:val="Notes Abbreviations"/>
    <w:basedOn w:val="Notes"/>
    <w:qFormat/>
    <w:rsid w:val="004533A2"/>
    <w:pPr>
      <w:ind w:left="0" w:firstLine="0"/>
    </w:pPr>
  </w:style>
  <w:style w:type="paragraph" w:styleId="TableofFigures">
    <w:name w:val="table of figures"/>
    <w:basedOn w:val="Normal"/>
    <w:next w:val="Normal"/>
    <w:uiPriority w:val="99"/>
    <w:unhideWhenUsed/>
    <w:rsid w:val="004B7F63"/>
    <w:pPr>
      <w:spacing w:after="0"/>
    </w:pPr>
  </w:style>
  <w:style w:type="paragraph" w:customStyle="1" w:styleId="References">
    <w:name w:val="References"/>
    <w:basedOn w:val="Normal"/>
    <w:qFormat/>
    <w:rsid w:val="00EC4CDE"/>
    <w:pPr>
      <w:ind w:left="567" w:hanging="567"/>
    </w:pPr>
    <w:rPr>
      <w:rFonts w:ascii="Calibri" w:eastAsia="Calibri" w:hAnsi="Calibri" w:cs="Calibri"/>
    </w:rPr>
  </w:style>
  <w:style w:type="paragraph" w:customStyle="1" w:styleId="Box">
    <w:name w:val="Box"/>
    <w:basedOn w:val="Normal"/>
    <w:qFormat/>
    <w:rsid w:val="00DE56CF"/>
    <w:pPr>
      <w:spacing w:after="120"/>
    </w:pPr>
    <w:rPr>
      <w:rFonts w:eastAsia="Calibri" w:cstheme="minorHAnsi"/>
      <w:color w:val="000000" w:themeColor="text1"/>
      <w:sz w:val="20"/>
      <w:szCs w:val="22"/>
    </w:rPr>
  </w:style>
  <w:style w:type="paragraph" w:customStyle="1" w:styleId="NotesBottom">
    <w:name w:val="Notes Bottom"/>
    <w:basedOn w:val="Notes"/>
    <w:qFormat/>
    <w:rsid w:val="004533A2"/>
    <w:pPr>
      <w:spacing w:after="360"/>
    </w:pPr>
  </w:style>
  <w:style w:type="character" w:styleId="Strong">
    <w:name w:val="Strong"/>
    <w:basedOn w:val="DefaultParagraphFont"/>
    <w:uiPriority w:val="22"/>
    <w:qFormat/>
    <w:rsid w:val="00A76DD5"/>
    <w:rPr>
      <w:b/>
      <w:bCs/>
    </w:rPr>
  </w:style>
  <w:style w:type="paragraph" w:styleId="ListNumber">
    <w:name w:val="List Number"/>
    <w:basedOn w:val="Normal"/>
    <w:uiPriority w:val="99"/>
    <w:semiHidden/>
    <w:unhideWhenUsed/>
    <w:rsid w:val="00732F58"/>
    <w:pPr>
      <w:numPr>
        <w:numId w:val="3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50211">
      <w:bodyDiv w:val="1"/>
      <w:marLeft w:val="0"/>
      <w:marRight w:val="0"/>
      <w:marTop w:val="0"/>
      <w:marBottom w:val="0"/>
      <w:divBdr>
        <w:top w:val="none" w:sz="0" w:space="0" w:color="auto"/>
        <w:left w:val="none" w:sz="0" w:space="0" w:color="auto"/>
        <w:bottom w:val="none" w:sz="0" w:space="0" w:color="auto"/>
        <w:right w:val="none" w:sz="0" w:space="0" w:color="auto"/>
      </w:divBdr>
      <w:divsChild>
        <w:div w:id="1052729728">
          <w:marLeft w:val="0"/>
          <w:marRight w:val="0"/>
          <w:marTop w:val="0"/>
          <w:marBottom w:val="0"/>
          <w:divBdr>
            <w:top w:val="none" w:sz="0" w:space="0" w:color="auto"/>
            <w:left w:val="none" w:sz="0" w:space="0" w:color="auto"/>
            <w:bottom w:val="none" w:sz="0" w:space="0" w:color="auto"/>
            <w:right w:val="none" w:sz="0" w:space="0" w:color="auto"/>
          </w:divBdr>
          <w:divsChild>
            <w:div w:id="949779720">
              <w:marLeft w:val="0"/>
              <w:marRight w:val="0"/>
              <w:marTop w:val="0"/>
              <w:marBottom w:val="0"/>
              <w:divBdr>
                <w:top w:val="none" w:sz="0" w:space="0" w:color="auto"/>
                <w:left w:val="none" w:sz="0" w:space="0" w:color="auto"/>
                <w:bottom w:val="none" w:sz="0" w:space="0" w:color="auto"/>
                <w:right w:val="none" w:sz="0" w:space="0" w:color="auto"/>
              </w:divBdr>
              <w:divsChild>
                <w:div w:id="630942422">
                  <w:marLeft w:val="0"/>
                  <w:marRight w:val="0"/>
                  <w:marTop w:val="0"/>
                  <w:marBottom w:val="0"/>
                  <w:divBdr>
                    <w:top w:val="none" w:sz="0" w:space="0" w:color="auto"/>
                    <w:left w:val="none" w:sz="0" w:space="0" w:color="auto"/>
                    <w:bottom w:val="none" w:sz="0" w:space="0" w:color="auto"/>
                    <w:right w:val="none" w:sz="0" w:space="0" w:color="auto"/>
                  </w:divBdr>
                  <w:divsChild>
                    <w:div w:id="24885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028024">
      <w:bodyDiv w:val="1"/>
      <w:marLeft w:val="0"/>
      <w:marRight w:val="0"/>
      <w:marTop w:val="0"/>
      <w:marBottom w:val="0"/>
      <w:divBdr>
        <w:top w:val="none" w:sz="0" w:space="0" w:color="auto"/>
        <w:left w:val="none" w:sz="0" w:space="0" w:color="auto"/>
        <w:bottom w:val="none" w:sz="0" w:space="0" w:color="auto"/>
        <w:right w:val="none" w:sz="0" w:space="0" w:color="auto"/>
      </w:divBdr>
    </w:div>
    <w:div w:id="1029916478">
      <w:bodyDiv w:val="1"/>
      <w:marLeft w:val="0"/>
      <w:marRight w:val="0"/>
      <w:marTop w:val="0"/>
      <w:marBottom w:val="0"/>
      <w:divBdr>
        <w:top w:val="none" w:sz="0" w:space="0" w:color="auto"/>
        <w:left w:val="none" w:sz="0" w:space="0" w:color="auto"/>
        <w:bottom w:val="none" w:sz="0" w:space="0" w:color="auto"/>
        <w:right w:val="none" w:sz="0" w:space="0" w:color="auto"/>
      </w:divBdr>
      <w:divsChild>
        <w:div w:id="401488415">
          <w:marLeft w:val="0"/>
          <w:marRight w:val="0"/>
          <w:marTop w:val="0"/>
          <w:marBottom w:val="0"/>
          <w:divBdr>
            <w:top w:val="none" w:sz="0" w:space="0" w:color="auto"/>
            <w:left w:val="none" w:sz="0" w:space="0" w:color="auto"/>
            <w:bottom w:val="none" w:sz="0" w:space="0" w:color="auto"/>
            <w:right w:val="none" w:sz="0" w:space="0" w:color="auto"/>
          </w:divBdr>
          <w:divsChild>
            <w:div w:id="599068667">
              <w:marLeft w:val="0"/>
              <w:marRight w:val="0"/>
              <w:marTop w:val="0"/>
              <w:marBottom w:val="0"/>
              <w:divBdr>
                <w:top w:val="none" w:sz="0" w:space="0" w:color="auto"/>
                <w:left w:val="none" w:sz="0" w:space="0" w:color="auto"/>
                <w:bottom w:val="none" w:sz="0" w:space="0" w:color="auto"/>
                <w:right w:val="none" w:sz="0" w:space="0" w:color="auto"/>
              </w:divBdr>
              <w:divsChild>
                <w:div w:id="160533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747570">
      <w:bodyDiv w:val="1"/>
      <w:marLeft w:val="0"/>
      <w:marRight w:val="0"/>
      <w:marTop w:val="0"/>
      <w:marBottom w:val="0"/>
      <w:divBdr>
        <w:top w:val="none" w:sz="0" w:space="0" w:color="auto"/>
        <w:left w:val="none" w:sz="0" w:space="0" w:color="auto"/>
        <w:bottom w:val="none" w:sz="0" w:space="0" w:color="auto"/>
        <w:right w:val="none" w:sz="0" w:space="0" w:color="auto"/>
      </w:divBdr>
      <w:divsChild>
        <w:div w:id="1915818037">
          <w:marLeft w:val="0"/>
          <w:marRight w:val="0"/>
          <w:marTop w:val="0"/>
          <w:marBottom w:val="0"/>
          <w:divBdr>
            <w:top w:val="none" w:sz="0" w:space="0" w:color="auto"/>
            <w:left w:val="none" w:sz="0" w:space="0" w:color="auto"/>
            <w:bottom w:val="none" w:sz="0" w:space="0" w:color="auto"/>
            <w:right w:val="none" w:sz="0" w:space="0" w:color="auto"/>
          </w:divBdr>
          <w:divsChild>
            <w:div w:id="947083456">
              <w:marLeft w:val="0"/>
              <w:marRight w:val="0"/>
              <w:marTop w:val="0"/>
              <w:marBottom w:val="0"/>
              <w:divBdr>
                <w:top w:val="none" w:sz="0" w:space="0" w:color="auto"/>
                <w:left w:val="none" w:sz="0" w:space="0" w:color="auto"/>
                <w:bottom w:val="none" w:sz="0" w:space="0" w:color="auto"/>
                <w:right w:val="none" w:sz="0" w:space="0" w:color="auto"/>
              </w:divBdr>
              <w:divsChild>
                <w:div w:id="2029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821249">
      <w:bodyDiv w:val="1"/>
      <w:marLeft w:val="0"/>
      <w:marRight w:val="0"/>
      <w:marTop w:val="0"/>
      <w:marBottom w:val="0"/>
      <w:divBdr>
        <w:top w:val="none" w:sz="0" w:space="0" w:color="auto"/>
        <w:left w:val="none" w:sz="0" w:space="0" w:color="auto"/>
        <w:bottom w:val="none" w:sz="0" w:space="0" w:color="auto"/>
        <w:right w:val="none" w:sz="0" w:space="0" w:color="auto"/>
      </w:divBdr>
    </w:div>
    <w:div w:id="1264653003">
      <w:bodyDiv w:val="1"/>
      <w:marLeft w:val="0"/>
      <w:marRight w:val="0"/>
      <w:marTop w:val="0"/>
      <w:marBottom w:val="0"/>
      <w:divBdr>
        <w:top w:val="none" w:sz="0" w:space="0" w:color="auto"/>
        <w:left w:val="none" w:sz="0" w:space="0" w:color="auto"/>
        <w:bottom w:val="none" w:sz="0" w:space="0" w:color="auto"/>
        <w:right w:val="none" w:sz="0" w:space="0" w:color="auto"/>
      </w:divBdr>
      <w:divsChild>
        <w:div w:id="191918582">
          <w:marLeft w:val="0"/>
          <w:marRight w:val="0"/>
          <w:marTop w:val="0"/>
          <w:marBottom w:val="0"/>
          <w:divBdr>
            <w:top w:val="none" w:sz="0" w:space="0" w:color="auto"/>
            <w:left w:val="none" w:sz="0" w:space="0" w:color="auto"/>
            <w:bottom w:val="none" w:sz="0" w:space="0" w:color="auto"/>
            <w:right w:val="none" w:sz="0" w:space="0" w:color="auto"/>
          </w:divBdr>
          <w:divsChild>
            <w:div w:id="769159730">
              <w:marLeft w:val="0"/>
              <w:marRight w:val="0"/>
              <w:marTop w:val="0"/>
              <w:marBottom w:val="0"/>
              <w:divBdr>
                <w:top w:val="none" w:sz="0" w:space="0" w:color="auto"/>
                <w:left w:val="none" w:sz="0" w:space="0" w:color="auto"/>
                <w:bottom w:val="none" w:sz="0" w:space="0" w:color="auto"/>
                <w:right w:val="none" w:sz="0" w:space="0" w:color="auto"/>
              </w:divBdr>
            </w:div>
          </w:divsChild>
        </w:div>
        <w:div w:id="511384721">
          <w:marLeft w:val="0"/>
          <w:marRight w:val="0"/>
          <w:marTop w:val="0"/>
          <w:marBottom w:val="0"/>
          <w:divBdr>
            <w:top w:val="none" w:sz="0" w:space="0" w:color="auto"/>
            <w:left w:val="none" w:sz="0" w:space="0" w:color="auto"/>
            <w:bottom w:val="none" w:sz="0" w:space="0" w:color="auto"/>
            <w:right w:val="none" w:sz="0" w:space="0" w:color="auto"/>
          </w:divBdr>
          <w:divsChild>
            <w:div w:id="342704363">
              <w:marLeft w:val="0"/>
              <w:marRight w:val="0"/>
              <w:marTop w:val="0"/>
              <w:marBottom w:val="0"/>
              <w:divBdr>
                <w:top w:val="none" w:sz="0" w:space="0" w:color="auto"/>
                <w:left w:val="none" w:sz="0" w:space="0" w:color="auto"/>
                <w:bottom w:val="none" w:sz="0" w:space="0" w:color="auto"/>
                <w:right w:val="none" w:sz="0" w:space="0" w:color="auto"/>
              </w:divBdr>
            </w:div>
            <w:div w:id="552811341">
              <w:marLeft w:val="0"/>
              <w:marRight w:val="0"/>
              <w:marTop w:val="0"/>
              <w:marBottom w:val="0"/>
              <w:divBdr>
                <w:top w:val="none" w:sz="0" w:space="0" w:color="auto"/>
                <w:left w:val="none" w:sz="0" w:space="0" w:color="auto"/>
                <w:bottom w:val="none" w:sz="0" w:space="0" w:color="auto"/>
                <w:right w:val="none" w:sz="0" w:space="0" w:color="auto"/>
              </w:divBdr>
            </w:div>
          </w:divsChild>
        </w:div>
        <w:div w:id="555549006">
          <w:marLeft w:val="0"/>
          <w:marRight w:val="0"/>
          <w:marTop w:val="0"/>
          <w:marBottom w:val="0"/>
          <w:divBdr>
            <w:top w:val="none" w:sz="0" w:space="0" w:color="auto"/>
            <w:left w:val="none" w:sz="0" w:space="0" w:color="auto"/>
            <w:bottom w:val="none" w:sz="0" w:space="0" w:color="auto"/>
            <w:right w:val="none" w:sz="0" w:space="0" w:color="auto"/>
          </w:divBdr>
          <w:divsChild>
            <w:div w:id="1642610203">
              <w:marLeft w:val="0"/>
              <w:marRight w:val="0"/>
              <w:marTop w:val="0"/>
              <w:marBottom w:val="0"/>
              <w:divBdr>
                <w:top w:val="none" w:sz="0" w:space="0" w:color="auto"/>
                <w:left w:val="none" w:sz="0" w:space="0" w:color="auto"/>
                <w:bottom w:val="none" w:sz="0" w:space="0" w:color="auto"/>
                <w:right w:val="none" w:sz="0" w:space="0" w:color="auto"/>
              </w:divBdr>
            </w:div>
          </w:divsChild>
        </w:div>
        <w:div w:id="559831811">
          <w:marLeft w:val="0"/>
          <w:marRight w:val="0"/>
          <w:marTop w:val="0"/>
          <w:marBottom w:val="0"/>
          <w:divBdr>
            <w:top w:val="none" w:sz="0" w:space="0" w:color="auto"/>
            <w:left w:val="none" w:sz="0" w:space="0" w:color="auto"/>
            <w:bottom w:val="none" w:sz="0" w:space="0" w:color="auto"/>
            <w:right w:val="none" w:sz="0" w:space="0" w:color="auto"/>
          </w:divBdr>
          <w:divsChild>
            <w:div w:id="2114283575">
              <w:marLeft w:val="0"/>
              <w:marRight w:val="0"/>
              <w:marTop w:val="0"/>
              <w:marBottom w:val="0"/>
              <w:divBdr>
                <w:top w:val="none" w:sz="0" w:space="0" w:color="auto"/>
                <w:left w:val="none" w:sz="0" w:space="0" w:color="auto"/>
                <w:bottom w:val="none" w:sz="0" w:space="0" w:color="auto"/>
                <w:right w:val="none" w:sz="0" w:space="0" w:color="auto"/>
              </w:divBdr>
            </w:div>
          </w:divsChild>
        </w:div>
        <w:div w:id="648946366">
          <w:marLeft w:val="0"/>
          <w:marRight w:val="0"/>
          <w:marTop w:val="0"/>
          <w:marBottom w:val="0"/>
          <w:divBdr>
            <w:top w:val="none" w:sz="0" w:space="0" w:color="auto"/>
            <w:left w:val="none" w:sz="0" w:space="0" w:color="auto"/>
            <w:bottom w:val="none" w:sz="0" w:space="0" w:color="auto"/>
            <w:right w:val="none" w:sz="0" w:space="0" w:color="auto"/>
          </w:divBdr>
          <w:divsChild>
            <w:div w:id="1596354132">
              <w:marLeft w:val="0"/>
              <w:marRight w:val="0"/>
              <w:marTop w:val="0"/>
              <w:marBottom w:val="0"/>
              <w:divBdr>
                <w:top w:val="none" w:sz="0" w:space="0" w:color="auto"/>
                <w:left w:val="none" w:sz="0" w:space="0" w:color="auto"/>
                <w:bottom w:val="none" w:sz="0" w:space="0" w:color="auto"/>
                <w:right w:val="none" w:sz="0" w:space="0" w:color="auto"/>
              </w:divBdr>
            </w:div>
          </w:divsChild>
        </w:div>
        <w:div w:id="938492096">
          <w:marLeft w:val="0"/>
          <w:marRight w:val="0"/>
          <w:marTop w:val="0"/>
          <w:marBottom w:val="0"/>
          <w:divBdr>
            <w:top w:val="none" w:sz="0" w:space="0" w:color="auto"/>
            <w:left w:val="none" w:sz="0" w:space="0" w:color="auto"/>
            <w:bottom w:val="none" w:sz="0" w:space="0" w:color="auto"/>
            <w:right w:val="none" w:sz="0" w:space="0" w:color="auto"/>
          </w:divBdr>
          <w:divsChild>
            <w:div w:id="493766469">
              <w:marLeft w:val="0"/>
              <w:marRight w:val="0"/>
              <w:marTop w:val="0"/>
              <w:marBottom w:val="0"/>
              <w:divBdr>
                <w:top w:val="none" w:sz="0" w:space="0" w:color="auto"/>
                <w:left w:val="none" w:sz="0" w:space="0" w:color="auto"/>
                <w:bottom w:val="none" w:sz="0" w:space="0" w:color="auto"/>
                <w:right w:val="none" w:sz="0" w:space="0" w:color="auto"/>
              </w:divBdr>
            </w:div>
          </w:divsChild>
        </w:div>
        <w:div w:id="976759261">
          <w:marLeft w:val="0"/>
          <w:marRight w:val="0"/>
          <w:marTop w:val="0"/>
          <w:marBottom w:val="0"/>
          <w:divBdr>
            <w:top w:val="none" w:sz="0" w:space="0" w:color="auto"/>
            <w:left w:val="none" w:sz="0" w:space="0" w:color="auto"/>
            <w:bottom w:val="none" w:sz="0" w:space="0" w:color="auto"/>
            <w:right w:val="none" w:sz="0" w:space="0" w:color="auto"/>
          </w:divBdr>
          <w:divsChild>
            <w:div w:id="81688993">
              <w:marLeft w:val="0"/>
              <w:marRight w:val="0"/>
              <w:marTop w:val="0"/>
              <w:marBottom w:val="0"/>
              <w:divBdr>
                <w:top w:val="none" w:sz="0" w:space="0" w:color="auto"/>
                <w:left w:val="none" w:sz="0" w:space="0" w:color="auto"/>
                <w:bottom w:val="none" w:sz="0" w:space="0" w:color="auto"/>
                <w:right w:val="none" w:sz="0" w:space="0" w:color="auto"/>
              </w:divBdr>
            </w:div>
          </w:divsChild>
        </w:div>
        <w:div w:id="1243881054">
          <w:marLeft w:val="0"/>
          <w:marRight w:val="0"/>
          <w:marTop w:val="0"/>
          <w:marBottom w:val="0"/>
          <w:divBdr>
            <w:top w:val="none" w:sz="0" w:space="0" w:color="auto"/>
            <w:left w:val="none" w:sz="0" w:space="0" w:color="auto"/>
            <w:bottom w:val="none" w:sz="0" w:space="0" w:color="auto"/>
            <w:right w:val="none" w:sz="0" w:space="0" w:color="auto"/>
          </w:divBdr>
          <w:divsChild>
            <w:div w:id="592586993">
              <w:marLeft w:val="0"/>
              <w:marRight w:val="0"/>
              <w:marTop w:val="0"/>
              <w:marBottom w:val="0"/>
              <w:divBdr>
                <w:top w:val="none" w:sz="0" w:space="0" w:color="auto"/>
                <w:left w:val="none" w:sz="0" w:space="0" w:color="auto"/>
                <w:bottom w:val="none" w:sz="0" w:space="0" w:color="auto"/>
                <w:right w:val="none" w:sz="0" w:space="0" w:color="auto"/>
              </w:divBdr>
            </w:div>
          </w:divsChild>
        </w:div>
        <w:div w:id="1288779052">
          <w:marLeft w:val="0"/>
          <w:marRight w:val="0"/>
          <w:marTop w:val="0"/>
          <w:marBottom w:val="0"/>
          <w:divBdr>
            <w:top w:val="none" w:sz="0" w:space="0" w:color="auto"/>
            <w:left w:val="none" w:sz="0" w:space="0" w:color="auto"/>
            <w:bottom w:val="none" w:sz="0" w:space="0" w:color="auto"/>
            <w:right w:val="none" w:sz="0" w:space="0" w:color="auto"/>
          </w:divBdr>
          <w:divsChild>
            <w:div w:id="551157962">
              <w:marLeft w:val="0"/>
              <w:marRight w:val="0"/>
              <w:marTop w:val="0"/>
              <w:marBottom w:val="0"/>
              <w:divBdr>
                <w:top w:val="none" w:sz="0" w:space="0" w:color="auto"/>
                <w:left w:val="none" w:sz="0" w:space="0" w:color="auto"/>
                <w:bottom w:val="none" w:sz="0" w:space="0" w:color="auto"/>
                <w:right w:val="none" w:sz="0" w:space="0" w:color="auto"/>
              </w:divBdr>
            </w:div>
          </w:divsChild>
        </w:div>
        <w:div w:id="1420830103">
          <w:marLeft w:val="0"/>
          <w:marRight w:val="0"/>
          <w:marTop w:val="0"/>
          <w:marBottom w:val="0"/>
          <w:divBdr>
            <w:top w:val="none" w:sz="0" w:space="0" w:color="auto"/>
            <w:left w:val="none" w:sz="0" w:space="0" w:color="auto"/>
            <w:bottom w:val="none" w:sz="0" w:space="0" w:color="auto"/>
            <w:right w:val="none" w:sz="0" w:space="0" w:color="auto"/>
          </w:divBdr>
          <w:divsChild>
            <w:div w:id="184559464">
              <w:marLeft w:val="0"/>
              <w:marRight w:val="0"/>
              <w:marTop w:val="0"/>
              <w:marBottom w:val="0"/>
              <w:divBdr>
                <w:top w:val="none" w:sz="0" w:space="0" w:color="auto"/>
                <w:left w:val="none" w:sz="0" w:space="0" w:color="auto"/>
                <w:bottom w:val="none" w:sz="0" w:space="0" w:color="auto"/>
                <w:right w:val="none" w:sz="0" w:space="0" w:color="auto"/>
              </w:divBdr>
            </w:div>
          </w:divsChild>
        </w:div>
        <w:div w:id="1637025360">
          <w:marLeft w:val="0"/>
          <w:marRight w:val="0"/>
          <w:marTop w:val="0"/>
          <w:marBottom w:val="0"/>
          <w:divBdr>
            <w:top w:val="none" w:sz="0" w:space="0" w:color="auto"/>
            <w:left w:val="none" w:sz="0" w:space="0" w:color="auto"/>
            <w:bottom w:val="none" w:sz="0" w:space="0" w:color="auto"/>
            <w:right w:val="none" w:sz="0" w:space="0" w:color="auto"/>
          </w:divBdr>
          <w:divsChild>
            <w:div w:id="465970548">
              <w:marLeft w:val="0"/>
              <w:marRight w:val="0"/>
              <w:marTop w:val="0"/>
              <w:marBottom w:val="0"/>
              <w:divBdr>
                <w:top w:val="none" w:sz="0" w:space="0" w:color="auto"/>
                <w:left w:val="none" w:sz="0" w:space="0" w:color="auto"/>
                <w:bottom w:val="none" w:sz="0" w:space="0" w:color="auto"/>
                <w:right w:val="none" w:sz="0" w:space="0" w:color="auto"/>
              </w:divBdr>
            </w:div>
          </w:divsChild>
        </w:div>
        <w:div w:id="1822425782">
          <w:marLeft w:val="0"/>
          <w:marRight w:val="0"/>
          <w:marTop w:val="0"/>
          <w:marBottom w:val="0"/>
          <w:divBdr>
            <w:top w:val="none" w:sz="0" w:space="0" w:color="auto"/>
            <w:left w:val="none" w:sz="0" w:space="0" w:color="auto"/>
            <w:bottom w:val="none" w:sz="0" w:space="0" w:color="auto"/>
            <w:right w:val="none" w:sz="0" w:space="0" w:color="auto"/>
          </w:divBdr>
          <w:divsChild>
            <w:div w:id="114696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81780">
      <w:bodyDiv w:val="1"/>
      <w:marLeft w:val="0"/>
      <w:marRight w:val="0"/>
      <w:marTop w:val="0"/>
      <w:marBottom w:val="0"/>
      <w:divBdr>
        <w:top w:val="none" w:sz="0" w:space="0" w:color="auto"/>
        <w:left w:val="none" w:sz="0" w:space="0" w:color="auto"/>
        <w:bottom w:val="none" w:sz="0" w:space="0" w:color="auto"/>
        <w:right w:val="none" w:sz="0" w:space="0" w:color="auto"/>
      </w:divBdr>
      <w:divsChild>
        <w:div w:id="900023760">
          <w:marLeft w:val="0"/>
          <w:marRight w:val="0"/>
          <w:marTop w:val="0"/>
          <w:marBottom w:val="0"/>
          <w:divBdr>
            <w:top w:val="none" w:sz="0" w:space="0" w:color="auto"/>
            <w:left w:val="none" w:sz="0" w:space="0" w:color="auto"/>
            <w:bottom w:val="none" w:sz="0" w:space="0" w:color="auto"/>
            <w:right w:val="none" w:sz="0" w:space="0" w:color="auto"/>
          </w:divBdr>
          <w:divsChild>
            <w:div w:id="663898001">
              <w:marLeft w:val="0"/>
              <w:marRight w:val="0"/>
              <w:marTop w:val="0"/>
              <w:marBottom w:val="0"/>
              <w:divBdr>
                <w:top w:val="none" w:sz="0" w:space="0" w:color="auto"/>
                <w:left w:val="none" w:sz="0" w:space="0" w:color="auto"/>
                <w:bottom w:val="none" w:sz="0" w:space="0" w:color="auto"/>
                <w:right w:val="none" w:sz="0" w:space="0" w:color="auto"/>
              </w:divBdr>
              <w:divsChild>
                <w:div w:id="454786748">
                  <w:marLeft w:val="0"/>
                  <w:marRight w:val="0"/>
                  <w:marTop w:val="0"/>
                  <w:marBottom w:val="0"/>
                  <w:divBdr>
                    <w:top w:val="none" w:sz="0" w:space="0" w:color="auto"/>
                    <w:left w:val="none" w:sz="0" w:space="0" w:color="auto"/>
                    <w:bottom w:val="none" w:sz="0" w:space="0" w:color="auto"/>
                    <w:right w:val="none" w:sz="0" w:space="0" w:color="auto"/>
                  </w:divBdr>
                  <w:divsChild>
                    <w:div w:id="20015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86165">
      <w:bodyDiv w:val="1"/>
      <w:marLeft w:val="0"/>
      <w:marRight w:val="0"/>
      <w:marTop w:val="0"/>
      <w:marBottom w:val="0"/>
      <w:divBdr>
        <w:top w:val="none" w:sz="0" w:space="0" w:color="auto"/>
        <w:left w:val="none" w:sz="0" w:space="0" w:color="auto"/>
        <w:bottom w:val="none" w:sz="0" w:space="0" w:color="auto"/>
        <w:right w:val="none" w:sz="0" w:space="0" w:color="auto"/>
      </w:divBdr>
    </w:div>
    <w:div w:id="1751582436">
      <w:bodyDiv w:val="1"/>
      <w:marLeft w:val="0"/>
      <w:marRight w:val="0"/>
      <w:marTop w:val="0"/>
      <w:marBottom w:val="0"/>
      <w:divBdr>
        <w:top w:val="none" w:sz="0" w:space="0" w:color="auto"/>
        <w:left w:val="none" w:sz="0" w:space="0" w:color="auto"/>
        <w:bottom w:val="none" w:sz="0" w:space="0" w:color="auto"/>
        <w:right w:val="none" w:sz="0" w:space="0" w:color="auto"/>
      </w:divBdr>
      <w:divsChild>
        <w:div w:id="673996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6.emf"/><Relationship Id="rId26" Type="http://schemas.openxmlformats.org/officeDocument/2006/relationships/image" Target="media/image14.emf"/><Relationship Id="rId21" Type="http://schemas.openxmlformats.org/officeDocument/2006/relationships/image" Target="media/image9.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microsoft.com/office/2007/relationships/diagramDrawing" Target="diagrams/drawing1.xml"/><Relationship Id="rId25" Type="http://schemas.openxmlformats.org/officeDocument/2006/relationships/image" Target="media/image13.emf"/><Relationship Id="rId33"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8.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Layout" Target="diagrams/layout1.xml"/><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DD3A76-7468-3040-9844-7B230A993803}"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A34195A7-FC3E-E348-A100-304C270FB0DA}">
      <dgm:prSet phldrT="[Text]" custT="1"/>
      <dgm:spPr>
        <a:solidFill>
          <a:schemeClr val="bg1"/>
        </a:solidFill>
        <a:ln w="12700">
          <a:solidFill>
            <a:schemeClr val="tx1"/>
          </a:solidFill>
        </a:ln>
      </dgm:spPr>
      <dgm:t>
        <a:bodyPr/>
        <a:lstStyle/>
        <a:p>
          <a:r>
            <a:rPr lang="en-US" sz="1000">
              <a:solidFill>
                <a:sysClr val="windowText" lastClr="000000"/>
              </a:solidFill>
            </a:rPr>
            <a:t>Gross</a:t>
          </a:r>
          <a:br>
            <a:rPr lang="en-US" sz="1000">
              <a:solidFill>
                <a:sysClr val="windowText" lastClr="000000"/>
              </a:solidFill>
            </a:rPr>
          </a:br>
          <a:r>
            <a:rPr lang="en-US" sz="1000">
              <a:solidFill>
                <a:sysClr val="windowText" lastClr="000000"/>
              </a:solidFill>
            </a:rPr>
            <a:t>exports </a:t>
          </a:r>
          <a:br>
            <a:rPr lang="en-US" sz="1000">
              <a:solidFill>
                <a:sysClr val="windowText" lastClr="000000"/>
              </a:solidFill>
            </a:rPr>
          </a:br>
          <a:r>
            <a:rPr lang="en-US" sz="1000">
              <a:solidFill>
                <a:sysClr val="windowText" lastClr="000000"/>
              </a:solidFill>
            </a:rPr>
            <a:t>by </a:t>
          </a:r>
          <a:r>
            <a:rPr lang="en-US" sz="1000" i="1">
              <a:solidFill>
                <a:sysClr val="windowText" lastClr="000000"/>
              </a:solidFill>
            </a:rPr>
            <a:t>H</a:t>
          </a:r>
          <a:r>
            <a:rPr lang="en-US" sz="1000">
              <a:solidFill>
                <a:sysClr val="windowText" lastClr="000000"/>
              </a:solidFill>
            </a:rPr>
            <a:t> to </a:t>
          </a:r>
          <a:r>
            <a:rPr lang="en-US" sz="1000" i="1">
              <a:solidFill>
                <a:sysClr val="windowText" lastClr="000000"/>
              </a:solidFill>
            </a:rPr>
            <a:t>P</a:t>
          </a:r>
        </a:p>
      </dgm:t>
    </dgm:pt>
    <dgm:pt modelId="{CCF8D461-7380-5146-964E-3882224B466A}" type="parTrans" cxnId="{0571F94E-64B6-DB4F-992F-7F6445D5B711}">
      <dgm:prSet/>
      <dgm:spPr/>
      <dgm:t>
        <a:bodyPr/>
        <a:lstStyle/>
        <a:p>
          <a:endParaRPr lang="en-US" sz="1100">
            <a:solidFill>
              <a:sysClr val="windowText" lastClr="000000"/>
            </a:solidFill>
          </a:endParaRPr>
        </a:p>
      </dgm:t>
    </dgm:pt>
    <dgm:pt modelId="{5FEB777C-C9FA-AF42-BFD1-3DD6D1DD0375}" type="sibTrans" cxnId="{0571F94E-64B6-DB4F-992F-7F6445D5B711}">
      <dgm:prSet/>
      <dgm:spPr/>
      <dgm:t>
        <a:bodyPr/>
        <a:lstStyle/>
        <a:p>
          <a:endParaRPr lang="en-US" sz="1100">
            <a:solidFill>
              <a:sysClr val="windowText" lastClr="000000"/>
            </a:solidFill>
          </a:endParaRPr>
        </a:p>
      </dgm:t>
    </dgm:pt>
    <dgm:pt modelId="{C19F05D8-13C3-3F4E-BFD4-16C01A3FE872}">
      <dgm:prSet phldrT="[Text]" custT="1"/>
      <dgm:spPr>
        <a:solidFill>
          <a:schemeClr val="bg1"/>
        </a:solidFill>
        <a:ln w="12700">
          <a:solidFill>
            <a:schemeClr val="tx1"/>
          </a:solidFill>
        </a:ln>
      </dgm:spPr>
      <dgm:t>
        <a:bodyPr/>
        <a:lstStyle/>
        <a:p>
          <a:r>
            <a:rPr lang="en-US" sz="1000">
              <a:solidFill>
                <a:sysClr val="windowText" lastClr="000000"/>
              </a:solidFill>
            </a:rPr>
            <a:t>Domestic value added</a:t>
          </a:r>
        </a:p>
      </dgm:t>
    </dgm:pt>
    <dgm:pt modelId="{1E791FC9-314F-2649-9D3C-09DDF5BF7AD4}" type="parTrans" cxnId="{C3959937-5143-C64E-8535-10AE7070D0DF}">
      <dgm:prSet/>
      <dgm:spPr>
        <a:ln>
          <a:solidFill>
            <a:schemeClr val="tx1"/>
          </a:solidFill>
        </a:ln>
      </dgm:spPr>
      <dgm:t>
        <a:bodyPr/>
        <a:lstStyle/>
        <a:p>
          <a:endParaRPr lang="en-US" sz="1100">
            <a:solidFill>
              <a:sysClr val="windowText" lastClr="000000"/>
            </a:solidFill>
          </a:endParaRPr>
        </a:p>
      </dgm:t>
    </dgm:pt>
    <dgm:pt modelId="{001B3602-8783-1F45-898E-FAA72C8C2478}" type="sibTrans" cxnId="{C3959937-5143-C64E-8535-10AE7070D0DF}">
      <dgm:prSet/>
      <dgm:spPr/>
      <dgm:t>
        <a:bodyPr/>
        <a:lstStyle/>
        <a:p>
          <a:endParaRPr lang="en-US" sz="1100">
            <a:solidFill>
              <a:sysClr val="windowText" lastClr="000000"/>
            </a:solidFill>
          </a:endParaRPr>
        </a:p>
      </dgm:t>
    </dgm:pt>
    <dgm:pt modelId="{D67C7094-7850-8243-96D2-BFB0CCA8E1E4}">
      <dgm:prSet custT="1"/>
      <dgm:spPr>
        <a:solidFill>
          <a:schemeClr val="bg1"/>
        </a:solidFill>
        <a:ln w="12700">
          <a:solidFill>
            <a:schemeClr val="tx1"/>
          </a:solidFill>
        </a:ln>
      </dgm:spPr>
      <dgm:t>
        <a:bodyPr/>
        <a:lstStyle/>
        <a:p>
          <a:r>
            <a:rPr lang="en-US" sz="1000">
              <a:solidFill>
                <a:sysClr val="windowText" lastClr="000000"/>
              </a:solidFill>
            </a:rPr>
            <a:t>Foreign</a:t>
          </a:r>
          <a:br>
            <a:rPr lang="en-US" sz="1000">
              <a:solidFill>
                <a:sysClr val="windowText" lastClr="000000"/>
              </a:solidFill>
            </a:rPr>
          </a:br>
          <a:r>
            <a:rPr lang="en-US" sz="1000">
              <a:solidFill>
                <a:sysClr val="windowText" lastClr="000000"/>
              </a:solidFill>
            </a:rPr>
            <a:t>value added</a:t>
          </a:r>
        </a:p>
        <a:p>
          <a:r>
            <a:rPr lang="en-US" sz="1000" b="1">
              <a:solidFill>
                <a:sysClr val="windowText" lastClr="000000"/>
              </a:solidFill>
            </a:rPr>
            <a:t>FVA</a:t>
          </a:r>
        </a:p>
      </dgm:t>
    </dgm:pt>
    <dgm:pt modelId="{EF1BFA49-049F-3B46-818D-4D1ED8FCFE2C}" type="parTrans" cxnId="{3C686C01-262A-5146-A25E-AD5D09276FDA}">
      <dgm:prSet/>
      <dgm:spPr>
        <a:ln>
          <a:solidFill>
            <a:schemeClr val="tx1"/>
          </a:solidFill>
        </a:ln>
      </dgm:spPr>
      <dgm:t>
        <a:bodyPr/>
        <a:lstStyle/>
        <a:p>
          <a:endParaRPr lang="en-US"/>
        </a:p>
      </dgm:t>
    </dgm:pt>
    <dgm:pt modelId="{F0A8344C-2591-A64E-AC6B-41F0A1E70AB4}" type="sibTrans" cxnId="{3C686C01-262A-5146-A25E-AD5D09276FDA}">
      <dgm:prSet/>
      <dgm:spPr/>
      <dgm:t>
        <a:bodyPr/>
        <a:lstStyle/>
        <a:p>
          <a:endParaRPr lang="en-US"/>
        </a:p>
      </dgm:t>
    </dgm:pt>
    <dgm:pt modelId="{38AD81CF-F038-1040-AB88-E7471F99F77C}">
      <dgm:prSet custT="1"/>
      <dgm:spPr>
        <a:solidFill>
          <a:schemeClr val="bg1"/>
        </a:solidFill>
        <a:ln>
          <a:solidFill>
            <a:schemeClr val="tx1"/>
          </a:solidFill>
        </a:ln>
      </dgm:spPr>
      <dgm:t>
        <a:bodyPr/>
        <a:lstStyle/>
        <a:p>
          <a:r>
            <a:rPr lang="en-US" sz="1000">
              <a:solidFill>
                <a:sysClr val="windowText" lastClr="000000"/>
              </a:solidFill>
            </a:rPr>
            <a:t>Pure</a:t>
          </a:r>
          <a:br>
            <a:rPr lang="en-US" sz="1000">
              <a:solidFill>
                <a:sysClr val="windowText" lastClr="000000"/>
              </a:solidFill>
            </a:rPr>
          </a:br>
          <a:r>
            <a:rPr lang="en-US" sz="1000">
              <a:solidFill>
                <a:sysClr val="windowText" lastClr="000000"/>
              </a:solidFill>
            </a:rPr>
            <a:t>double-counting</a:t>
          </a:r>
        </a:p>
        <a:p>
          <a:r>
            <a:rPr lang="en-US" sz="1000" b="1">
              <a:solidFill>
                <a:sysClr val="windowText" lastClr="000000"/>
              </a:solidFill>
            </a:rPr>
            <a:t>PDC</a:t>
          </a:r>
        </a:p>
      </dgm:t>
    </dgm:pt>
    <dgm:pt modelId="{4EA97F6A-7053-5841-8CBD-09854139C347}" type="parTrans" cxnId="{4F911ABC-3252-F845-8DC5-8B40BF08A985}">
      <dgm:prSet/>
      <dgm:spPr>
        <a:ln>
          <a:solidFill>
            <a:schemeClr val="tx1"/>
          </a:solidFill>
        </a:ln>
      </dgm:spPr>
      <dgm:t>
        <a:bodyPr/>
        <a:lstStyle/>
        <a:p>
          <a:endParaRPr lang="en-US"/>
        </a:p>
      </dgm:t>
    </dgm:pt>
    <dgm:pt modelId="{630DF37E-E7E1-9A4A-9DE8-2A33CD746AC2}" type="sibTrans" cxnId="{4F911ABC-3252-F845-8DC5-8B40BF08A985}">
      <dgm:prSet/>
      <dgm:spPr/>
      <dgm:t>
        <a:bodyPr/>
        <a:lstStyle/>
        <a:p>
          <a:endParaRPr lang="en-US"/>
        </a:p>
      </dgm:t>
    </dgm:pt>
    <dgm:pt modelId="{2EF7CB5F-130B-CB46-914C-E4AAF8009D56}">
      <dgm:prSet custT="1"/>
      <dgm:spPr>
        <a:solidFill>
          <a:schemeClr val="bg1"/>
        </a:solidFill>
        <a:ln>
          <a:solidFill>
            <a:schemeClr val="tx1"/>
          </a:solidFill>
        </a:ln>
      </dgm:spPr>
      <dgm:t>
        <a:bodyPr/>
        <a:lstStyle/>
        <a:p>
          <a:r>
            <a:rPr lang="en-US" sz="1000">
              <a:solidFill>
                <a:sysClr val="windowText" lastClr="000000"/>
              </a:solidFill>
            </a:rPr>
            <a:t>Directly </a:t>
          </a:r>
          <a:br>
            <a:rPr lang="en-US" sz="1000">
              <a:solidFill>
                <a:sysClr val="windowText" lastClr="000000"/>
              </a:solidFill>
            </a:rPr>
          </a:br>
          <a:r>
            <a:rPr lang="en-US" sz="1000">
              <a:solidFill>
                <a:sysClr val="windowText" lastClr="000000"/>
              </a:solidFill>
            </a:rPr>
            <a:t>absorbed by </a:t>
          </a:r>
          <a:r>
            <a:rPr lang="en-US" sz="1000" i="1">
              <a:solidFill>
                <a:sysClr val="windowText" lastClr="000000"/>
              </a:solidFill>
            </a:rPr>
            <a:t>P</a:t>
          </a:r>
        </a:p>
        <a:p>
          <a:r>
            <a:rPr lang="en-US" sz="1000" b="1" i="0">
              <a:solidFill>
                <a:sysClr val="windowText" lastClr="000000"/>
              </a:solidFill>
            </a:rPr>
            <a:t>DAVAX</a:t>
          </a:r>
        </a:p>
      </dgm:t>
    </dgm:pt>
    <dgm:pt modelId="{5091D2C5-D48E-0340-8C22-3FD5958BB231}" type="parTrans" cxnId="{048BD2BE-5889-0141-8E44-85EEF79025E1}">
      <dgm:prSet/>
      <dgm:spPr>
        <a:ln>
          <a:solidFill>
            <a:schemeClr val="tx1"/>
          </a:solidFill>
        </a:ln>
      </dgm:spPr>
      <dgm:t>
        <a:bodyPr/>
        <a:lstStyle/>
        <a:p>
          <a:endParaRPr lang="en-US"/>
        </a:p>
      </dgm:t>
    </dgm:pt>
    <dgm:pt modelId="{9371C640-BC84-464D-9654-60C3A2C7580D}" type="sibTrans" cxnId="{048BD2BE-5889-0141-8E44-85EEF79025E1}">
      <dgm:prSet/>
      <dgm:spPr/>
      <dgm:t>
        <a:bodyPr/>
        <a:lstStyle/>
        <a:p>
          <a:endParaRPr lang="en-US"/>
        </a:p>
      </dgm:t>
    </dgm:pt>
    <dgm:pt modelId="{FDD445C5-9470-2645-89D6-8E7B97B999C9}">
      <dgm:prSet custT="1"/>
      <dgm:spPr>
        <a:solidFill>
          <a:schemeClr val="bg1"/>
        </a:solidFill>
        <a:ln>
          <a:solidFill>
            <a:schemeClr val="tx1"/>
          </a:solidFill>
        </a:ln>
      </dgm:spPr>
      <dgm:t>
        <a:bodyPr/>
        <a:lstStyle/>
        <a:p>
          <a:r>
            <a:rPr lang="en-US" sz="1000">
              <a:solidFill>
                <a:sysClr val="windowText" lastClr="000000"/>
              </a:solidFill>
            </a:rPr>
            <a:t>As </a:t>
          </a:r>
          <a:br>
            <a:rPr lang="en-US" sz="1000">
              <a:solidFill>
                <a:sysClr val="windowText" lastClr="000000"/>
              </a:solidFill>
            </a:rPr>
          </a:br>
          <a:r>
            <a:rPr lang="en-US" sz="1000">
              <a:solidFill>
                <a:sysClr val="windowText" lastClr="000000"/>
              </a:solidFill>
            </a:rPr>
            <a:t>final goods</a:t>
          </a:r>
        </a:p>
        <a:p>
          <a:r>
            <a:rPr lang="en-US" sz="1000" b="1">
              <a:solidFill>
                <a:sysClr val="windowText" lastClr="000000"/>
              </a:solidFill>
            </a:rPr>
            <a:t>DAVAX1</a:t>
          </a:r>
        </a:p>
      </dgm:t>
    </dgm:pt>
    <dgm:pt modelId="{8A3B04AF-B1F4-D643-8367-24CA470E0A3E}" type="parTrans" cxnId="{DABDE0B8-9451-D648-AB40-F66EA4C1AE3A}">
      <dgm:prSet/>
      <dgm:spPr>
        <a:ln>
          <a:solidFill>
            <a:schemeClr val="tx1"/>
          </a:solidFill>
        </a:ln>
      </dgm:spPr>
      <dgm:t>
        <a:bodyPr/>
        <a:lstStyle/>
        <a:p>
          <a:endParaRPr lang="en-US"/>
        </a:p>
      </dgm:t>
    </dgm:pt>
    <dgm:pt modelId="{5C42BA00-A2E0-F040-8AFB-2E940DC0CB0B}" type="sibTrans" cxnId="{DABDE0B8-9451-D648-AB40-F66EA4C1AE3A}">
      <dgm:prSet/>
      <dgm:spPr/>
      <dgm:t>
        <a:bodyPr/>
        <a:lstStyle/>
        <a:p>
          <a:endParaRPr lang="en-US"/>
        </a:p>
      </dgm:t>
    </dgm:pt>
    <dgm:pt modelId="{67F259FC-0113-2142-94AC-44A6635AB79A}">
      <dgm:prSet custT="1"/>
      <dgm:spPr>
        <a:solidFill>
          <a:schemeClr val="bg1"/>
        </a:solidFill>
        <a:ln>
          <a:solidFill>
            <a:schemeClr val="tx1"/>
          </a:solidFill>
        </a:ln>
      </dgm:spPr>
      <dgm:t>
        <a:bodyPr/>
        <a:lstStyle/>
        <a:p>
          <a:r>
            <a:rPr lang="en-US" sz="1000">
              <a:solidFill>
                <a:sysClr val="windowText" lastClr="000000"/>
              </a:solidFill>
            </a:rPr>
            <a:t>As</a:t>
          </a:r>
          <a:br>
            <a:rPr lang="en-US" sz="1000">
              <a:solidFill>
                <a:sysClr val="windowText" lastClr="000000"/>
              </a:solidFill>
            </a:rPr>
          </a:br>
          <a:r>
            <a:rPr lang="en-US" sz="1000">
              <a:solidFill>
                <a:sysClr val="windowText" lastClr="000000"/>
              </a:solidFill>
            </a:rPr>
            <a:t>intermediates</a:t>
          </a:r>
        </a:p>
        <a:p>
          <a:r>
            <a:rPr lang="en-US" sz="1000" b="1">
              <a:solidFill>
                <a:sysClr val="windowText" lastClr="000000"/>
              </a:solidFill>
            </a:rPr>
            <a:t>DAVAX2</a:t>
          </a:r>
        </a:p>
      </dgm:t>
    </dgm:pt>
    <dgm:pt modelId="{97971D6B-1900-B944-9AAA-84D73CAE53C2}" type="parTrans" cxnId="{297FE843-026D-734D-9894-977E0E493723}">
      <dgm:prSet/>
      <dgm:spPr>
        <a:ln>
          <a:solidFill>
            <a:schemeClr val="tx1"/>
          </a:solidFill>
        </a:ln>
      </dgm:spPr>
      <dgm:t>
        <a:bodyPr/>
        <a:lstStyle/>
        <a:p>
          <a:endParaRPr lang="en-US"/>
        </a:p>
      </dgm:t>
    </dgm:pt>
    <dgm:pt modelId="{86C9AE34-B204-214C-9136-5E5F068D1605}" type="sibTrans" cxnId="{297FE843-026D-734D-9894-977E0E493723}">
      <dgm:prSet/>
      <dgm:spPr/>
      <dgm:t>
        <a:bodyPr/>
        <a:lstStyle/>
        <a:p>
          <a:endParaRPr lang="en-US"/>
        </a:p>
      </dgm:t>
    </dgm:pt>
    <dgm:pt modelId="{61A5C46C-9D2D-7E4E-B7F4-F3340AB14049}">
      <dgm:prSet custT="1"/>
      <dgm:spPr>
        <a:solidFill>
          <a:schemeClr val="bg1"/>
        </a:solidFill>
        <a:ln>
          <a:solidFill>
            <a:schemeClr val="tx1"/>
          </a:solidFill>
        </a:ln>
      </dgm:spPr>
      <dgm:t>
        <a:bodyPr/>
        <a:lstStyle/>
        <a:p>
          <a:r>
            <a:rPr lang="en-US" sz="1000">
              <a:solidFill>
                <a:sysClr val="windowText" lastClr="000000"/>
              </a:solidFill>
            </a:rPr>
            <a:t>Re-exported </a:t>
          </a:r>
          <a:br>
            <a:rPr lang="en-US" sz="1000">
              <a:solidFill>
                <a:sysClr val="windowText" lastClr="000000"/>
              </a:solidFill>
            </a:rPr>
          </a:br>
          <a:r>
            <a:rPr lang="en-US" sz="1000">
              <a:solidFill>
                <a:sysClr val="windowText" lastClr="000000"/>
              </a:solidFill>
            </a:rPr>
            <a:t>by </a:t>
          </a:r>
          <a:r>
            <a:rPr lang="en-US" sz="1000" i="1">
              <a:solidFill>
                <a:sysClr val="windowText" lastClr="000000"/>
              </a:solidFill>
            </a:rPr>
            <a:t>P</a:t>
          </a:r>
          <a:r>
            <a:rPr lang="en-US" sz="1000" i="0">
              <a:solidFill>
                <a:sysClr val="windowText" lastClr="000000"/>
              </a:solidFill>
            </a:rPr>
            <a:t> and eventually absorbed abroad</a:t>
          </a:r>
        </a:p>
        <a:p>
          <a:r>
            <a:rPr lang="en-US" sz="1000" b="1" i="0">
              <a:solidFill>
                <a:sysClr val="windowText" lastClr="000000"/>
              </a:solidFill>
            </a:rPr>
            <a:t>REX</a:t>
          </a:r>
        </a:p>
      </dgm:t>
    </dgm:pt>
    <dgm:pt modelId="{22B2FD53-86B1-6943-90DE-2DCA4710C2AE}" type="parTrans" cxnId="{5E2EC4A6-CE07-4C41-9F7B-04BBBCB06AF3}">
      <dgm:prSet/>
      <dgm:spPr>
        <a:ln>
          <a:solidFill>
            <a:schemeClr val="tx1"/>
          </a:solidFill>
        </a:ln>
      </dgm:spPr>
      <dgm:t>
        <a:bodyPr/>
        <a:lstStyle/>
        <a:p>
          <a:endParaRPr lang="en-US"/>
        </a:p>
      </dgm:t>
    </dgm:pt>
    <dgm:pt modelId="{EC699C8F-D4B9-524E-B0C0-C337FCDF1AEC}" type="sibTrans" cxnId="{5E2EC4A6-CE07-4C41-9F7B-04BBBCB06AF3}">
      <dgm:prSet/>
      <dgm:spPr/>
      <dgm:t>
        <a:bodyPr/>
        <a:lstStyle/>
        <a:p>
          <a:endParaRPr lang="en-US"/>
        </a:p>
      </dgm:t>
    </dgm:pt>
    <dgm:pt modelId="{916DB513-6AC2-2B45-A5BC-7F1AB462F03E}">
      <dgm:prSet custT="1"/>
      <dgm:spPr>
        <a:solidFill>
          <a:schemeClr val="bg1"/>
        </a:solidFill>
        <a:ln>
          <a:solidFill>
            <a:schemeClr val="tx1"/>
          </a:solidFill>
        </a:ln>
      </dgm:spPr>
      <dgm:t>
        <a:bodyPr/>
        <a:lstStyle/>
        <a:p>
          <a:r>
            <a:rPr lang="en-US" sz="1000">
              <a:solidFill>
                <a:sysClr val="windowText" lastClr="000000"/>
              </a:solidFill>
            </a:rPr>
            <a:t>Re-exported </a:t>
          </a:r>
          <a:br>
            <a:rPr lang="en-US" sz="1000">
              <a:solidFill>
                <a:sysClr val="windowText" lastClr="000000"/>
              </a:solidFill>
            </a:rPr>
          </a:br>
          <a:r>
            <a:rPr lang="en-US" sz="1000">
              <a:solidFill>
                <a:sysClr val="windowText" lastClr="000000"/>
              </a:solidFill>
            </a:rPr>
            <a:t>by </a:t>
          </a:r>
          <a:r>
            <a:rPr lang="en-US" sz="1000" i="1">
              <a:solidFill>
                <a:sysClr val="windowText" lastClr="000000"/>
              </a:solidFill>
            </a:rPr>
            <a:t>P</a:t>
          </a:r>
          <a:r>
            <a:rPr lang="en-US" sz="1000" i="0">
              <a:solidFill>
                <a:sysClr val="windowText" lastClr="000000"/>
              </a:solidFill>
            </a:rPr>
            <a:t> and eventually absorbed by </a:t>
          </a:r>
          <a:r>
            <a:rPr lang="en-US" sz="1000" i="1">
              <a:solidFill>
                <a:sysClr val="windowText" lastClr="000000"/>
              </a:solidFill>
            </a:rPr>
            <a:t>H</a:t>
          </a:r>
        </a:p>
        <a:p>
          <a:r>
            <a:rPr lang="en-US" sz="1000" b="1">
              <a:solidFill>
                <a:schemeClr val="tx1"/>
              </a:solidFill>
            </a:rPr>
            <a:t>REF</a:t>
          </a:r>
        </a:p>
      </dgm:t>
    </dgm:pt>
    <dgm:pt modelId="{E079B541-23AE-6547-B0C5-6BE5E97E7580}" type="parTrans" cxnId="{FFC9BDD5-31F3-AB48-945D-B635E532DCCC}">
      <dgm:prSet/>
      <dgm:spPr>
        <a:ln>
          <a:solidFill>
            <a:schemeClr val="tx1"/>
          </a:solidFill>
        </a:ln>
      </dgm:spPr>
      <dgm:t>
        <a:bodyPr/>
        <a:lstStyle/>
        <a:p>
          <a:endParaRPr lang="en-US"/>
        </a:p>
      </dgm:t>
    </dgm:pt>
    <dgm:pt modelId="{C402895C-9166-614E-913F-8EF8C7ACD01D}" type="sibTrans" cxnId="{FFC9BDD5-31F3-AB48-945D-B635E532DCCC}">
      <dgm:prSet/>
      <dgm:spPr/>
      <dgm:t>
        <a:bodyPr/>
        <a:lstStyle/>
        <a:p>
          <a:endParaRPr lang="en-US"/>
        </a:p>
      </dgm:t>
    </dgm:pt>
    <dgm:pt modelId="{619349EC-4798-9444-A846-F097ED3950E1}" type="pres">
      <dgm:prSet presAssocID="{19DD3A76-7468-3040-9844-7B230A993803}" presName="hierChild1" presStyleCnt="0">
        <dgm:presLayoutVars>
          <dgm:orgChart val="1"/>
          <dgm:chPref val="1"/>
          <dgm:dir/>
          <dgm:animOne val="branch"/>
          <dgm:animLvl val="lvl"/>
          <dgm:resizeHandles/>
        </dgm:presLayoutVars>
      </dgm:prSet>
      <dgm:spPr/>
    </dgm:pt>
    <dgm:pt modelId="{8C92BD17-083E-4444-A334-185661579A21}" type="pres">
      <dgm:prSet presAssocID="{A34195A7-FC3E-E348-A100-304C270FB0DA}" presName="hierRoot1" presStyleCnt="0">
        <dgm:presLayoutVars>
          <dgm:hierBranch/>
        </dgm:presLayoutVars>
      </dgm:prSet>
      <dgm:spPr/>
    </dgm:pt>
    <dgm:pt modelId="{C3E64741-237D-A142-A4F1-C2218D482174}" type="pres">
      <dgm:prSet presAssocID="{A34195A7-FC3E-E348-A100-304C270FB0DA}" presName="rootComposite1" presStyleCnt="0"/>
      <dgm:spPr/>
    </dgm:pt>
    <dgm:pt modelId="{773FA9B0-C4C0-B241-95AD-D916F9052F9E}" type="pres">
      <dgm:prSet presAssocID="{A34195A7-FC3E-E348-A100-304C270FB0DA}" presName="rootText1" presStyleLbl="node0" presStyleIdx="0" presStyleCnt="1" custScaleX="100369" custScaleY="139884">
        <dgm:presLayoutVars>
          <dgm:chPref val="3"/>
        </dgm:presLayoutVars>
      </dgm:prSet>
      <dgm:spPr/>
    </dgm:pt>
    <dgm:pt modelId="{37D4F368-7A1A-994F-96A7-3968C8B8AB11}" type="pres">
      <dgm:prSet presAssocID="{A34195A7-FC3E-E348-A100-304C270FB0DA}" presName="rootConnector1" presStyleLbl="node1" presStyleIdx="0" presStyleCnt="0"/>
      <dgm:spPr/>
    </dgm:pt>
    <dgm:pt modelId="{592539AD-C516-5248-A140-4F76AF915457}" type="pres">
      <dgm:prSet presAssocID="{A34195A7-FC3E-E348-A100-304C270FB0DA}" presName="hierChild2" presStyleCnt="0"/>
      <dgm:spPr/>
    </dgm:pt>
    <dgm:pt modelId="{9A3294AA-66DA-2646-B76E-EF4E8A432C28}" type="pres">
      <dgm:prSet presAssocID="{1E791FC9-314F-2649-9D3C-09DDF5BF7AD4}" presName="Name35" presStyleLbl="parChTrans1D2" presStyleIdx="0" presStyleCnt="3"/>
      <dgm:spPr/>
    </dgm:pt>
    <dgm:pt modelId="{9EFA1918-8F5A-4443-83B8-9919DE4FC210}" type="pres">
      <dgm:prSet presAssocID="{C19F05D8-13C3-3F4E-BFD4-16C01A3FE872}" presName="hierRoot2" presStyleCnt="0">
        <dgm:presLayoutVars>
          <dgm:hierBranch/>
        </dgm:presLayoutVars>
      </dgm:prSet>
      <dgm:spPr/>
    </dgm:pt>
    <dgm:pt modelId="{6E4828A4-CA7A-A141-98A3-0C5956ABA44A}" type="pres">
      <dgm:prSet presAssocID="{C19F05D8-13C3-3F4E-BFD4-16C01A3FE872}" presName="rootComposite" presStyleCnt="0"/>
      <dgm:spPr/>
    </dgm:pt>
    <dgm:pt modelId="{C83ABAF2-8D8E-354B-8044-1407BFA66273}" type="pres">
      <dgm:prSet presAssocID="{C19F05D8-13C3-3F4E-BFD4-16C01A3FE872}" presName="rootText" presStyleLbl="node2" presStyleIdx="0" presStyleCnt="3" custScaleX="100369" custScaleY="126932">
        <dgm:presLayoutVars>
          <dgm:chPref val="3"/>
        </dgm:presLayoutVars>
      </dgm:prSet>
      <dgm:spPr/>
    </dgm:pt>
    <dgm:pt modelId="{5DEF9DF0-3450-D642-91E8-5301122B848E}" type="pres">
      <dgm:prSet presAssocID="{C19F05D8-13C3-3F4E-BFD4-16C01A3FE872}" presName="rootConnector" presStyleLbl="node2" presStyleIdx="0" presStyleCnt="3"/>
      <dgm:spPr/>
    </dgm:pt>
    <dgm:pt modelId="{863188EE-D1D3-D143-8DA3-387B582F6870}" type="pres">
      <dgm:prSet presAssocID="{C19F05D8-13C3-3F4E-BFD4-16C01A3FE872}" presName="hierChild4" presStyleCnt="0"/>
      <dgm:spPr/>
    </dgm:pt>
    <dgm:pt modelId="{27919CF9-B6CE-7D4D-9230-FC1988DCD1EB}" type="pres">
      <dgm:prSet presAssocID="{5091D2C5-D48E-0340-8C22-3FD5958BB231}" presName="Name35" presStyleLbl="parChTrans1D3" presStyleIdx="0" presStyleCnt="3"/>
      <dgm:spPr/>
    </dgm:pt>
    <dgm:pt modelId="{49BF8231-817A-B049-81D8-0DD4228FEDA4}" type="pres">
      <dgm:prSet presAssocID="{2EF7CB5F-130B-CB46-914C-E4AAF8009D56}" presName="hierRoot2" presStyleCnt="0">
        <dgm:presLayoutVars>
          <dgm:hierBranch/>
        </dgm:presLayoutVars>
      </dgm:prSet>
      <dgm:spPr/>
    </dgm:pt>
    <dgm:pt modelId="{6F5E167A-6A52-1A46-BFC8-AB159897549E}" type="pres">
      <dgm:prSet presAssocID="{2EF7CB5F-130B-CB46-914C-E4AAF8009D56}" presName="rootComposite" presStyleCnt="0"/>
      <dgm:spPr/>
    </dgm:pt>
    <dgm:pt modelId="{FB9C3B58-598B-D245-B29D-F5A726EEC954}" type="pres">
      <dgm:prSet presAssocID="{2EF7CB5F-130B-CB46-914C-E4AAF8009D56}" presName="rootText" presStyleLbl="node3" presStyleIdx="0" presStyleCnt="3" custScaleX="114326" custScaleY="165909">
        <dgm:presLayoutVars>
          <dgm:chPref val="3"/>
        </dgm:presLayoutVars>
      </dgm:prSet>
      <dgm:spPr/>
    </dgm:pt>
    <dgm:pt modelId="{C4543C85-51CC-8447-8226-4813758C733D}" type="pres">
      <dgm:prSet presAssocID="{2EF7CB5F-130B-CB46-914C-E4AAF8009D56}" presName="rootConnector" presStyleLbl="node3" presStyleIdx="0" presStyleCnt="3"/>
      <dgm:spPr/>
    </dgm:pt>
    <dgm:pt modelId="{0B584EBC-0571-DE4E-BC55-0F1D702BD908}" type="pres">
      <dgm:prSet presAssocID="{2EF7CB5F-130B-CB46-914C-E4AAF8009D56}" presName="hierChild4" presStyleCnt="0"/>
      <dgm:spPr/>
    </dgm:pt>
    <dgm:pt modelId="{979D0B09-DE5D-8F4F-9547-EE457EDB9255}" type="pres">
      <dgm:prSet presAssocID="{8A3B04AF-B1F4-D643-8367-24CA470E0A3E}" presName="Name35" presStyleLbl="parChTrans1D4" presStyleIdx="0" presStyleCnt="2"/>
      <dgm:spPr/>
    </dgm:pt>
    <dgm:pt modelId="{BA9DF569-A3F0-7649-9F07-596615D3E311}" type="pres">
      <dgm:prSet presAssocID="{FDD445C5-9470-2645-89D6-8E7B97B999C9}" presName="hierRoot2" presStyleCnt="0">
        <dgm:presLayoutVars>
          <dgm:hierBranch/>
        </dgm:presLayoutVars>
      </dgm:prSet>
      <dgm:spPr/>
    </dgm:pt>
    <dgm:pt modelId="{9DB68893-22D2-FC45-A399-383C1A52ED4C}" type="pres">
      <dgm:prSet presAssocID="{FDD445C5-9470-2645-89D6-8E7B97B999C9}" presName="rootComposite" presStyleCnt="0"/>
      <dgm:spPr/>
    </dgm:pt>
    <dgm:pt modelId="{94166464-4DCD-B54C-BF1B-1F6CC07FC970}" type="pres">
      <dgm:prSet presAssocID="{FDD445C5-9470-2645-89D6-8E7B97B999C9}" presName="rootText" presStyleLbl="node4" presStyleIdx="0" presStyleCnt="2" custScaleX="94493" custScaleY="128188">
        <dgm:presLayoutVars>
          <dgm:chPref val="3"/>
        </dgm:presLayoutVars>
      </dgm:prSet>
      <dgm:spPr/>
    </dgm:pt>
    <dgm:pt modelId="{1A749738-220F-1F4D-A7E1-66ED43E65EAD}" type="pres">
      <dgm:prSet presAssocID="{FDD445C5-9470-2645-89D6-8E7B97B999C9}" presName="rootConnector" presStyleLbl="node4" presStyleIdx="0" presStyleCnt="2"/>
      <dgm:spPr/>
    </dgm:pt>
    <dgm:pt modelId="{E724640B-6EC6-3644-99AA-802EAAC70736}" type="pres">
      <dgm:prSet presAssocID="{FDD445C5-9470-2645-89D6-8E7B97B999C9}" presName="hierChild4" presStyleCnt="0"/>
      <dgm:spPr/>
    </dgm:pt>
    <dgm:pt modelId="{4C52AF5C-7ED8-6848-A713-93EE5866EBE1}" type="pres">
      <dgm:prSet presAssocID="{FDD445C5-9470-2645-89D6-8E7B97B999C9}" presName="hierChild5" presStyleCnt="0"/>
      <dgm:spPr/>
    </dgm:pt>
    <dgm:pt modelId="{B04C1F16-A09D-374B-9E42-7AF985120A3C}" type="pres">
      <dgm:prSet presAssocID="{97971D6B-1900-B944-9AAA-84D73CAE53C2}" presName="Name35" presStyleLbl="parChTrans1D4" presStyleIdx="1" presStyleCnt="2"/>
      <dgm:spPr/>
    </dgm:pt>
    <dgm:pt modelId="{99D75D7F-CF50-524C-9CED-61CA0B1B112F}" type="pres">
      <dgm:prSet presAssocID="{67F259FC-0113-2142-94AC-44A6635AB79A}" presName="hierRoot2" presStyleCnt="0">
        <dgm:presLayoutVars>
          <dgm:hierBranch val="init"/>
        </dgm:presLayoutVars>
      </dgm:prSet>
      <dgm:spPr/>
    </dgm:pt>
    <dgm:pt modelId="{FE159304-A49F-3A44-89C3-249B1B8D7C57}" type="pres">
      <dgm:prSet presAssocID="{67F259FC-0113-2142-94AC-44A6635AB79A}" presName="rootComposite" presStyleCnt="0"/>
      <dgm:spPr/>
    </dgm:pt>
    <dgm:pt modelId="{983B5D68-8BB2-0D49-B527-1A61732F0BBE}" type="pres">
      <dgm:prSet presAssocID="{67F259FC-0113-2142-94AC-44A6635AB79A}" presName="rootText" presStyleLbl="node4" presStyleIdx="1" presStyleCnt="2" custScaleX="94493" custScaleY="128188">
        <dgm:presLayoutVars>
          <dgm:chPref val="3"/>
        </dgm:presLayoutVars>
      </dgm:prSet>
      <dgm:spPr/>
    </dgm:pt>
    <dgm:pt modelId="{F8864DE0-9C7C-E44F-87DA-3749B4D760CD}" type="pres">
      <dgm:prSet presAssocID="{67F259FC-0113-2142-94AC-44A6635AB79A}" presName="rootConnector" presStyleLbl="node4" presStyleIdx="1" presStyleCnt="2"/>
      <dgm:spPr/>
    </dgm:pt>
    <dgm:pt modelId="{2261A6C0-6F3F-1C4C-91E8-FF4A1794B019}" type="pres">
      <dgm:prSet presAssocID="{67F259FC-0113-2142-94AC-44A6635AB79A}" presName="hierChild4" presStyleCnt="0"/>
      <dgm:spPr/>
    </dgm:pt>
    <dgm:pt modelId="{AE675B12-62D6-C74E-B48E-11B19DBCBB71}" type="pres">
      <dgm:prSet presAssocID="{67F259FC-0113-2142-94AC-44A6635AB79A}" presName="hierChild5" presStyleCnt="0"/>
      <dgm:spPr/>
    </dgm:pt>
    <dgm:pt modelId="{C8C1E126-D970-D747-8557-5DBCAD080E75}" type="pres">
      <dgm:prSet presAssocID="{2EF7CB5F-130B-CB46-914C-E4AAF8009D56}" presName="hierChild5" presStyleCnt="0"/>
      <dgm:spPr/>
    </dgm:pt>
    <dgm:pt modelId="{B5DB9231-983C-DC42-939F-5BE0DD9411E1}" type="pres">
      <dgm:prSet presAssocID="{22B2FD53-86B1-6943-90DE-2DCA4710C2AE}" presName="Name35" presStyleLbl="parChTrans1D3" presStyleIdx="1" presStyleCnt="3"/>
      <dgm:spPr/>
    </dgm:pt>
    <dgm:pt modelId="{71CD1E6F-32AD-6C46-8627-C0F7CCD8D7A8}" type="pres">
      <dgm:prSet presAssocID="{61A5C46C-9D2D-7E4E-B7F4-F3340AB14049}" presName="hierRoot2" presStyleCnt="0">
        <dgm:presLayoutVars>
          <dgm:hierBranch/>
        </dgm:presLayoutVars>
      </dgm:prSet>
      <dgm:spPr/>
    </dgm:pt>
    <dgm:pt modelId="{F74B1B5D-46CC-B24A-B1F3-F355551233F5}" type="pres">
      <dgm:prSet presAssocID="{61A5C46C-9D2D-7E4E-B7F4-F3340AB14049}" presName="rootComposite" presStyleCnt="0"/>
      <dgm:spPr/>
    </dgm:pt>
    <dgm:pt modelId="{BDCA5C9E-8EF3-824E-9D2F-F838F96B4742}" type="pres">
      <dgm:prSet presAssocID="{61A5C46C-9D2D-7E4E-B7F4-F3340AB14049}" presName="rootText" presStyleLbl="node3" presStyleIdx="1" presStyleCnt="3" custScaleX="114326" custScaleY="165909">
        <dgm:presLayoutVars>
          <dgm:chPref val="3"/>
        </dgm:presLayoutVars>
      </dgm:prSet>
      <dgm:spPr/>
    </dgm:pt>
    <dgm:pt modelId="{141A7FD3-9306-D845-B2CB-7648769746B8}" type="pres">
      <dgm:prSet presAssocID="{61A5C46C-9D2D-7E4E-B7F4-F3340AB14049}" presName="rootConnector" presStyleLbl="node3" presStyleIdx="1" presStyleCnt="3"/>
      <dgm:spPr/>
    </dgm:pt>
    <dgm:pt modelId="{51980884-F53A-D948-A4E8-DC9125535E1E}" type="pres">
      <dgm:prSet presAssocID="{61A5C46C-9D2D-7E4E-B7F4-F3340AB14049}" presName="hierChild4" presStyleCnt="0"/>
      <dgm:spPr/>
    </dgm:pt>
    <dgm:pt modelId="{2218A1F7-9E04-E540-AF0A-EBACD6CCA4D1}" type="pres">
      <dgm:prSet presAssocID="{61A5C46C-9D2D-7E4E-B7F4-F3340AB14049}" presName="hierChild5" presStyleCnt="0"/>
      <dgm:spPr/>
    </dgm:pt>
    <dgm:pt modelId="{5BC372AB-B74C-7E4C-8F49-F0D490B8F07A}" type="pres">
      <dgm:prSet presAssocID="{E079B541-23AE-6547-B0C5-6BE5E97E7580}" presName="Name35" presStyleLbl="parChTrans1D3" presStyleIdx="2" presStyleCnt="3"/>
      <dgm:spPr/>
    </dgm:pt>
    <dgm:pt modelId="{A954B9F5-0F1D-7B41-AC54-49AF9872C81B}" type="pres">
      <dgm:prSet presAssocID="{916DB513-6AC2-2B45-A5BC-7F1AB462F03E}" presName="hierRoot2" presStyleCnt="0">
        <dgm:presLayoutVars>
          <dgm:hierBranch/>
        </dgm:presLayoutVars>
      </dgm:prSet>
      <dgm:spPr/>
    </dgm:pt>
    <dgm:pt modelId="{41BEB5B0-1DCF-2047-B031-3F38898FE16E}" type="pres">
      <dgm:prSet presAssocID="{916DB513-6AC2-2B45-A5BC-7F1AB462F03E}" presName="rootComposite" presStyleCnt="0"/>
      <dgm:spPr/>
    </dgm:pt>
    <dgm:pt modelId="{6A411B99-7B85-FF45-9327-D028884B4E8D}" type="pres">
      <dgm:prSet presAssocID="{916DB513-6AC2-2B45-A5BC-7F1AB462F03E}" presName="rootText" presStyleLbl="node3" presStyleIdx="2" presStyleCnt="3" custScaleX="114326" custScaleY="165909">
        <dgm:presLayoutVars>
          <dgm:chPref val="3"/>
        </dgm:presLayoutVars>
      </dgm:prSet>
      <dgm:spPr/>
    </dgm:pt>
    <dgm:pt modelId="{5EBD9530-2E1A-EA44-980A-B8EBB30D1A6B}" type="pres">
      <dgm:prSet presAssocID="{916DB513-6AC2-2B45-A5BC-7F1AB462F03E}" presName="rootConnector" presStyleLbl="node3" presStyleIdx="2" presStyleCnt="3"/>
      <dgm:spPr/>
    </dgm:pt>
    <dgm:pt modelId="{B1488DAA-76A4-244F-9334-0516CC7EB41E}" type="pres">
      <dgm:prSet presAssocID="{916DB513-6AC2-2B45-A5BC-7F1AB462F03E}" presName="hierChild4" presStyleCnt="0"/>
      <dgm:spPr/>
    </dgm:pt>
    <dgm:pt modelId="{43F0DDFA-440B-634E-95F0-988CB738747C}" type="pres">
      <dgm:prSet presAssocID="{916DB513-6AC2-2B45-A5BC-7F1AB462F03E}" presName="hierChild5" presStyleCnt="0"/>
      <dgm:spPr/>
    </dgm:pt>
    <dgm:pt modelId="{4FDAC942-5610-A74E-85F6-AF3B36F77E1A}" type="pres">
      <dgm:prSet presAssocID="{C19F05D8-13C3-3F4E-BFD4-16C01A3FE872}" presName="hierChild5" presStyleCnt="0"/>
      <dgm:spPr/>
    </dgm:pt>
    <dgm:pt modelId="{A5E34956-2EB1-1445-A29D-860864481328}" type="pres">
      <dgm:prSet presAssocID="{EF1BFA49-049F-3B46-818D-4D1ED8FCFE2C}" presName="Name35" presStyleLbl="parChTrans1D2" presStyleIdx="1" presStyleCnt="3"/>
      <dgm:spPr/>
    </dgm:pt>
    <dgm:pt modelId="{C0CFCF43-130C-CB43-BA38-F48D2B30A63E}" type="pres">
      <dgm:prSet presAssocID="{D67C7094-7850-8243-96D2-BFB0CCA8E1E4}" presName="hierRoot2" presStyleCnt="0">
        <dgm:presLayoutVars>
          <dgm:hierBranch val="init"/>
        </dgm:presLayoutVars>
      </dgm:prSet>
      <dgm:spPr/>
    </dgm:pt>
    <dgm:pt modelId="{2E01C69C-2101-4047-9179-CDE88BBD827E}" type="pres">
      <dgm:prSet presAssocID="{D67C7094-7850-8243-96D2-BFB0CCA8E1E4}" presName="rootComposite" presStyleCnt="0"/>
      <dgm:spPr/>
    </dgm:pt>
    <dgm:pt modelId="{0082461F-6AD8-CA46-BE73-30533844AFF8}" type="pres">
      <dgm:prSet presAssocID="{D67C7094-7850-8243-96D2-BFB0CCA8E1E4}" presName="rootText" presStyleLbl="node2" presStyleIdx="1" presStyleCnt="3" custScaleX="107915" custScaleY="126932">
        <dgm:presLayoutVars>
          <dgm:chPref val="3"/>
        </dgm:presLayoutVars>
      </dgm:prSet>
      <dgm:spPr/>
    </dgm:pt>
    <dgm:pt modelId="{2A61260C-0B3A-7E47-9F42-BF03357FF966}" type="pres">
      <dgm:prSet presAssocID="{D67C7094-7850-8243-96D2-BFB0CCA8E1E4}" presName="rootConnector" presStyleLbl="node2" presStyleIdx="1" presStyleCnt="3"/>
      <dgm:spPr/>
    </dgm:pt>
    <dgm:pt modelId="{CFE7608B-9733-4F4F-99DC-80E49B2467C4}" type="pres">
      <dgm:prSet presAssocID="{D67C7094-7850-8243-96D2-BFB0CCA8E1E4}" presName="hierChild4" presStyleCnt="0"/>
      <dgm:spPr/>
    </dgm:pt>
    <dgm:pt modelId="{4B50E68F-81C2-6C4B-BCE1-2F759EC61F80}" type="pres">
      <dgm:prSet presAssocID="{D67C7094-7850-8243-96D2-BFB0CCA8E1E4}" presName="hierChild5" presStyleCnt="0"/>
      <dgm:spPr/>
    </dgm:pt>
    <dgm:pt modelId="{FCADAA68-F242-5C4A-9473-7A9F333C830B}" type="pres">
      <dgm:prSet presAssocID="{4EA97F6A-7053-5841-8CBD-09854139C347}" presName="Name35" presStyleLbl="parChTrans1D2" presStyleIdx="2" presStyleCnt="3"/>
      <dgm:spPr/>
    </dgm:pt>
    <dgm:pt modelId="{89C11363-E9E9-2946-B7EF-1ABAEE7F7D02}" type="pres">
      <dgm:prSet presAssocID="{38AD81CF-F038-1040-AB88-E7471F99F77C}" presName="hierRoot2" presStyleCnt="0">
        <dgm:presLayoutVars>
          <dgm:hierBranch val="init"/>
        </dgm:presLayoutVars>
      </dgm:prSet>
      <dgm:spPr/>
    </dgm:pt>
    <dgm:pt modelId="{DD204A67-EA20-6142-A639-6FACD9D581A8}" type="pres">
      <dgm:prSet presAssocID="{38AD81CF-F038-1040-AB88-E7471F99F77C}" presName="rootComposite" presStyleCnt="0"/>
      <dgm:spPr/>
    </dgm:pt>
    <dgm:pt modelId="{B7CF617D-53B3-FD49-AA0E-AA3EB0807BAE}" type="pres">
      <dgm:prSet presAssocID="{38AD81CF-F038-1040-AB88-E7471F99F77C}" presName="rootText" presStyleLbl="node2" presStyleIdx="2" presStyleCnt="3" custScaleX="100036" custScaleY="126932">
        <dgm:presLayoutVars>
          <dgm:chPref val="3"/>
        </dgm:presLayoutVars>
      </dgm:prSet>
      <dgm:spPr/>
    </dgm:pt>
    <dgm:pt modelId="{C7F96602-8288-AE45-BD51-88A6F21D8EBB}" type="pres">
      <dgm:prSet presAssocID="{38AD81CF-F038-1040-AB88-E7471F99F77C}" presName="rootConnector" presStyleLbl="node2" presStyleIdx="2" presStyleCnt="3"/>
      <dgm:spPr/>
    </dgm:pt>
    <dgm:pt modelId="{F48D6383-2DF8-7843-A046-0BA284C5DE58}" type="pres">
      <dgm:prSet presAssocID="{38AD81CF-F038-1040-AB88-E7471F99F77C}" presName="hierChild4" presStyleCnt="0"/>
      <dgm:spPr/>
    </dgm:pt>
    <dgm:pt modelId="{EE72A906-1DFC-7D41-B5C3-3226641C2B1E}" type="pres">
      <dgm:prSet presAssocID="{38AD81CF-F038-1040-AB88-E7471F99F77C}" presName="hierChild5" presStyleCnt="0"/>
      <dgm:spPr/>
    </dgm:pt>
    <dgm:pt modelId="{315660BA-4270-2547-A8F9-A2E4BEB929A5}" type="pres">
      <dgm:prSet presAssocID="{A34195A7-FC3E-E348-A100-304C270FB0DA}" presName="hierChild3" presStyleCnt="0"/>
      <dgm:spPr/>
    </dgm:pt>
  </dgm:ptLst>
  <dgm:cxnLst>
    <dgm:cxn modelId="{3C686C01-262A-5146-A25E-AD5D09276FDA}" srcId="{A34195A7-FC3E-E348-A100-304C270FB0DA}" destId="{D67C7094-7850-8243-96D2-BFB0CCA8E1E4}" srcOrd="1" destOrd="0" parTransId="{EF1BFA49-049F-3B46-818D-4D1ED8FCFE2C}" sibTransId="{F0A8344C-2591-A64E-AC6B-41F0A1E70AB4}"/>
    <dgm:cxn modelId="{96065706-6AC3-D841-8357-84661F264993}" type="presOf" srcId="{D67C7094-7850-8243-96D2-BFB0CCA8E1E4}" destId="{0082461F-6AD8-CA46-BE73-30533844AFF8}" srcOrd="0" destOrd="0" presId="urn:microsoft.com/office/officeart/2005/8/layout/orgChart1"/>
    <dgm:cxn modelId="{16F2AB06-AB29-304F-B94D-3291A64C5ABC}" type="presOf" srcId="{4EA97F6A-7053-5841-8CBD-09854139C347}" destId="{FCADAA68-F242-5C4A-9473-7A9F333C830B}" srcOrd="0" destOrd="0" presId="urn:microsoft.com/office/officeart/2005/8/layout/orgChart1"/>
    <dgm:cxn modelId="{A4EA840F-6C90-3640-9CEB-F3CDADBBB92A}" type="presOf" srcId="{22B2FD53-86B1-6943-90DE-2DCA4710C2AE}" destId="{B5DB9231-983C-DC42-939F-5BE0DD9411E1}" srcOrd="0" destOrd="0" presId="urn:microsoft.com/office/officeart/2005/8/layout/orgChart1"/>
    <dgm:cxn modelId="{5918E51F-3DDC-CB41-90D9-51946C31A18F}" type="presOf" srcId="{916DB513-6AC2-2B45-A5BC-7F1AB462F03E}" destId="{6A411B99-7B85-FF45-9327-D028884B4E8D}" srcOrd="0" destOrd="0" presId="urn:microsoft.com/office/officeart/2005/8/layout/orgChart1"/>
    <dgm:cxn modelId="{52E61E25-56CD-1545-9ED9-185BECD15CEE}" type="presOf" srcId="{38AD81CF-F038-1040-AB88-E7471F99F77C}" destId="{C7F96602-8288-AE45-BD51-88A6F21D8EBB}" srcOrd="1" destOrd="0" presId="urn:microsoft.com/office/officeart/2005/8/layout/orgChart1"/>
    <dgm:cxn modelId="{C4EA152B-725F-0D46-9870-244918B401DF}" type="presOf" srcId="{38AD81CF-F038-1040-AB88-E7471F99F77C}" destId="{B7CF617D-53B3-FD49-AA0E-AA3EB0807BAE}" srcOrd="0" destOrd="0" presId="urn:microsoft.com/office/officeart/2005/8/layout/orgChart1"/>
    <dgm:cxn modelId="{7F4F2732-CD6A-7348-AFCD-AB66B809A86B}" type="presOf" srcId="{E079B541-23AE-6547-B0C5-6BE5E97E7580}" destId="{5BC372AB-B74C-7E4C-8F49-F0D490B8F07A}" srcOrd="0" destOrd="0" presId="urn:microsoft.com/office/officeart/2005/8/layout/orgChart1"/>
    <dgm:cxn modelId="{C3959937-5143-C64E-8535-10AE7070D0DF}" srcId="{A34195A7-FC3E-E348-A100-304C270FB0DA}" destId="{C19F05D8-13C3-3F4E-BFD4-16C01A3FE872}" srcOrd="0" destOrd="0" parTransId="{1E791FC9-314F-2649-9D3C-09DDF5BF7AD4}" sibTransId="{001B3602-8783-1F45-898E-FAA72C8C2478}"/>
    <dgm:cxn modelId="{7289BB38-1BB2-AC48-8531-EEB934A2FABE}" type="presOf" srcId="{5091D2C5-D48E-0340-8C22-3FD5958BB231}" destId="{27919CF9-B6CE-7D4D-9230-FC1988DCD1EB}" srcOrd="0" destOrd="0" presId="urn:microsoft.com/office/officeart/2005/8/layout/orgChart1"/>
    <dgm:cxn modelId="{297FE843-026D-734D-9894-977E0E493723}" srcId="{2EF7CB5F-130B-CB46-914C-E4AAF8009D56}" destId="{67F259FC-0113-2142-94AC-44A6635AB79A}" srcOrd="1" destOrd="0" parTransId="{97971D6B-1900-B944-9AAA-84D73CAE53C2}" sibTransId="{86C9AE34-B204-214C-9136-5E5F068D1605}"/>
    <dgm:cxn modelId="{77DB1446-08B7-D341-826D-6E81FB700413}" type="presOf" srcId="{1E791FC9-314F-2649-9D3C-09DDF5BF7AD4}" destId="{9A3294AA-66DA-2646-B76E-EF4E8A432C28}" srcOrd="0" destOrd="0" presId="urn:microsoft.com/office/officeart/2005/8/layout/orgChart1"/>
    <dgm:cxn modelId="{BDE3D449-7D37-C841-AB02-77D0CDF9CFC7}" type="presOf" srcId="{2EF7CB5F-130B-CB46-914C-E4AAF8009D56}" destId="{C4543C85-51CC-8447-8226-4813758C733D}" srcOrd="1" destOrd="0" presId="urn:microsoft.com/office/officeart/2005/8/layout/orgChart1"/>
    <dgm:cxn modelId="{0571F94E-64B6-DB4F-992F-7F6445D5B711}" srcId="{19DD3A76-7468-3040-9844-7B230A993803}" destId="{A34195A7-FC3E-E348-A100-304C270FB0DA}" srcOrd="0" destOrd="0" parTransId="{CCF8D461-7380-5146-964E-3882224B466A}" sibTransId="{5FEB777C-C9FA-AF42-BFD1-3DD6D1DD0375}"/>
    <dgm:cxn modelId="{E5AD7354-9314-BD4E-9C60-A1953E26A4FC}" type="presOf" srcId="{61A5C46C-9D2D-7E4E-B7F4-F3340AB14049}" destId="{BDCA5C9E-8EF3-824E-9D2F-F838F96B4742}" srcOrd="0" destOrd="0" presId="urn:microsoft.com/office/officeart/2005/8/layout/orgChart1"/>
    <dgm:cxn modelId="{25E2845F-E977-A84A-BDDA-C1BC291168BD}" type="presOf" srcId="{EF1BFA49-049F-3B46-818D-4D1ED8FCFE2C}" destId="{A5E34956-2EB1-1445-A29D-860864481328}" srcOrd="0" destOrd="0" presId="urn:microsoft.com/office/officeart/2005/8/layout/orgChart1"/>
    <dgm:cxn modelId="{9E37DB62-64EF-384E-9217-D42C1A7FDF10}" type="presOf" srcId="{FDD445C5-9470-2645-89D6-8E7B97B999C9}" destId="{94166464-4DCD-B54C-BF1B-1F6CC07FC970}" srcOrd="0" destOrd="0" presId="urn:microsoft.com/office/officeart/2005/8/layout/orgChart1"/>
    <dgm:cxn modelId="{D2BD6268-3DCF-204B-BD77-057B4BD607A6}" type="presOf" srcId="{8A3B04AF-B1F4-D643-8367-24CA470E0A3E}" destId="{979D0B09-DE5D-8F4F-9547-EE457EDB9255}" srcOrd="0" destOrd="0" presId="urn:microsoft.com/office/officeart/2005/8/layout/orgChart1"/>
    <dgm:cxn modelId="{A60A1D76-5FB8-F149-A01D-0F3A94ABF072}" type="presOf" srcId="{916DB513-6AC2-2B45-A5BC-7F1AB462F03E}" destId="{5EBD9530-2E1A-EA44-980A-B8EBB30D1A6B}" srcOrd="1" destOrd="0" presId="urn:microsoft.com/office/officeart/2005/8/layout/orgChart1"/>
    <dgm:cxn modelId="{16435976-2844-2144-89E7-DE0031958B13}" type="presOf" srcId="{FDD445C5-9470-2645-89D6-8E7B97B999C9}" destId="{1A749738-220F-1F4D-A7E1-66ED43E65EAD}" srcOrd="1" destOrd="0" presId="urn:microsoft.com/office/officeart/2005/8/layout/orgChart1"/>
    <dgm:cxn modelId="{C1C7057B-2D7D-DB43-83C5-D42B42CD1ECA}" type="presOf" srcId="{19DD3A76-7468-3040-9844-7B230A993803}" destId="{619349EC-4798-9444-A846-F097ED3950E1}" srcOrd="0" destOrd="0" presId="urn:microsoft.com/office/officeart/2005/8/layout/orgChart1"/>
    <dgm:cxn modelId="{9C291885-1DA7-EF43-95FB-DC45BE5A0C85}" type="presOf" srcId="{C19F05D8-13C3-3F4E-BFD4-16C01A3FE872}" destId="{5DEF9DF0-3450-D642-91E8-5301122B848E}" srcOrd="1" destOrd="0" presId="urn:microsoft.com/office/officeart/2005/8/layout/orgChart1"/>
    <dgm:cxn modelId="{7E92908D-0458-5D48-8CB5-BD4A502EC057}" type="presOf" srcId="{61A5C46C-9D2D-7E4E-B7F4-F3340AB14049}" destId="{141A7FD3-9306-D845-B2CB-7648769746B8}" srcOrd="1" destOrd="0" presId="urn:microsoft.com/office/officeart/2005/8/layout/orgChart1"/>
    <dgm:cxn modelId="{ECB9A09A-38FD-EA45-91DD-81058A813E44}" type="presOf" srcId="{A34195A7-FC3E-E348-A100-304C270FB0DA}" destId="{773FA9B0-C4C0-B241-95AD-D916F9052F9E}" srcOrd="0" destOrd="0" presId="urn:microsoft.com/office/officeart/2005/8/layout/orgChart1"/>
    <dgm:cxn modelId="{A85705A0-DF4D-504A-9685-570F55E9AE36}" type="presOf" srcId="{A34195A7-FC3E-E348-A100-304C270FB0DA}" destId="{37D4F368-7A1A-994F-96A7-3968C8B8AB11}" srcOrd="1" destOrd="0" presId="urn:microsoft.com/office/officeart/2005/8/layout/orgChart1"/>
    <dgm:cxn modelId="{5E2EC4A6-CE07-4C41-9F7B-04BBBCB06AF3}" srcId="{C19F05D8-13C3-3F4E-BFD4-16C01A3FE872}" destId="{61A5C46C-9D2D-7E4E-B7F4-F3340AB14049}" srcOrd="1" destOrd="0" parTransId="{22B2FD53-86B1-6943-90DE-2DCA4710C2AE}" sibTransId="{EC699C8F-D4B9-524E-B0C0-C337FCDF1AEC}"/>
    <dgm:cxn modelId="{999A1CA9-4B3C-FC43-B6F7-12B468C4CA11}" type="presOf" srcId="{67F259FC-0113-2142-94AC-44A6635AB79A}" destId="{F8864DE0-9C7C-E44F-87DA-3749B4D760CD}" srcOrd="1" destOrd="0" presId="urn:microsoft.com/office/officeart/2005/8/layout/orgChart1"/>
    <dgm:cxn modelId="{F2B1E6A9-FB22-C848-A203-E5001EBC6583}" type="presOf" srcId="{97971D6B-1900-B944-9AAA-84D73CAE53C2}" destId="{B04C1F16-A09D-374B-9E42-7AF985120A3C}" srcOrd="0" destOrd="0" presId="urn:microsoft.com/office/officeart/2005/8/layout/orgChart1"/>
    <dgm:cxn modelId="{353C45B8-D8AA-4849-9F5F-1CCAD46FAEF1}" type="presOf" srcId="{67F259FC-0113-2142-94AC-44A6635AB79A}" destId="{983B5D68-8BB2-0D49-B527-1A61732F0BBE}" srcOrd="0" destOrd="0" presId="urn:microsoft.com/office/officeart/2005/8/layout/orgChart1"/>
    <dgm:cxn modelId="{DABDE0B8-9451-D648-AB40-F66EA4C1AE3A}" srcId="{2EF7CB5F-130B-CB46-914C-E4AAF8009D56}" destId="{FDD445C5-9470-2645-89D6-8E7B97B999C9}" srcOrd="0" destOrd="0" parTransId="{8A3B04AF-B1F4-D643-8367-24CA470E0A3E}" sibTransId="{5C42BA00-A2E0-F040-8AFB-2E940DC0CB0B}"/>
    <dgm:cxn modelId="{4F911ABC-3252-F845-8DC5-8B40BF08A985}" srcId="{A34195A7-FC3E-E348-A100-304C270FB0DA}" destId="{38AD81CF-F038-1040-AB88-E7471F99F77C}" srcOrd="2" destOrd="0" parTransId="{4EA97F6A-7053-5841-8CBD-09854139C347}" sibTransId="{630DF37E-E7E1-9A4A-9DE8-2A33CD746AC2}"/>
    <dgm:cxn modelId="{048BD2BE-5889-0141-8E44-85EEF79025E1}" srcId="{C19F05D8-13C3-3F4E-BFD4-16C01A3FE872}" destId="{2EF7CB5F-130B-CB46-914C-E4AAF8009D56}" srcOrd="0" destOrd="0" parTransId="{5091D2C5-D48E-0340-8C22-3FD5958BB231}" sibTransId="{9371C640-BC84-464D-9654-60C3A2C7580D}"/>
    <dgm:cxn modelId="{9B1094CB-1597-0846-AD61-666628AA7BD0}" type="presOf" srcId="{C19F05D8-13C3-3F4E-BFD4-16C01A3FE872}" destId="{C83ABAF2-8D8E-354B-8044-1407BFA66273}" srcOrd="0" destOrd="0" presId="urn:microsoft.com/office/officeart/2005/8/layout/orgChart1"/>
    <dgm:cxn modelId="{FFC9BDD5-31F3-AB48-945D-B635E532DCCC}" srcId="{C19F05D8-13C3-3F4E-BFD4-16C01A3FE872}" destId="{916DB513-6AC2-2B45-A5BC-7F1AB462F03E}" srcOrd="2" destOrd="0" parTransId="{E079B541-23AE-6547-B0C5-6BE5E97E7580}" sibTransId="{C402895C-9166-614E-913F-8EF8C7ACD01D}"/>
    <dgm:cxn modelId="{D45A7FF0-91C9-C748-B937-F8DD9D2B7644}" type="presOf" srcId="{D67C7094-7850-8243-96D2-BFB0CCA8E1E4}" destId="{2A61260C-0B3A-7E47-9F42-BF03357FF966}" srcOrd="1" destOrd="0" presId="urn:microsoft.com/office/officeart/2005/8/layout/orgChart1"/>
    <dgm:cxn modelId="{7FE3E0FE-517C-0E41-A9DF-246DBDCE57AD}" type="presOf" srcId="{2EF7CB5F-130B-CB46-914C-E4AAF8009D56}" destId="{FB9C3B58-598B-D245-B29D-F5A726EEC954}" srcOrd="0" destOrd="0" presId="urn:microsoft.com/office/officeart/2005/8/layout/orgChart1"/>
    <dgm:cxn modelId="{7CFA1FCC-499F-3F4D-A797-658F03AF6C7C}" type="presParOf" srcId="{619349EC-4798-9444-A846-F097ED3950E1}" destId="{8C92BD17-083E-4444-A334-185661579A21}" srcOrd="0" destOrd="0" presId="urn:microsoft.com/office/officeart/2005/8/layout/orgChart1"/>
    <dgm:cxn modelId="{9FA457BE-4958-2942-9293-2F4A9F8EC1A7}" type="presParOf" srcId="{8C92BD17-083E-4444-A334-185661579A21}" destId="{C3E64741-237D-A142-A4F1-C2218D482174}" srcOrd="0" destOrd="0" presId="urn:microsoft.com/office/officeart/2005/8/layout/orgChart1"/>
    <dgm:cxn modelId="{EDC9743F-072B-424C-BC18-721E911EC2C4}" type="presParOf" srcId="{C3E64741-237D-A142-A4F1-C2218D482174}" destId="{773FA9B0-C4C0-B241-95AD-D916F9052F9E}" srcOrd="0" destOrd="0" presId="urn:microsoft.com/office/officeart/2005/8/layout/orgChart1"/>
    <dgm:cxn modelId="{AE0CFF8A-B341-874C-A577-E42C7DE73587}" type="presParOf" srcId="{C3E64741-237D-A142-A4F1-C2218D482174}" destId="{37D4F368-7A1A-994F-96A7-3968C8B8AB11}" srcOrd="1" destOrd="0" presId="urn:microsoft.com/office/officeart/2005/8/layout/orgChart1"/>
    <dgm:cxn modelId="{02B6F7F2-FA28-5347-AD84-FC322B5D87A8}" type="presParOf" srcId="{8C92BD17-083E-4444-A334-185661579A21}" destId="{592539AD-C516-5248-A140-4F76AF915457}" srcOrd="1" destOrd="0" presId="urn:microsoft.com/office/officeart/2005/8/layout/orgChart1"/>
    <dgm:cxn modelId="{9D4C32D1-77D8-2C4C-98F6-8CF1E6DE5C73}" type="presParOf" srcId="{592539AD-C516-5248-A140-4F76AF915457}" destId="{9A3294AA-66DA-2646-B76E-EF4E8A432C28}" srcOrd="0" destOrd="0" presId="urn:microsoft.com/office/officeart/2005/8/layout/orgChart1"/>
    <dgm:cxn modelId="{A5DCDD42-FCA1-0243-AC1F-47A71622EC03}" type="presParOf" srcId="{592539AD-C516-5248-A140-4F76AF915457}" destId="{9EFA1918-8F5A-4443-83B8-9919DE4FC210}" srcOrd="1" destOrd="0" presId="urn:microsoft.com/office/officeart/2005/8/layout/orgChart1"/>
    <dgm:cxn modelId="{EC67F564-7AB5-7B4C-8164-D3656217EBFC}" type="presParOf" srcId="{9EFA1918-8F5A-4443-83B8-9919DE4FC210}" destId="{6E4828A4-CA7A-A141-98A3-0C5956ABA44A}" srcOrd="0" destOrd="0" presId="urn:microsoft.com/office/officeart/2005/8/layout/orgChart1"/>
    <dgm:cxn modelId="{7E78F4C9-94D3-994E-8705-4DC77C3DE4F0}" type="presParOf" srcId="{6E4828A4-CA7A-A141-98A3-0C5956ABA44A}" destId="{C83ABAF2-8D8E-354B-8044-1407BFA66273}" srcOrd="0" destOrd="0" presId="urn:microsoft.com/office/officeart/2005/8/layout/orgChart1"/>
    <dgm:cxn modelId="{B1448C50-2E7E-1B47-A359-D950C2E75258}" type="presParOf" srcId="{6E4828A4-CA7A-A141-98A3-0C5956ABA44A}" destId="{5DEF9DF0-3450-D642-91E8-5301122B848E}" srcOrd="1" destOrd="0" presId="urn:microsoft.com/office/officeart/2005/8/layout/orgChart1"/>
    <dgm:cxn modelId="{61602890-0EA5-8B46-B1BF-5F72068290AF}" type="presParOf" srcId="{9EFA1918-8F5A-4443-83B8-9919DE4FC210}" destId="{863188EE-D1D3-D143-8DA3-387B582F6870}" srcOrd="1" destOrd="0" presId="urn:microsoft.com/office/officeart/2005/8/layout/orgChart1"/>
    <dgm:cxn modelId="{4CCAD9C4-943C-8849-92CC-94848C4525C1}" type="presParOf" srcId="{863188EE-D1D3-D143-8DA3-387B582F6870}" destId="{27919CF9-B6CE-7D4D-9230-FC1988DCD1EB}" srcOrd="0" destOrd="0" presId="urn:microsoft.com/office/officeart/2005/8/layout/orgChart1"/>
    <dgm:cxn modelId="{13DDF0B4-871B-034B-AA56-95ED8AEE8419}" type="presParOf" srcId="{863188EE-D1D3-D143-8DA3-387B582F6870}" destId="{49BF8231-817A-B049-81D8-0DD4228FEDA4}" srcOrd="1" destOrd="0" presId="urn:microsoft.com/office/officeart/2005/8/layout/orgChart1"/>
    <dgm:cxn modelId="{00A2E550-8262-024E-AD6C-4A27F3B2AAAF}" type="presParOf" srcId="{49BF8231-817A-B049-81D8-0DD4228FEDA4}" destId="{6F5E167A-6A52-1A46-BFC8-AB159897549E}" srcOrd="0" destOrd="0" presId="urn:microsoft.com/office/officeart/2005/8/layout/orgChart1"/>
    <dgm:cxn modelId="{64C49621-B9FD-6044-A5C6-ECC4C6B10D65}" type="presParOf" srcId="{6F5E167A-6A52-1A46-BFC8-AB159897549E}" destId="{FB9C3B58-598B-D245-B29D-F5A726EEC954}" srcOrd="0" destOrd="0" presId="urn:microsoft.com/office/officeart/2005/8/layout/orgChart1"/>
    <dgm:cxn modelId="{3967D0DC-5549-304F-AAB5-EAD4B6E79CDD}" type="presParOf" srcId="{6F5E167A-6A52-1A46-BFC8-AB159897549E}" destId="{C4543C85-51CC-8447-8226-4813758C733D}" srcOrd="1" destOrd="0" presId="urn:microsoft.com/office/officeart/2005/8/layout/orgChart1"/>
    <dgm:cxn modelId="{4B186A5F-A5A1-8246-94EC-0CD15C7E7E39}" type="presParOf" srcId="{49BF8231-817A-B049-81D8-0DD4228FEDA4}" destId="{0B584EBC-0571-DE4E-BC55-0F1D702BD908}" srcOrd="1" destOrd="0" presId="urn:microsoft.com/office/officeart/2005/8/layout/orgChart1"/>
    <dgm:cxn modelId="{94E801B1-3F7B-7A45-A3AF-F7713E4E00A3}" type="presParOf" srcId="{0B584EBC-0571-DE4E-BC55-0F1D702BD908}" destId="{979D0B09-DE5D-8F4F-9547-EE457EDB9255}" srcOrd="0" destOrd="0" presId="urn:microsoft.com/office/officeart/2005/8/layout/orgChart1"/>
    <dgm:cxn modelId="{C1183E3F-DE1A-9A4C-ADED-7B40BAB2B330}" type="presParOf" srcId="{0B584EBC-0571-DE4E-BC55-0F1D702BD908}" destId="{BA9DF569-A3F0-7649-9F07-596615D3E311}" srcOrd="1" destOrd="0" presId="urn:microsoft.com/office/officeart/2005/8/layout/orgChart1"/>
    <dgm:cxn modelId="{FE8977CE-A6E6-F34C-8B4E-8BDBE3DDACAC}" type="presParOf" srcId="{BA9DF569-A3F0-7649-9F07-596615D3E311}" destId="{9DB68893-22D2-FC45-A399-383C1A52ED4C}" srcOrd="0" destOrd="0" presId="urn:microsoft.com/office/officeart/2005/8/layout/orgChart1"/>
    <dgm:cxn modelId="{F9B79661-F460-2B48-938F-EF750C4B5521}" type="presParOf" srcId="{9DB68893-22D2-FC45-A399-383C1A52ED4C}" destId="{94166464-4DCD-B54C-BF1B-1F6CC07FC970}" srcOrd="0" destOrd="0" presId="urn:microsoft.com/office/officeart/2005/8/layout/orgChart1"/>
    <dgm:cxn modelId="{BCC638D5-740E-F045-9BB8-1A64180ACB10}" type="presParOf" srcId="{9DB68893-22D2-FC45-A399-383C1A52ED4C}" destId="{1A749738-220F-1F4D-A7E1-66ED43E65EAD}" srcOrd="1" destOrd="0" presId="urn:microsoft.com/office/officeart/2005/8/layout/orgChart1"/>
    <dgm:cxn modelId="{0CB887BF-D4F3-BA4E-934C-907E59C7A050}" type="presParOf" srcId="{BA9DF569-A3F0-7649-9F07-596615D3E311}" destId="{E724640B-6EC6-3644-99AA-802EAAC70736}" srcOrd="1" destOrd="0" presId="urn:microsoft.com/office/officeart/2005/8/layout/orgChart1"/>
    <dgm:cxn modelId="{7042CBBA-9720-5D42-8479-CA051AE8AB11}" type="presParOf" srcId="{BA9DF569-A3F0-7649-9F07-596615D3E311}" destId="{4C52AF5C-7ED8-6848-A713-93EE5866EBE1}" srcOrd="2" destOrd="0" presId="urn:microsoft.com/office/officeart/2005/8/layout/orgChart1"/>
    <dgm:cxn modelId="{2C0D1F0F-CAA8-B14E-B509-EAD58904762A}" type="presParOf" srcId="{0B584EBC-0571-DE4E-BC55-0F1D702BD908}" destId="{B04C1F16-A09D-374B-9E42-7AF985120A3C}" srcOrd="2" destOrd="0" presId="urn:microsoft.com/office/officeart/2005/8/layout/orgChart1"/>
    <dgm:cxn modelId="{901B0161-6C96-2B44-AFC3-4327736CF4C8}" type="presParOf" srcId="{0B584EBC-0571-DE4E-BC55-0F1D702BD908}" destId="{99D75D7F-CF50-524C-9CED-61CA0B1B112F}" srcOrd="3" destOrd="0" presId="urn:microsoft.com/office/officeart/2005/8/layout/orgChart1"/>
    <dgm:cxn modelId="{FCD3F9A4-8C5A-4041-8FCA-DE5C0075A2A4}" type="presParOf" srcId="{99D75D7F-CF50-524C-9CED-61CA0B1B112F}" destId="{FE159304-A49F-3A44-89C3-249B1B8D7C57}" srcOrd="0" destOrd="0" presId="urn:microsoft.com/office/officeart/2005/8/layout/orgChart1"/>
    <dgm:cxn modelId="{A5874FE7-D1B4-A743-ACE7-6E0F70764504}" type="presParOf" srcId="{FE159304-A49F-3A44-89C3-249B1B8D7C57}" destId="{983B5D68-8BB2-0D49-B527-1A61732F0BBE}" srcOrd="0" destOrd="0" presId="urn:microsoft.com/office/officeart/2005/8/layout/orgChart1"/>
    <dgm:cxn modelId="{DD996761-A807-5745-8A3F-4617DE07F1A8}" type="presParOf" srcId="{FE159304-A49F-3A44-89C3-249B1B8D7C57}" destId="{F8864DE0-9C7C-E44F-87DA-3749B4D760CD}" srcOrd="1" destOrd="0" presId="urn:microsoft.com/office/officeart/2005/8/layout/orgChart1"/>
    <dgm:cxn modelId="{86AD94CB-65E9-FC44-B86C-4AB7504939F9}" type="presParOf" srcId="{99D75D7F-CF50-524C-9CED-61CA0B1B112F}" destId="{2261A6C0-6F3F-1C4C-91E8-FF4A1794B019}" srcOrd="1" destOrd="0" presId="urn:microsoft.com/office/officeart/2005/8/layout/orgChart1"/>
    <dgm:cxn modelId="{CC50834A-CDAB-A943-AEDD-EAAC9CAF8D04}" type="presParOf" srcId="{99D75D7F-CF50-524C-9CED-61CA0B1B112F}" destId="{AE675B12-62D6-C74E-B48E-11B19DBCBB71}" srcOrd="2" destOrd="0" presId="urn:microsoft.com/office/officeart/2005/8/layout/orgChart1"/>
    <dgm:cxn modelId="{EBFCA071-CDD6-3541-BA2E-6292240175D4}" type="presParOf" srcId="{49BF8231-817A-B049-81D8-0DD4228FEDA4}" destId="{C8C1E126-D970-D747-8557-5DBCAD080E75}" srcOrd="2" destOrd="0" presId="urn:microsoft.com/office/officeart/2005/8/layout/orgChart1"/>
    <dgm:cxn modelId="{33D57093-EAD9-6B4E-8F40-1886C28898DC}" type="presParOf" srcId="{863188EE-D1D3-D143-8DA3-387B582F6870}" destId="{B5DB9231-983C-DC42-939F-5BE0DD9411E1}" srcOrd="2" destOrd="0" presId="urn:microsoft.com/office/officeart/2005/8/layout/orgChart1"/>
    <dgm:cxn modelId="{0D0406F8-6350-FE40-A8A9-2AFF84061BEB}" type="presParOf" srcId="{863188EE-D1D3-D143-8DA3-387B582F6870}" destId="{71CD1E6F-32AD-6C46-8627-C0F7CCD8D7A8}" srcOrd="3" destOrd="0" presId="urn:microsoft.com/office/officeart/2005/8/layout/orgChart1"/>
    <dgm:cxn modelId="{568982C1-CA83-4344-810C-C134A4B7DF6A}" type="presParOf" srcId="{71CD1E6F-32AD-6C46-8627-C0F7CCD8D7A8}" destId="{F74B1B5D-46CC-B24A-B1F3-F355551233F5}" srcOrd="0" destOrd="0" presId="urn:microsoft.com/office/officeart/2005/8/layout/orgChart1"/>
    <dgm:cxn modelId="{948E8ED4-57F5-904C-8C47-8867C14A8FE9}" type="presParOf" srcId="{F74B1B5D-46CC-B24A-B1F3-F355551233F5}" destId="{BDCA5C9E-8EF3-824E-9D2F-F838F96B4742}" srcOrd="0" destOrd="0" presId="urn:microsoft.com/office/officeart/2005/8/layout/orgChart1"/>
    <dgm:cxn modelId="{1E66753E-8F6A-2B41-9680-48B7F66D2172}" type="presParOf" srcId="{F74B1B5D-46CC-B24A-B1F3-F355551233F5}" destId="{141A7FD3-9306-D845-B2CB-7648769746B8}" srcOrd="1" destOrd="0" presId="urn:microsoft.com/office/officeart/2005/8/layout/orgChart1"/>
    <dgm:cxn modelId="{9156CB7B-97D6-7247-BDDC-FE08F8280850}" type="presParOf" srcId="{71CD1E6F-32AD-6C46-8627-C0F7CCD8D7A8}" destId="{51980884-F53A-D948-A4E8-DC9125535E1E}" srcOrd="1" destOrd="0" presId="urn:microsoft.com/office/officeart/2005/8/layout/orgChart1"/>
    <dgm:cxn modelId="{CB9FFEE9-9E00-0945-95EA-1142576C175A}" type="presParOf" srcId="{71CD1E6F-32AD-6C46-8627-C0F7CCD8D7A8}" destId="{2218A1F7-9E04-E540-AF0A-EBACD6CCA4D1}" srcOrd="2" destOrd="0" presId="urn:microsoft.com/office/officeart/2005/8/layout/orgChart1"/>
    <dgm:cxn modelId="{37CC7EC4-98AB-674A-B95B-97C14E3841A3}" type="presParOf" srcId="{863188EE-D1D3-D143-8DA3-387B582F6870}" destId="{5BC372AB-B74C-7E4C-8F49-F0D490B8F07A}" srcOrd="4" destOrd="0" presId="urn:microsoft.com/office/officeart/2005/8/layout/orgChart1"/>
    <dgm:cxn modelId="{7C5DB506-ECB1-3C46-BA56-84CF9878E07A}" type="presParOf" srcId="{863188EE-D1D3-D143-8DA3-387B582F6870}" destId="{A954B9F5-0F1D-7B41-AC54-49AF9872C81B}" srcOrd="5" destOrd="0" presId="urn:microsoft.com/office/officeart/2005/8/layout/orgChart1"/>
    <dgm:cxn modelId="{BF783480-27B1-DA4A-8CDE-6640B9CB4CCA}" type="presParOf" srcId="{A954B9F5-0F1D-7B41-AC54-49AF9872C81B}" destId="{41BEB5B0-1DCF-2047-B031-3F38898FE16E}" srcOrd="0" destOrd="0" presId="urn:microsoft.com/office/officeart/2005/8/layout/orgChart1"/>
    <dgm:cxn modelId="{F0E04688-E462-DB44-9806-9EDEDC474077}" type="presParOf" srcId="{41BEB5B0-1DCF-2047-B031-3F38898FE16E}" destId="{6A411B99-7B85-FF45-9327-D028884B4E8D}" srcOrd="0" destOrd="0" presId="urn:microsoft.com/office/officeart/2005/8/layout/orgChart1"/>
    <dgm:cxn modelId="{3AE91D3E-2BCA-8740-83D0-7E57D8B230A8}" type="presParOf" srcId="{41BEB5B0-1DCF-2047-B031-3F38898FE16E}" destId="{5EBD9530-2E1A-EA44-980A-B8EBB30D1A6B}" srcOrd="1" destOrd="0" presId="urn:microsoft.com/office/officeart/2005/8/layout/orgChart1"/>
    <dgm:cxn modelId="{A96BFBBB-DFCD-4644-9978-4CB166923C03}" type="presParOf" srcId="{A954B9F5-0F1D-7B41-AC54-49AF9872C81B}" destId="{B1488DAA-76A4-244F-9334-0516CC7EB41E}" srcOrd="1" destOrd="0" presId="urn:microsoft.com/office/officeart/2005/8/layout/orgChart1"/>
    <dgm:cxn modelId="{EA3F47BC-9F65-3042-9570-482E5A1C1E57}" type="presParOf" srcId="{A954B9F5-0F1D-7B41-AC54-49AF9872C81B}" destId="{43F0DDFA-440B-634E-95F0-988CB738747C}" srcOrd="2" destOrd="0" presId="urn:microsoft.com/office/officeart/2005/8/layout/orgChart1"/>
    <dgm:cxn modelId="{90E9FC9A-AD0A-2649-AD76-9B18FA7B2355}" type="presParOf" srcId="{9EFA1918-8F5A-4443-83B8-9919DE4FC210}" destId="{4FDAC942-5610-A74E-85F6-AF3B36F77E1A}" srcOrd="2" destOrd="0" presId="urn:microsoft.com/office/officeart/2005/8/layout/orgChart1"/>
    <dgm:cxn modelId="{C926DE3A-6507-F54D-A510-B2DEF1F3CE84}" type="presParOf" srcId="{592539AD-C516-5248-A140-4F76AF915457}" destId="{A5E34956-2EB1-1445-A29D-860864481328}" srcOrd="2" destOrd="0" presId="urn:microsoft.com/office/officeart/2005/8/layout/orgChart1"/>
    <dgm:cxn modelId="{F8DD8E6E-8EB3-224E-86DF-C7358B13E71F}" type="presParOf" srcId="{592539AD-C516-5248-A140-4F76AF915457}" destId="{C0CFCF43-130C-CB43-BA38-F48D2B30A63E}" srcOrd="3" destOrd="0" presId="urn:microsoft.com/office/officeart/2005/8/layout/orgChart1"/>
    <dgm:cxn modelId="{B1AF4D66-7101-AC45-8876-F5431E42E0CE}" type="presParOf" srcId="{C0CFCF43-130C-CB43-BA38-F48D2B30A63E}" destId="{2E01C69C-2101-4047-9179-CDE88BBD827E}" srcOrd="0" destOrd="0" presId="urn:microsoft.com/office/officeart/2005/8/layout/orgChart1"/>
    <dgm:cxn modelId="{1FB9984C-D5F7-404E-B139-ACED0F39BEF3}" type="presParOf" srcId="{2E01C69C-2101-4047-9179-CDE88BBD827E}" destId="{0082461F-6AD8-CA46-BE73-30533844AFF8}" srcOrd="0" destOrd="0" presId="urn:microsoft.com/office/officeart/2005/8/layout/orgChart1"/>
    <dgm:cxn modelId="{AB93C814-A0B1-D446-B14F-88EB11402EB9}" type="presParOf" srcId="{2E01C69C-2101-4047-9179-CDE88BBD827E}" destId="{2A61260C-0B3A-7E47-9F42-BF03357FF966}" srcOrd="1" destOrd="0" presId="urn:microsoft.com/office/officeart/2005/8/layout/orgChart1"/>
    <dgm:cxn modelId="{76091B2B-976A-9447-8351-B0CC912C597B}" type="presParOf" srcId="{C0CFCF43-130C-CB43-BA38-F48D2B30A63E}" destId="{CFE7608B-9733-4F4F-99DC-80E49B2467C4}" srcOrd="1" destOrd="0" presId="urn:microsoft.com/office/officeart/2005/8/layout/orgChart1"/>
    <dgm:cxn modelId="{0FEC005F-488D-C241-9673-393009DF8C1B}" type="presParOf" srcId="{C0CFCF43-130C-CB43-BA38-F48D2B30A63E}" destId="{4B50E68F-81C2-6C4B-BCE1-2F759EC61F80}" srcOrd="2" destOrd="0" presId="urn:microsoft.com/office/officeart/2005/8/layout/orgChart1"/>
    <dgm:cxn modelId="{275F3516-D2EA-B94F-8167-C6AE1F62B1F3}" type="presParOf" srcId="{592539AD-C516-5248-A140-4F76AF915457}" destId="{FCADAA68-F242-5C4A-9473-7A9F333C830B}" srcOrd="4" destOrd="0" presId="urn:microsoft.com/office/officeart/2005/8/layout/orgChart1"/>
    <dgm:cxn modelId="{D0591BD8-1DB2-C845-B6D3-E87CB4EABDFF}" type="presParOf" srcId="{592539AD-C516-5248-A140-4F76AF915457}" destId="{89C11363-E9E9-2946-B7EF-1ABAEE7F7D02}" srcOrd="5" destOrd="0" presId="urn:microsoft.com/office/officeart/2005/8/layout/orgChart1"/>
    <dgm:cxn modelId="{9B6E36E1-A84D-2746-AE72-C6328E466C90}" type="presParOf" srcId="{89C11363-E9E9-2946-B7EF-1ABAEE7F7D02}" destId="{DD204A67-EA20-6142-A639-6FACD9D581A8}" srcOrd="0" destOrd="0" presId="urn:microsoft.com/office/officeart/2005/8/layout/orgChart1"/>
    <dgm:cxn modelId="{3850838C-790A-564A-8F3C-ED422D1384F6}" type="presParOf" srcId="{DD204A67-EA20-6142-A639-6FACD9D581A8}" destId="{B7CF617D-53B3-FD49-AA0E-AA3EB0807BAE}" srcOrd="0" destOrd="0" presId="urn:microsoft.com/office/officeart/2005/8/layout/orgChart1"/>
    <dgm:cxn modelId="{2D6D5AF2-5E5D-F24B-9E4D-E697031C3D93}" type="presParOf" srcId="{DD204A67-EA20-6142-A639-6FACD9D581A8}" destId="{C7F96602-8288-AE45-BD51-88A6F21D8EBB}" srcOrd="1" destOrd="0" presId="urn:microsoft.com/office/officeart/2005/8/layout/orgChart1"/>
    <dgm:cxn modelId="{208FFFBC-7A31-4C4A-A9E1-E9D9DE7E6D4C}" type="presParOf" srcId="{89C11363-E9E9-2946-B7EF-1ABAEE7F7D02}" destId="{F48D6383-2DF8-7843-A046-0BA284C5DE58}" srcOrd="1" destOrd="0" presId="urn:microsoft.com/office/officeart/2005/8/layout/orgChart1"/>
    <dgm:cxn modelId="{FC47F582-85A6-0446-868F-D874F4E8EC00}" type="presParOf" srcId="{89C11363-E9E9-2946-B7EF-1ABAEE7F7D02}" destId="{EE72A906-1DFC-7D41-B5C3-3226641C2B1E}" srcOrd="2" destOrd="0" presId="urn:microsoft.com/office/officeart/2005/8/layout/orgChart1"/>
    <dgm:cxn modelId="{1550BB65-1238-1F41-AF95-9DE7FB327AD3}" type="presParOf" srcId="{8C92BD17-083E-4444-A334-185661579A21}" destId="{315660BA-4270-2547-A8F9-A2E4BEB929A5}" srcOrd="2" destOrd="0" presId="urn:microsoft.com/office/officeart/2005/8/layout/orgChart1"/>
  </dgm:cxnLst>
  <dgm:bg>
    <a:noFill/>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ADAA68-F242-5C4A-9473-7A9F333C830B}">
      <dsp:nvSpPr>
        <dsp:cNvPr id="0" name=""/>
        <dsp:cNvSpPr/>
      </dsp:nvSpPr>
      <dsp:spPr>
        <a:xfrm>
          <a:off x="3591917" y="881019"/>
          <a:ext cx="1230056" cy="206414"/>
        </a:xfrm>
        <a:custGeom>
          <a:avLst/>
          <a:gdLst/>
          <a:ahLst/>
          <a:cxnLst/>
          <a:rect l="0" t="0" r="0" b="0"/>
          <a:pathLst>
            <a:path>
              <a:moveTo>
                <a:pt x="0" y="0"/>
              </a:moveTo>
              <a:lnTo>
                <a:pt x="0" y="103207"/>
              </a:lnTo>
              <a:lnTo>
                <a:pt x="1230056" y="103207"/>
              </a:lnTo>
              <a:lnTo>
                <a:pt x="1230056"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5E34956-2EB1-1445-A29D-860864481328}">
      <dsp:nvSpPr>
        <dsp:cNvPr id="0" name=""/>
        <dsp:cNvSpPr/>
      </dsp:nvSpPr>
      <dsp:spPr>
        <a:xfrm>
          <a:off x="3546197" y="881019"/>
          <a:ext cx="91440" cy="206414"/>
        </a:xfrm>
        <a:custGeom>
          <a:avLst/>
          <a:gdLst/>
          <a:ahLst/>
          <a:cxnLst/>
          <a:rect l="0" t="0" r="0" b="0"/>
          <a:pathLst>
            <a:path>
              <a:moveTo>
                <a:pt x="45720" y="0"/>
              </a:moveTo>
              <a:lnTo>
                <a:pt x="45720" y="103207"/>
              </a:lnTo>
              <a:lnTo>
                <a:pt x="47356" y="103207"/>
              </a:lnTo>
              <a:lnTo>
                <a:pt x="47356"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BC372AB-B74C-7E4C-8F49-F0D490B8F07A}">
      <dsp:nvSpPr>
        <dsp:cNvPr id="0" name=""/>
        <dsp:cNvSpPr/>
      </dsp:nvSpPr>
      <dsp:spPr>
        <a:xfrm>
          <a:off x="2363498" y="1711259"/>
          <a:ext cx="1330157" cy="206414"/>
        </a:xfrm>
        <a:custGeom>
          <a:avLst/>
          <a:gdLst/>
          <a:ahLst/>
          <a:cxnLst/>
          <a:rect l="0" t="0" r="0" b="0"/>
          <a:pathLst>
            <a:path>
              <a:moveTo>
                <a:pt x="0" y="0"/>
              </a:moveTo>
              <a:lnTo>
                <a:pt x="0" y="103207"/>
              </a:lnTo>
              <a:lnTo>
                <a:pt x="1330157" y="103207"/>
              </a:lnTo>
              <a:lnTo>
                <a:pt x="1330157"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5DB9231-983C-DC42-939F-5BE0DD9411E1}">
      <dsp:nvSpPr>
        <dsp:cNvPr id="0" name=""/>
        <dsp:cNvSpPr/>
      </dsp:nvSpPr>
      <dsp:spPr>
        <a:xfrm>
          <a:off x="2317778" y="1711259"/>
          <a:ext cx="91440" cy="206414"/>
        </a:xfrm>
        <a:custGeom>
          <a:avLst/>
          <a:gdLst/>
          <a:ahLst/>
          <a:cxnLst/>
          <a:rect l="0" t="0" r="0" b="0"/>
          <a:pathLst>
            <a:path>
              <a:moveTo>
                <a:pt x="45720" y="0"/>
              </a:moveTo>
              <a:lnTo>
                <a:pt x="45720"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04C1F16-A09D-374B-9E42-7AF985120A3C}">
      <dsp:nvSpPr>
        <dsp:cNvPr id="0" name=""/>
        <dsp:cNvSpPr/>
      </dsp:nvSpPr>
      <dsp:spPr>
        <a:xfrm>
          <a:off x="1033340" y="2733057"/>
          <a:ext cx="567606" cy="206414"/>
        </a:xfrm>
        <a:custGeom>
          <a:avLst/>
          <a:gdLst/>
          <a:ahLst/>
          <a:cxnLst/>
          <a:rect l="0" t="0" r="0" b="0"/>
          <a:pathLst>
            <a:path>
              <a:moveTo>
                <a:pt x="0" y="0"/>
              </a:moveTo>
              <a:lnTo>
                <a:pt x="0" y="103207"/>
              </a:lnTo>
              <a:lnTo>
                <a:pt x="567606" y="103207"/>
              </a:lnTo>
              <a:lnTo>
                <a:pt x="567606"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79D0B09-DE5D-8F4F-9547-EE457EDB9255}">
      <dsp:nvSpPr>
        <dsp:cNvPr id="0" name=""/>
        <dsp:cNvSpPr/>
      </dsp:nvSpPr>
      <dsp:spPr>
        <a:xfrm>
          <a:off x="465733" y="2733057"/>
          <a:ext cx="567606" cy="206414"/>
        </a:xfrm>
        <a:custGeom>
          <a:avLst/>
          <a:gdLst/>
          <a:ahLst/>
          <a:cxnLst/>
          <a:rect l="0" t="0" r="0" b="0"/>
          <a:pathLst>
            <a:path>
              <a:moveTo>
                <a:pt x="567606" y="0"/>
              </a:moveTo>
              <a:lnTo>
                <a:pt x="567606" y="103207"/>
              </a:lnTo>
              <a:lnTo>
                <a:pt x="0" y="103207"/>
              </a:lnTo>
              <a:lnTo>
                <a:pt x="0"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7919CF9-B6CE-7D4D-9230-FC1988DCD1EB}">
      <dsp:nvSpPr>
        <dsp:cNvPr id="0" name=""/>
        <dsp:cNvSpPr/>
      </dsp:nvSpPr>
      <dsp:spPr>
        <a:xfrm>
          <a:off x="1033340" y="1711259"/>
          <a:ext cx="1330157" cy="206414"/>
        </a:xfrm>
        <a:custGeom>
          <a:avLst/>
          <a:gdLst/>
          <a:ahLst/>
          <a:cxnLst/>
          <a:rect l="0" t="0" r="0" b="0"/>
          <a:pathLst>
            <a:path>
              <a:moveTo>
                <a:pt x="1330157" y="0"/>
              </a:moveTo>
              <a:lnTo>
                <a:pt x="1330157" y="103207"/>
              </a:lnTo>
              <a:lnTo>
                <a:pt x="0" y="103207"/>
              </a:lnTo>
              <a:lnTo>
                <a:pt x="0"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A3294AA-66DA-2646-B76E-EF4E8A432C28}">
      <dsp:nvSpPr>
        <dsp:cNvPr id="0" name=""/>
        <dsp:cNvSpPr/>
      </dsp:nvSpPr>
      <dsp:spPr>
        <a:xfrm>
          <a:off x="2363498" y="881019"/>
          <a:ext cx="1228419" cy="206414"/>
        </a:xfrm>
        <a:custGeom>
          <a:avLst/>
          <a:gdLst/>
          <a:ahLst/>
          <a:cxnLst/>
          <a:rect l="0" t="0" r="0" b="0"/>
          <a:pathLst>
            <a:path>
              <a:moveTo>
                <a:pt x="1228419" y="0"/>
              </a:moveTo>
              <a:lnTo>
                <a:pt x="1228419" y="103207"/>
              </a:lnTo>
              <a:lnTo>
                <a:pt x="0" y="103207"/>
              </a:lnTo>
              <a:lnTo>
                <a:pt x="0"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73FA9B0-C4C0-B241-95AD-D916F9052F9E}">
      <dsp:nvSpPr>
        <dsp:cNvPr id="0" name=""/>
        <dsp:cNvSpPr/>
      </dsp:nvSpPr>
      <dsp:spPr>
        <a:xfrm>
          <a:off x="3098640" y="193539"/>
          <a:ext cx="986555" cy="687479"/>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Gross</a:t>
          </a:r>
          <a:br>
            <a:rPr lang="en-US" sz="1000" kern="1200">
              <a:solidFill>
                <a:sysClr val="windowText" lastClr="000000"/>
              </a:solidFill>
            </a:rPr>
          </a:br>
          <a:r>
            <a:rPr lang="en-US" sz="1000" kern="1200">
              <a:solidFill>
                <a:sysClr val="windowText" lastClr="000000"/>
              </a:solidFill>
            </a:rPr>
            <a:t>exports </a:t>
          </a:r>
          <a:br>
            <a:rPr lang="en-US" sz="1000" kern="1200">
              <a:solidFill>
                <a:sysClr val="windowText" lastClr="000000"/>
              </a:solidFill>
            </a:rPr>
          </a:br>
          <a:r>
            <a:rPr lang="en-US" sz="1000" kern="1200">
              <a:solidFill>
                <a:sysClr val="windowText" lastClr="000000"/>
              </a:solidFill>
            </a:rPr>
            <a:t>by </a:t>
          </a:r>
          <a:r>
            <a:rPr lang="en-US" sz="1000" i="1" kern="1200">
              <a:solidFill>
                <a:sysClr val="windowText" lastClr="000000"/>
              </a:solidFill>
            </a:rPr>
            <a:t>H</a:t>
          </a:r>
          <a:r>
            <a:rPr lang="en-US" sz="1000" kern="1200">
              <a:solidFill>
                <a:sysClr val="windowText" lastClr="000000"/>
              </a:solidFill>
            </a:rPr>
            <a:t> to </a:t>
          </a:r>
          <a:r>
            <a:rPr lang="en-US" sz="1000" i="1" kern="1200">
              <a:solidFill>
                <a:sysClr val="windowText" lastClr="000000"/>
              </a:solidFill>
            </a:rPr>
            <a:t>P</a:t>
          </a:r>
        </a:p>
      </dsp:txBody>
      <dsp:txXfrm>
        <a:off x="3098640" y="193539"/>
        <a:ext cx="986555" cy="687479"/>
      </dsp:txXfrm>
    </dsp:sp>
    <dsp:sp modelId="{C83ABAF2-8D8E-354B-8044-1407BFA66273}">
      <dsp:nvSpPr>
        <dsp:cNvPr id="0" name=""/>
        <dsp:cNvSpPr/>
      </dsp:nvSpPr>
      <dsp:spPr>
        <a:xfrm>
          <a:off x="1870220" y="1087434"/>
          <a:ext cx="986555" cy="623825"/>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Domestic value added</a:t>
          </a:r>
        </a:p>
      </dsp:txBody>
      <dsp:txXfrm>
        <a:off x="1870220" y="1087434"/>
        <a:ext cx="986555" cy="623825"/>
      </dsp:txXfrm>
    </dsp:sp>
    <dsp:sp modelId="{FB9C3B58-598B-D245-B29D-F5A726EEC954}">
      <dsp:nvSpPr>
        <dsp:cNvPr id="0" name=""/>
        <dsp:cNvSpPr/>
      </dsp:nvSpPr>
      <dsp:spPr>
        <a:xfrm>
          <a:off x="471469" y="1917674"/>
          <a:ext cx="1123742" cy="81538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Directly </a:t>
          </a:r>
          <a:br>
            <a:rPr lang="en-US" sz="1000" kern="1200">
              <a:solidFill>
                <a:sysClr val="windowText" lastClr="000000"/>
              </a:solidFill>
            </a:rPr>
          </a:br>
          <a:r>
            <a:rPr lang="en-US" sz="1000" kern="1200">
              <a:solidFill>
                <a:sysClr val="windowText" lastClr="000000"/>
              </a:solidFill>
            </a:rPr>
            <a:t>absorbed by </a:t>
          </a:r>
          <a:r>
            <a:rPr lang="en-US" sz="1000" i="1" kern="1200">
              <a:solidFill>
                <a:sysClr val="windowText" lastClr="000000"/>
              </a:solidFill>
            </a:rPr>
            <a:t>P</a:t>
          </a:r>
        </a:p>
        <a:p>
          <a:pPr marL="0" lvl="0" indent="0" algn="ctr" defTabSz="444500">
            <a:lnSpc>
              <a:spcPct val="90000"/>
            </a:lnSpc>
            <a:spcBef>
              <a:spcPct val="0"/>
            </a:spcBef>
            <a:spcAft>
              <a:spcPct val="35000"/>
            </a:spcAft>
            <a:buNone/>
          </a:pPr>
          <a:r>
            <a:rPr lang="en-US" sz="1000" b="1" i="0" kern="1200">
              <a:solidFill>
                <a:sysClr val="windowText" lastClr="000000"/>
              </a:solidFill>
            </a:rPr>
            <a:t>DAVAX</a:t>
          </a:r>
        </a:p>
      </dsp:txBody>
      <dsp:txXfrm>
        <a:off x="471469" y="1917674"/>
        <a:ext cx="1123742" cy="815383"/>
      </dsp:txXfrm>
    </dsp:sp>
    <dsp:sp modelId="{94166464-4DCD-B54C-BF1B-1F6CC07FC970}">
      <dsp:nvSpPr>
        <dsp:cNvPr id="0" name=""/>
        <dsp:cNvSpPr/>
      </dsp:nvSpPr>
      <dsp:spPr>
        <a:xfrm>
          <a:off x="1334" y="2939472"/>
          <a:ext cx="928798" cy="629998"/>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As </a:t>
          </a:r>
          <a:br>
            <a:rPr lang="en-US" sz="1000" kern="1200">
              <a:solidFill>
                <a:sysClr val="windowText" lastClr="000000"/>
              </a:solidFill>
            </a:rPr>
          </a:br>
          <a:r>
            <a:rPr lang="en-US" sz="1000" kern="1200">
              <a:solidFill>
                <a:sysClr val="windowText" lastClr="000000"/>
              </a:solidFill>
            </a:rPr>
            <a:t>final goods</a:t>
          </a:r>
        </a:p>
        <a:p>
          <a:pPr marL="0" lvl="0" indent="0" algn="ctr" defTabSz="444500">
            <a:lnSpc>
              <a:spcPct val="90000"/>
            </a:lnSpc>
            <a:spcBef>
              <a:spcPct val="0"/>
            </a:spcBef>
            <a:spcAft>
              <a:spcPct val="35000"/>
            </a:spcAft>
            <a:buNone/>
          </a:pPr>
          <a:r>
            <a:rPr lang="en-US" sz="1000" b="1" kern="1200">
              <a:solidFill>
                <a:sysClr val="windowText" lastClr="000000"/>
              </a:solidFill>
            </a:rPr>
            <a:t>DAVAX1</a:t>
          </a:r>
        </a:p>
      </dsp:txBody>
      <dsp:txXfrm>
        <a:off x="1334" y="2939472"/>
        <a:ext cx="928798" cy="629998"/>
      </dsp:txXfrm>
    </dsp:sp>
    <dsp:sp modelId="{983B5D68-8BB2-0D49-B527-1A61732F0BBE}">
      <dsp:nvSpPr>
        <dsp:cNvPr id="0" name=""/>
        <dsp:cNvSpPr/>
      </dsp:nvSpPr>
      <dsp:spPr>
        <a:xfrm>
          <a:off x="1136548" y="2939472"/>
          <a:ext cx="928798" cy="629998"/>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As</a:t>
          </a:r>
          <a:br>
            <a:rPr lang="en-US" sz="1000" kern="1200">
              <a:solidFill>
                <a:sysClr val="windowText" lastClr="000000"/>
              </a:solidFill>
            </a:rPr>
          </a:br>
          <a:r>
            <a:rPr lang="en-US" sz="1000" kern="1200">
              <a:solidFill>
                <a:sysClr val="windowText" lastClr="000000"/>
              </a:solidFill>
            </a:rPr>
            <a:t>intermediates</a:t>
          </a:r>
        </a:p>
        <a:p>
          <a:pPr marL="0" lvl="0" indent="0" algn="ctr" defTabSz="444500">
            <a:lnSpc>
              <a:spcPct val="90000"/>
            </a:lnSpc>
            <a:spcBef>
              <a:spcPct val="0"/>
            </a:spcBef>
            <a:spcAft>
              <a:spcPct val="35000"/>
            </a:spcAft>
            <a:buNone/>
          </a:pPr>
          <a:r>
            <a:rPr lang="en-US" sz="1000" b="1" kern="1200">
              <a:solidFill>
                <a:sysClr val="windowText" lastClr="000000"/>
              </a:solidFill>
            </a:rPr>
            <a:t>DAVAX2</a:t>
          </a:r>
        </a:p>
      </dsp:txBody>
      <dsp:txXfrm>
        <a:off x="1136548" y="2939472"/>
        <a:ext cx="928798" cy="629998"/>
      </dsp:txXfrm>
    </dsp:sp>
    <dsp:sp modelId="{BDCA5C9E-8EF3-824E-9D2F-F838F96B4742}">
      <dsp:nvSpPr>
        <dsp:cNvPr id="0" name=""/>
        <dsp:cNvSpPr/>
      </dsp:nvSpPr>
      <dsp:spPr>
        <a:xfrm>
          <a:off x="1801626" y="1917674"/>
          <a:ext cx="1123742" cy="81538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Re-exported </a:t>
          </a:r>
          <a:br>
            <a:rPr lang="en-US" sz="1000" kern="1200">
              <a:solidFill>
                <a:sysClr val="windowText" lastClr="000000"/>
              </a:solidFill>
            </a:rPr>
          </a:br>
          <a:r>
            <a:rPr lang="en-US" sz="1000" kern="1200">
              <a:solidFill>
                <a:sysClr val="windowText" lastClr="000000"/>
              </a:solidFill>
            </a:rPr>
            <a:t>by </a:t>
          </a:r>
          <a:r>
            <a:rPr lang="en-US" sz="1000" i="1" kern="1200">
              <a:solidFill>
                <a:sysClr val="windowText" lastClr="000000"/>
              </a:solidFill>
            </a:rPr>
            <a:t>P</a:t>
          </a:r>
          <a:r>
            <a:rPr lang="en-US" sz="1000" i="0" kern="1200">
              <a:solidFill>
                <a:sysClr val="windowText" lastClr="000000"/>
              </a:solidFill>
            </a:rPr>
            <a:t> and eventually absorbed abroad</a:t>
          </a:r>
        </a:p>
        <a:p>
          <a:pPr marL="0" lvl="0" indent="0" algn="ctr" defTabSz="444500">
            <a:lnSpc>
              <a:spcPct val="90000"/>
            </a:lnSpc>
            <a:spcBef>
              <a:spcPct val="0"/>
            </a:spcBef>
            <a:spcAft>
              <a:spcPct val="35000"/>
            </a:spcAft>
            <a:buNone/>
          </a:pPr>
          <a:r>
            <a:rPr lang="en-US" sz="1000" b="1" i="0" kern="1200">
              <a:solidFill>
                <a:sysClr val="windowText" lastClr="000000"/>
              </a:solidFill>
            </a:rPr>
            <a:t>REX</a:t>
          </a:r>
        </a:p>
      </dsp:txBody>
      <dsp:txXfrm>
        <a:off x="1801626" y="1917674"/>
        <a:ext cx="1123742" cy="815383"/>
      </dsp:txXfrm>
    </dsp:sp>
    <dsp:sp modelId="{6A411B99-7B85-FF45-9327-D028884B4E8D}">
      <dsp:nvSpPr>
        <dsp:cNvPr id="0" name=""/>
        <dsp:cNvSpPr/>
      </dsp:nvSpPr>
      <dsp:spPr>
        <a:xfrm>
          <a:off x="3131784" y="1917674"/>
          <a:ext cx="1123742" cy="81538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Re-exported </a:t>
          </a:r>
          <a:br>
            <a:rPr lang="en-US" sz="1000" kern="1200">
              <a:solidFill>
                <a:sysClr val="windowText" lastClr="000000"/>
              </a:solidFill>
            </a:rPr>
          </a:br>
          <a:r>
            <a:rPr lang="en-US" sz="1000" kern="1200">
              <a:solidFill>
                <a:sysClr val="windowText" lastClr="000000"/>
              </a:solidFill>
            </a:rPr>
            <a:t>by </a:t>
          </a:r>
          <a:r>
            <a:rPr lang="en-US" sz="1000" i="1" kern="1200">
              <a:solidFill>
                <a:sysClr val="windowText" lastClr="000000"/>
              </a:solidFill>
            </a:rPr>
            <a:t>P</a:t>
          </a:r>
          <a:r>
            <a:rPr lang="en-US" sz="1000" i="0" kern="1200">
              <a:solidFill>
                <a:sysClr val="windowText" lastClr="000000"/>
              </a:solidFill>
            </a:rPr>
            <a:t> and eventually absorbed by </a:t>
          </a:r>
          <a:r>
            <a:rPr lang="en-US" sz="1000" i="1" kern="1200">
              <a:solidFill>
                <a:sysClr val="windowText" lastClr="000000"/>
              </a:solidFill>
            </a:rPr>
            <a:t>H</a:t>
          </a:r>
        </a:p>
        <a:p>
          <a:pPr marL="0" lvl="0" indent="0" algn="ctr" defTabSz="444500">
            <a:lnSpc>
              <a:spcPct val="90000"/>
            </a:lnSpc>
            <a:spcBef>
              <a:spcPct val="0"/>
            </a:spcBef>
            <a:spcAft>
              <a:spcPct val="35000"/>
            </a:spcAft>
            <a:buNone/>
          </a:pPr>
          <a:r>
            <a:rPr lang="en-US" sz="1000" b="1" kern="1200">
              <a:solidFill>
                <a:schemeClr val="tx1"/>
              </a:solidFill>
            </a:rPr>
            <a:t>REF</a:t>
          </a:r>
        </a:p>
      </dsp:txBody>
      <dsp:txXfrm>
        <a:off x="3131784" y="1917674"/>
        <a:ext cx="1123742" cy="815383"/>
      </dsp:txXfrm>
    </dsp:sp>
    <dsp:sp modelId="{0082461F-6AD8-CA46-BE73-30533844AFF8}">
      <dsp:nvSpPr>
        <dsp:cNvPr id="0" name=""/>
        <dsp:cNvSpPr/>
      </dsp:nvSpPr>
      <dsp:spPr>
        <a:xfrm>
          <a:off x="3063190" y="1087434"/>
          <a:ext cx="1060727" cy="623825"/>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Foreign</a:t>
          </a:r>
          <a:br>
            <a:rPr lang="en-US" sz="1000" kern="1200">
              <a:solidFill>
                <a:sysClr val="windowText" lastClr="000000"/>
              </a:solidFill>
            </a:rPr>
          </a:br>
          <a:r>
            <a:rPr lang="en-US" sz="1000" kern="1200">
              <a:solidFill>
                <a:sysClr val="windowText" lastClr="000000"/>
              </a:solidFill>
            </a:rPr>
            <a:t>value added</a:t>
          </a:r>
        </a:p>
        <a:p>
          <a:pPr marL="0" lvl="0" indent="0" algn="ctr" defTabSz="444500">
            <a:lnSpc>
              <a:spcPct val="90000"/>
            </a:lnSpc>
            <a:spcBef>
              <a:spcPct val="0"/>
            </a:spcBef>
            <a:spcAft>
              <a:spcPct val="35000"/>
            </a:spcAft>
            <a:buNone/>
          </a:pPr>
          <a:r>
            <a:rPr lang="en-US" sz="1000" b="1" kern="1200">
              <a:solidFill>
                <a:sysClr val="windowText" lastClr="000000"/>
              </a:solidFill>
            </a:rPr>
            <a:t>FVA</a:t>
          </a:r>
        </a:p>
      </dsp:txBody>
      <dsp:txXfrm>
        <a:off x="3063190" y="1087434"/>
        <a:ext cx="1060727" cy="623825"/>
      </dsp:txXfrm>
    </dsp:sp>
    <dsp:sp modelId="{B7CF617D-53B3-FD49-AA0E-AA3EB0807BAE}">
      <dsp:nvSpPr>
        <dsp:cNvPr id="0" name=""/>
        <dsp:cNvSpPr/>
      </dsp:nvSpPr>
      <dsp:spPr>
        <a:xfrm>
          <a:off x="4330333" y="1087434"/>
          <a:ext cx="983282" cy="623825"/>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Pure</a:t>
          </a:r>
          <a:br>
            <a:rPr lang="en-US" sz="1000" kern="1200">
              <a:solidFill>
                <a:sysClr val="windowText" lastClr="000000"/>
              </a:solidFill>
            </a:rPr>
          </a:br>
          <a:r>
            <a:rPr lang="en-US" sz="1000" kern="1200">
              <a:solidFill>
                <a:sysClr val="windowText" lastClr="000000"/>
              </a:solidFill>
            </a:rPr>
            <a:t>double-counting</a:t>
          </a:r>
        </a:p>
        <a:p>
          <a:pPr marL="0" lvl="0" indent="0" algn="ctr" defTabSz="444500">
            <a:lnSpc>
              <a:spcPct val="90000"/>
            </a:lnSpc>
            <a:spcBef>
              <a:spcPct val="0"/>
            </a:spcBef>
            <a:spcAft>
              <a:spcPct val="35000"/>
            </a:spcAft>
            <a:buNone/>
          </a:pPr>
          <a:r>
            <a:rPr lang="en-US" sz="1000" b="1" kern="1200">
              <a:solidFill>
                <a:sysClr val="windowText" lastClr="000000"/>
              </a:solidFill>
            </a:rPr>
            <a:t>PDC</a:t>
          </a:r>
        </a:p>
      </dsp:txBody>
      <dsp:txXfrm>
        <a:off x="4330333" y="1087434"/>
        <a:ext cx="983282" cy="62382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Bal16</b:Tag>
    <b:SourceType>Book</b:SourceType>
    <b:Guid>{36896628-A213-2542-98D6-F87EC18D2B36}</b:Guid>
    <b:Title>The great convergence: Information technology and the new globalization</b:Title>
    <b:Publisher>Harvard University Press</b:Publisher>
    <b:City>Cambridge, MA</b:City>
    <b:Year>2016</b:Year>
    <b:Author>
      <b:Author>
        <b:NameList>
          <b:Person>
            <b:Last>Baldwin</b:Last>
            <b:First>R.</b:First>
          </b:Person>
        </b:NameList>
      </b:Author>
    </b:Author>
    <b:RefOrder>1</b:RefOrder>
  </b:Source>
  <b:Source>
    <b:Tag>Hum01</b:Tag>
    <b:SourceType>JournalArticle</b:SourceType>
    <b:Guid>{B14E5DCD-2BE8-FD44-AD5B-AEC8D2C9F19C}</b:Guid>
    <b:Author>
      <b:Author>
        <b:NameList>
          <b:Person>
            <b:Last>Hummels</b:Last>
            <b:First>D</b:First>
          </b:Person>
          <b:Person>
            <b:Last>Ishii</b:Last>
            <b:First>J.</b:First>
          </b:Person>
          <b:Person>
            <b:Last>Yi</b:Last>
            <b:First>K.</b:First>
          </b:Person>
        </b:NameList>
      </b:Author>
    </b:Author>
    <b:Title>The nature and growth of vertical specialization in world trade</b:Title>
    <b:Publisher>Journal of International Economics</b:Publisher>
    <b:Year>2001</b:Year>
    <b:Pages>75–96</b:Pages>
    <b:Volume>54</b:Volume>
    <b:Issue>1</b:Issue>
    <b:RefOrder>2</b:RefOrder>
  </b:Source>
  <b:Source>
    <b:Tag>Ded10</b:Tag>
    <b:SourceType>JournalArticle</b:SourceType>
    <b:Guid>{393502DD-9D57-F142-A39A-93A4BB911100}</b:Guid>
    <b:Author>
      <b:Author>
        <b:NameList>
          <b:Person>
            <b:Last>Dedrick</b:Last>
            <b:First>J.</b:First>
          </b:Person>
          <b:Person>
            <b:Last>Kraemer</b:Last>
            <b:First>K.</b:First>
            <b:Middle>L.</b:Middle>
          </b:Person>
          <b:Person>
            <b:Last>Linden</b:Last>
            <b:First>G.</b:First>
          </b:Person>
        </b:NameList>
      </b:Author>
    </b:Author>
    <b:Title>Who profits from innovation in global value chains? A study of the iPod and notebook PCs</b:Title>
    <b:JournalName>Industrial and corporate change</b:JournalName>
    <b:Year>2010</b:Year>
    <b:Pages>81–116</b:Pages>
    <b:Volume>19</b:Volume>
    <b:Issue>1</b:Issue>
    <b:RefOrder>3</b:RefOrder>
  </b:Source>
  <b:Source>
    <b:Tag>Tim15</b:Tag>
    <b:SourceType>JournalArticle</b:SourceType>
    <b:Guid>{A688B1A5-1C21-9147-8724-7FBB8F32C6FE}</b:Guid>
    <b:Author>
      <b:Author>
        <b:NameList>
          <b:Person>
            <b:Last>Timmer</b:Last>
            <b:First>M.</b:First>
            <b:Middle>P.</b:Middle>
          </b:Person>
          <b:Person>
            <b:Last>Dietzenbacher</b:Last>
            <b:First>E.</b:First>
          </b:Person>
          <b:Person>
            <b:Last>Los</b:Last>
            <b:First>B.</b:First>
          </b:Person>
          <b:Person>
            <b:Last>Stehrer</b:Last>
            <b:First>R.</b:First>
          </b:Person>
          <b:Person>
            <b:Last>de Vries</b:Last>
            <b:First>G.</b:First>
            <b:Middle>J.</b:Middle>
          </b:Person>
        </b:NameList>
      </b:Author>
    </b:Author>
    <b:Title>An illustrated user guide to the World Input-Output Database: The case of global automotive production</b:Title>
    <b:Year>2015</b:Year>
    <b:JournalName>Review of International Economics</b:JournalName>
    <b:Pages>575–605</b:Pages>
    <b:Volume>23</b:Volume>
    <b:Issue>3</b:Issue>
    <b:RefOrder>4</b:RefOrder>
  </b:Source>
  <b:Source>
    <b:Tag>The20</b:Tag>
    <b:SourceType>JournalArticle</b:SourceType>
    <b:Guid>{7BDEB2A4-A42A-E842-BF78-69462B467D25}</b:Guid>
    <b:Title>If you thought the trade war was bad for global commerce...</b:Title>
    <b:Year>2020</b:Year>
    <b:Author>
      <b:Author>
        <b:Corporate>The Economist</b:Corporate>
      </b:Author>
    </b:Author>
    <b:JournalName>The Economist</b:JournalName>
    <b:Month>March</b:Month>
    <b:Day>26</b:Day>
    <b:URL>https://www.economist.com/finance-and-economics/2020/03/26/if-you-thought-the-trade-war-was-bad-for-global-commerce</b:URL>
    <b:RefOrder>5</b:RefOrder>
  </b:Source>
  <b:Source>
    <b:Tag>The19</b:Tag>
    <b:SourceType>JournalArticle</b:SourceType>
    <b:Guid>{66B38D17-F426-AC4C-BF49-B591B7328235}</b:Guid>
    <b:Author>
      <b:Author>
        <b:Corporate>The Economist</b:Corporate>
      </b:Author>
    </b:Author>
    <b:Title>Amazon and Alibaba are pacesetters of the next supply-chain revolution</b:Title>
    <b:JournalName>The Economist</b:JournalName>
    <b:Year>2019</b:Year>
    <b:Month>July</b:Month>
    <b:Day>11</b:Day>
    <b:URL>https://www.economist.com/special-report/2019/07/11/amazon-and-alibaba-are-pacesetters-of-the-next-supply-chain-revolution</b:URL>
    <b:RefOrder>6</b:RefOrder>
  </b:Source>
  <b:Source>
    <b:Tag>Leo36</b:Tag>
    <b:SourceType>JournalArticle</b:SourceType>
    <b:Guid>{9644974D-2455-A84D-83FC-352A66A8CF9B}</b:Guid>
    <b:Author>
      <b:Author>
        <b:NameList>
          <b:Person>
            <b:Last>Leontief</b:Last>
            <b:First>W.</b:First>
          </b:Person>
        </b:NameList>
      </b:Author>
    </b:Author>
    <b:Title>Quantitative input and output relations in the economic system of the United States</b:Title>
    <b:JournalName>Review of Economics and Statistics</b:JournalName>
    <b:Year>1936</b:Year>
    <b:Pages>105–125</b:Pages>
    <b:Volume>18</b:Volume>
    <b:Issue>3</b:Issue>
    <b:RefOrder>7</b:RefOrder>
  </b:Source>
  <b:Source>
    <b:Tag>Joh12</b:Tag>
    <b:SourceType>JournalArticle</b:SourceType>
    <b:Guid>{135E3DF2-3F32-D34B-B5C4-1BEDCECD504A}</b:Guid>
    <b:Author>
      <b:Author>
        <b:NameList>
          <b:Person>
            <b:Last>Johnson</b:Last>
            <b:First>R.</b:First>
            <b:Middle>C.</b:Middle>
          </b:Person>
          <b:Person>
            <b:Last>Noguera</b:Last>
            <b:First>G.</b:First>
          </b:Person>
        </b:NameList>
      </b:Author>
    </b:Author>
    <b:Title>Accounting for intermediates: Production sharing and trade in value added</b:Title>
    <b:JournalName>Journal of International Economics</b:JournalName>
    <b:Year>2012</b:Year>
    <b:Pages>224–236</b:Pages>
    <b:Volume>86</b:Volume>
    <b:Issue>2</b:Issue>
    <b:RefOrder>8</b:RefOrder>
  </b:Source>
  <b:Source>
    <b:Tag>Ant12</b:Tag>
    <b:SourceType>JournalArticle</b:SourceType>
    <b:Guid>{19970FEF-1FED-2445-8F82-E55760D76904}</b:Guid>
    <b:Author>
      <b:Author>
        <b:NameList>
          <b:Person>
            <b:Last>Antràs</b:Last>
            <b:First>P.</b:First>
          </b:Person>
          <b:Person>
            <b:Last>Chor</b:Last>
            <b:First>D.</b:First>
          </b:Person>
          <b:Person>
            <b:Last>Fally</b:Last>
            <b:First>T.</b:First>
          </b:Person>
          <b:Person>
            <b:Last>Hillberry</b:Last>
            <b:First>R.</b:First>
          </b:Person>
        </b:NameList>
      </b:Author>
    </b:Author>
    <b:Title>Measuring the upstreamness of production and trade flows</b:Title>
    <b:JournalName>American Economic Review: Papers and Proceedings</b:JournalName>
    <b:Year>2012</b:Year>
    <b:Pages>412–416</b:Pages>
    <b:Volume>102</b:Volume>
    <b:Issue>3</b:Issue>
    <b:RefOrder>9</b:RefOrder>
  </b:Source>
  <b:Source>
    <b:Tag>Koo14</b:Tag>
    <b:SourceType>JournalArticle</b:SourceType>
    <b:Guid>{F6933755-72A3-3244-ADE6-AF4ECB840368}</b:Guid>
    <b:Author>
      <b:Author>
        <b:NameList>
          <b:Person>
            <b:Last>Koopman</b:Last>
            <b:First>R.</b:First>
          </b:Person>
          <b:Person>
            <b:Last>Wang</b:Last>
            <b:First>Z.</b:First>
          </b:Person>
          <b:Person>
            <b:Last>Wei</b:Last>
            <b:First>S.</b:First>
          </b:Person>
        </b:NameList>
      </b:Author>
    </b:Author>
    <b:Title>Tracing value-added and double counting in gross exports</b:Title>
    <b:JournalName>American Economic Review</b:JournalName>
    <b:Year>2014</b:Year>
    <b:Pages>459–494</b:Pages>
    <b:Volume>104</b:Volume>
    <b:Issue>2</b:Issue>
    <b:RefOrder>10</b:RefOrder>
  </b:Source>
  <b:Source>
    <b:Tag>Wan18</b:Tag>
    <b:SourceType>Report</b:SourceType>
    <b:Guid>{C66585A7-A661-B749-95A3-E4939C18C2CC}</b:Guid>
    <b:Author>
      <b:Author>
        <b:NameList>
          <b:Person>
            <b:Last>Wang</b:Last>
            <b:First>Z.</b:First>
          </b:Person>
          <b:Person>
            <b:Last>Wei</b:Last>
            <b:First>S.</b:First>
          </b:Person>
          <b:Person>
            <b:Last>Zhu</b:Last>
            <b:First>K.</b:First>
          </b:Person>
        </b:NameList>
      </b:Author>
    </b:Author>
    <b:Title>Quantifying international production sharing at the bilateral and sector levels</b:Title>
    <b:Year>2018</b:Year>
    <b:Publisher>National Bureau of Economic Research</b:Publisher>
    <b:City>NBER Working Paper No. 19677. Cambridge, MA</b:City>
    <b:RefOrder>11</b:RefOrder>
  </b:Source>
</b:Sources>
</file>

<file path=customXml/itemProps1.xml><?xml version="1.0" encoding="utf-8"?>
<ds:datastoreItem xmlns:ds="http://schemas.openxmlformats.org/officeDocument/2006/customXml" ds:itemID="{EBDF7A3A-D3A7-E24E-A946-A44B16213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6777</TotalTime>
  <Pages>60</Pages>
  <Words>17082</Words>
  <Characters>97370</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Anthony Luigi S. Reyes</dc:creator>
  <cp:keywords/>
  <dc:description/>
  <cp:lastModifiedBy>Kenneth Reyes</cp:lastModifiedBy>
  <cp:revision>4667</cp:revision>
  <cp:lastPrinted>2021-01-30T01:52:00Z</cp:lastPrinted>
  <dcterms:created xsi:type="dcterms:W3CDTF">2020-09-20T15:09:00Z</dcterms:created>
  <dcterms:modified xsi:type="dcterms:W3CDTF">2023-07-31T02:00:00Z</dcterms:modified>
</cp:coreProperties>
</file>