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84BF3" w14:textId="193659FC" w:rsidR="00E47843" w:rsidRDefault="00E47843" w:rsidP="00E47843"/>
    <w:p w14:paraId="5526CE92" w14:textId="4CCF9AF5" w:rsidR="00E47843" w:rsidRDefault="00E47843" w:rsidP="00E47843"/>
    <w:p w14:paraId="537877FA" w14:textId="77777777" w:rsidR="00E47843" w:rsidRDefault="00E47843" w:rsidP="00E47843"/>
    <w:p w14:paraId="218D8AF1" w14:textId="03FF0CA9" w:rsidR="00C2222F" w:rsidRDefault="00C30027" w:rsidP="00C2222F">
      <w:pPr>
        <w:pStyle w:val="Title"/>
        <w:jc w:val="center"/>
      </w:pPr>
      <w:r>
        <w:t>Kazakhstan</w:t>
      </w:r>
      <w:r w:rsidR="00737D87">
        <w:t>'s Resource Economy</w:t>
      </w:r>
      <w:r>
        <w:t xml:space="preserve"> </w:t>
      </w:r>
      <w:r w:rsidR="00737D87">
        <w:br/>
      </w:r>
      <w:r w:rsidR="008D006E">
        <w:t>in the Age of Global Value Chains</w:t>
      </w:r>
    </w:p>
    <w:p w14:paraId="3952C652" w14:textId="77777777" w:rsidR="00E47843" w:rsidRDefault="00E47843" w:rsidP="00C2222F">
      <w:pPr>
        <w:jc w:val="center"/>
      </w:pPr>
    </w:p>
    <w:p w14:paraId="214E424B" w14:textId="7CA98761" w:rsidR="00C2222F" w:rsidRDefault="00C2222F" w:rsidP="00C2222F">
      <w:pPr>
        <w:jc w:val="center"/>
      </w:pPr>
      <w:r>
        <w:t xml:space="preserve">This draft: </w:t>
      </w:r>
      <w:r w:rsidR="00C30027">
        <w:t>31</w:t>
      </w:r>
      <w:r w:rsidR="0097733D">
        <w:t xml:space="preserve"> </w:t>
      </w:r>
      <w:r w:rsidR="00C30027">
        <w:t xml:space="preserve">July </w:t>
      </w:r>
      <w:r>
        <w:t>2021</w:t>
      </w:r>
    </w:p>
    <w:p w14:paraId="7838B2D5" w14:textId="77777777" w:rsidR="00D47F80" w:rsidRDefault="00D47F80" w:rsidP="00AA04EC"/>
    <w:p w14:paraId="64D7ED48" w14:textId="77777777" w:rsidR="006405C0" w:rsidRDefault="006405C0">
      <w:pPr>
        <w:spacing w:after="0" w:line="240" w:lineRule="auto"/>
      </w:pPr>
      <w:r>
        <w:br w:type="page"/>
      </w:r>
    </w:p>
    <w:sdt>
      <w:sdtPr>
        <w:rPr>
          <w:rFonts w:asciiTheme="minorHAnsi" w:eastAsiaTheme="minorEastAsia" w:hAnsiTheme="minorHAnsi" w:cstheme="minorBidi"/>
          <w:color w:val="auto"/>
          <w:sz w:val="24"/>
          <w:szCs w:val="24"/>
          <w:lang w:eastAsia="zh-CN"/>
        </w:rPr>
        <w:id w:val="-1702541068"/>
        <w:docPartObj>
          <w:docPartGallery w:val="Table of Contents"/>
          <w:docPartUnique/>
        </w:docPartObj>
      </w:sdtPr>
      <w:sdtEndPr>
        <w:rPr>
          <w:b/>
          <w:bCs/>
          <w:noProof/>
        </w:rPr>
      </w:sdtEndPr>
      <w:sdtContent>
        <w:p w14:paraId="5B3B1B19" w14:textId="4AB6CE3A" w:rsidR="00DD6FA6" w:rsidRDefault="00DD6FA6" w:rsidP="00DD6FA6">
          <w:pPr>
            <w:pStyle w:val="TOCHeading"/>
            <w:numPr>
              <w:ilvl w:val="0"/>
              <w:numId w:val="0"/>
            </w:numPr>
          </w:pPr>
          <w:r>
            <w:t>Contents</w:t>
          </w:r>
        </w:p>
        <w:p w14:paraId="6DFBA543" w14:textId="40A942C2" w:rsidR="00D57A44" w:rsidRDefault="00DD6FA6">
          <w:pPr>
            <w:pStyle w:val="TOC1"/>
            <w:tabs>
              <w:tab w:val="right" w:leader="dot" w:pos="9016"/>
            </w:tabs>
            <w:rPr>
              <w:rFonts w:cstheme="minorBidi"/>
              <w:b w:val="0"/>
              <w:bCs w:val="0"/>
              <w:caps w:val="0"/>
              <w:noProof/>
              <w:sz w:val="24"/>
              <w:lang w:bidi="he-IL"/>
            </w:rPr>
          </w:pPr>
          <w:r>
            <w:rPr>
              <w:b w:val="0"/>
              <w:bCs w:val="0"/>
            </w:rPr>
            <w:fldChar w:fldCharType="begin"/>
          </w:r>
          <w:r>
            <w:instrText xml:space="preserve"> TOC \o "1-3" \h \z \u </w:instrText>
          </w:r>
          <w:r>
            <w:rPr>
              <w:b w:val="0"/>
              <w:bCs w:val="0"/>
            </w:rPr>
            <w:fldChar w:fldCharType="separate"/>
          </w:r>
          <w:hyperlink w:anchor="_Toc83849781" w:history="1">
            <w:r w:rsidR="00D57A44" w:rsidRPr="00131EE7">
              <w:rPr>
                <w:rStyle w:val="Hyperlink"/>
                <w:noProof/>
              </w:rPr>
              <w:t>Tables, Figures, and Boxes</w:t>
            </w:r>
            <w:r w:rsidR="00D57A44">
              <w:rPr>
                <w:noProof/>
                <w:webHidden/>
              </w:rPr>
              <w:tab/>
            </w:r>
            <w:r w:rsidR="00D57A44">
              <w:rPr>
                <w:noProof/>
                <w:webHidden/>
              </w:rPr>
              <w:fldChar w:fldCharType="begin"/>
            </w:r>
            <w:r w:rsidR="00D57A44">
              <w:rPr>
                <w:noProof/>
                <w:webHidden/>
              </w:rPr>
              <w:instrText xml:space="preserve"> PAGEREF _Toc83849781 \h </w:instrText>
            </w:r>
            <w:r w:rsidR="00D57A44">
              <w:rPr>
                <w:noProof/>
                <w:webHidden/>
              </w:rPr>
            </w:r>
            <w:r w:rsidR="00D57A44">
              <w:rPr>
                <w:noProof/>
                <w:webHidden/>
              </w:rPr>
              <w:fldChar w:fldCharType="separate"/>
            </w:r>
            <w:r w:rsidR="00D57A44">
              <w:rPr>
                <w:noProof/>
                <w:webHidden/>
              </w:rPr>
              <w:t>3</w:t>
            </w:r>
            <w:r w:rsidR="00D57A44">
              <w:rPr>
                <w:noProof/>
                <w:webHidden/>
              </w:rPr>
              <w:fldChar w:fldCharType="end"/>
            </w:r>
          </w:hyperlink>
        </w:p>
        <w:p w14:paraId="69FFDCBF" w14:textId="5967222D" w:rsidR="00D57A44" w:rsidRDefault="00000000">
          <w:pPr>
            <w:pStyle w:val="TOC1"/>
            <w:tabs>
              <w:tab w:val="right" w:leader="dot" w:pos="9016"/>
            </w:tabs>
            <w:rPr>
              <w:rFonts w:cstheme="minorBidi"/>
              <w:b w:val="0"/>
              <w:bCs w:val="0"/>
              <w:caps w:val="0"/>
              <w:noProof/>
              <w:sz w:val="24"/>
              <w:lang w:bidi="he-IL"/>
            </w:rPr>
          </w:pPr>
          <w:hyperlink w:anchor="_Toc83849782" w:history="1">
            <w:r w:rsidR="00D57A44" w:rsidRPr="00131EE7">
              <w:rPr>
                <w:rStyle w:val="Hyperlink"/>
                <w:noProof/>
              </w:rPr>
              <w:t>Foreword</w:t>
            </w:r>
            <w:r w:rsidR="00D57A44">
              <w:rPr>
                <w:noProof/>
                <w:webHidden/>
              </w:rPr>
              <w:tab/>
            </w:r>
            <w:r w:rsidR="00D57A44">
              <w:rPr>
                <w:noProof/>
                <w:webHidden/>
              </w:rPr>
              <w:fldChar w:fldCharType="begin"/>
            </w:r>
            <w:r w:rsidR="00D57A44">
              <w:rPr>
                <w:noProof/>
                <w:webHidden/>
              </w:rPr>
              <w:instrText xml:space="preserve"> PAGEREF _Toc83849782 \h </w:instrText>
            </w:r>
            <w:r w:rsidR="00D57A44">
              <w:rPr>
                <w:noProof/>
                <w:webHidden/>
              </w:rPr>
            </w:r>
            <w:r w:rsidR="00D57A44">
              <w:rPr>
                <w:noProof/>
                <w:webHidden/>
              </w:rPr>
              <w:fldChar w:fldCharType="separate"/>
            </w:r>
            <w:r w:rsidR="00D57A44">
              <w:rPr>
                <w:noProof/>
                <w:webHidden/>
              </w:rPr>
              <w:t>5</w:t>
            </w:r>
            <w:r w:rsidR="00D57A44">
              <w:rPr>
                <w:noProof/>
                <w:webHidden/>
              </w:rPr>
              <w:fldChar w:fldCharType="end"/>
            </w:r>
          </w:hyperlink>
        </w:p>
        <w:p w14:paraId="17C46A53" w14:textId="2F503CB4" w:rsidR="00D57A44" w:rsidRDefault="00000000">
          <w:pPr>
            <w:pStyle w:val="TOC1"/>
            <w:tabs>
              <w:tab w:val="right" w:leader="dot" w:pos="9016"/>
            </w:tabs>
            <w:rPr>
              <w:rFonts w:cstheme="minorBidi"/>
              <w:b w:val="0"/>
              <w:bCs w:val="0"/>
              <w:caps w:val="0"/>
              <w:noProof/>
              <w:sz w:val="24"/>
              <w:lang w:bidi="he-IL"/>
            </w:rPr>
          </w:pPr>
          <w:hyperlink w:anchor="_Toc83849783" w:history="1">
            <w:r w:rsidR="00D57A44" w:rsidRPr="00131EE7">
              <w:rPr>
                <w:rStyle w:val="Hyperlink"/>
                <w:noProof/>
              </w:rPr>
              <w:t>Acknowledgments</w:t>
            </w:r>
            <w:r w:rsidR="00D57A44">
              <w:rPr>
                <w:noProof/>
                <w:webHidden/>
              </w:rPr>
              <w:tab/>
            </w:r>
            <w:r w:rsidR="00D57A44">
              <w:rPr>
                <w:noProof/>
                <w:webHidden/>
              </w:rPr>
              <w:fldChar w:fldCharType="begin"/>
            </w:r>
            <w:r w:rsidR="00D57A44">
              <w:rPr>
                <w:noProof/>
                <w:webHidden/>
              </w:rPr>
              <w:instrText xml:space="preserve"> PAGEREF _Toc83849783 \h </w:instrText>
            </w:r>
            <w:r w:rsidR="00D57A44">
              <w:rPr>
                <w:noProof/>
                <w:webHidden/>
              </w:rPr>
            </w:r>
            <w:r w:rsidR="00D57A44">
              <w:rPr>
                <w:noProof/>
                <w:webHidden/>
              </w:rPr>
              <w:fldChar w:fldCharType="separate"/>
            </w:r>
            <w:r w:rsidR="00D57A44">
              <w:rPr>
                <w:noProof/>
                <w:webHidden/>
              </w:rPr>
              <w:t>6</w:t>
            </w:r>
            <w:r w:rsidR="00D57A44">
              <w:rPr>
                <w:noProof/>
                <w:webHidden/>
              </w:rPr>
              <w:fldChar w:fldCharType="end"/>
            </w:r>
          </w:hyperlink>
        </w:p>
        <w:p w14:paraId="652FAAF2" w14:textId="42264732" w:rsidR="00D57A44" w:rsidRDefault="00000000">
          <w:pPr>
            <w:pStyle w:val="TOC1"/>
            <w:tabs>
              <w:tab w:val="right" w:leader="dot" w:pos="9016"/>
            </w:tabs>
            <w:rPr>
              <w:rFonts w:cstheme="minorBidi"/>
              <w:b w:val="0"/>
              <w:bCs w:val="0"/>
              <w:caps w:val="0"/>
              <w:noProof/>
              <w:sz w:val="24"/>
              <w:lang w:bidi="he-IL"/>
            </w:rPr>
          </w:pPr>
          <w:hyperlink w:anchor="_Toc83849784" w:history="1">
            <w:r w:rsidR="00D57A44" w:rsidRPr="00131EE7">
              <w:rPr>
                <w:rStyle w:val="Hyperlink"/>
                <w:noProof/>
              </w:rPr>
              <w:t>Abbreviations</w:t>
            </w:r>
            <w:r w:rsidR="00D57A44">
              <w:rPr>
                <w:noProof/>
                <w:webHidden/>
              </w:rPr>
              <w:tab/>
            </w:r>
            <w:r w:rsidR="00D57A44">
              <w:rPr>
                <w:noProof/>
                <w:webHidden/>
              </w:rPr>
              <w:fldChar w:fldCharType="begin"/>
            </w:r>
            <w:r w:rsidR="00D57A44">
              <w:rPr>
                <w:noProof/>
                <w:webHidden/>
              </w:rPr>
              <w:instrText xml:space="preserve"> PAGEREF _Toc83849784 \h </w:instrText>
            </w:r>
            <w:r w:rsidR="00D57A44">
              <w:rPr>
                <w:noProof/>
                <w:webHidden/>
              </w:rPr>
            </w:r>
            <w:r w:rsidR="00D57A44">
              <w:rPr>
                <w:noProof/>
                <w:webHidden/>
              </w:rPr>
              <w:fldChar w:fldCharType="separate"/>
            </w:r>
            <w:r w:rsidR="00D57A44">
              <w:rPr>
                <w:noProof/>
                <w:webHidden/>
              </w:rPr>
              <w:t>7</w:t>
            </w:r>
            <w:r w:rsidR="00D57A44">
              <w:rPr>
                <w:noProof/>
                <w:webHidden/>
              </w:rPr>
              <w:fldChar w:fldCharType="end"/>
            </w:r>
          </w:hyperlink>
        </w:p>
        <w:p w14:paraId="70BDF9FA" w14:textId="241D1CE5" w:rsidR="00D57A44" w:rsidRDefault="00000000">
          <w:pPr>
            <w:pStyle w:val="TOC1"/>
            <w:tabs>
              <w:tab w:val="right" w:leader="dot" w:pos="9016"/>
            </w:tabs>
            <w:rPr>
              <w:rFonts w:cstheme="minorBidi"/>
              <w:b w:val="0"/>
              <w:bCs w:val="0"/>
              <w:caps w:val="0"/>
              <w:noProof/>
              <w:sz w:val="24"/>
              <w:lang w:bidi="he-IL"/>
            </w:rPr>
          </w:pPr>
          <w:hyperlink w:anchor="_Toc83849785" w:history="1">
            <w:r w:rsidR="00D57A44" w:rsidRPr="00131EE7">
              <w:rPr>
                <w:rStyle w:val="Hyperlink"/>
                <w:noProof/>
              </w:rPr>
              <w:t>Highlights</w:t>
            </w:r>
            <w:r w:rsidR="00D57A44">
              <w:rPr>
                <w:noProof/>
                <w:webHidden/>
              </w:rPr>
              <w:tab/>
            </w:r>
            <w:r w:rsidR="00D57A44">
              <w:rPr>
                <w:noProof/>
                <w:webHidden/>
              </w:rPr>
              <w:fldChar w:fldCharType="begin"/>
            </w:r>
            <w:r w:rsidR="00D57A44">
              <w:rPr>
                <w:noProof/>
                <w:webHidden/>
              </w:rPr>
              <w:instrText xml:space="preserve"> PAGEREF _Toc83849785 \h </w:instrText>
            </w:r>
            <w:r w:rsidR="00D57A44">
              <w:rPr>
                <w:noProof/>
                <w:webHidden/>
              </w:rPr>
            </w:r>
            <w:r w:rsidR="00D57A44">
              <w:rPr>
                <w:noProof/>
                <w:webHidden/>
              </w:rPr>
              <w:fldChar w:fldCharType="separate"/>
            </w:r>
            <w:r w:rsidR="00D57A44">
              <w:rPr>
                <w:noProof/>
                <w:webHidden/>
              </w:rPr>
              <w:t>8</w:t>
            </w:r>
            <w:r w:rsidR="00D57A44">
              <w:rPr>
                <w:noProof/>
                <w:webHidden/>
              </w:rPr>
              <w:fldChar w:fldCharType="end"/>
            </w:r>
          </w:hyperlink>
        </w:p>
        <w:p w14:paraId="432BD385" w14:textId="695CFDBF" w:rsidR="00D57A44" w:rsidRDefault="00000000">
          <w:pPr>
            <w:pStyle w:val="TOC1"/>
            <w:tabs>
              <w:tab w:val="left" w:pos="480"/>
              <w:tab w:val="right" w:leader="dot" w:pos="9016"/>
            </w:tabs>
            <w:rPr>
              <w:rFonts w:cstheme="minorBidi"/>
              <w:b w:val="0"/>
              <w:bCs w:val="0"/>
              <w:caps w:val="0"/>
              <w:noProof/>
              <w:sz w:val="24"/>
              <w:lang w:bidi="he-IL"/>
            </w:rPr>
          </w:pPr>
          <w:hyperlink w:anchor="_Toc83849786" w:history="1">
            <w:r w:rsidR="00D57A44" w:rsidRPr="00131EE7">
              <w:rPr>
                <w:rStyle w:val="Hyperlink"/>
                <w:noProof/>
              </w:rPr>
              <w:t>1</w:t>
            </w:r>
            <w:r w:rsidR="00D57A44">
              <w:rPr>
                <w:rFonts w:cstheme="minorBidi"/>
                <w:b w:val="0"/>
                <w:bCs w:val="0"/>
                <w:caps w:val="0"/>
                <w:noProof/>
                <w:sz w:val="24"/>
                <w:lang w:bidi="he-IL"/>
              </w:rPr>
              <w:tab/>
            </w:r>
            <w:r w:rsidR="00D57A44" w:rsidRPr="00131EE7">
              <w:rPr>
                <w:rStyle w:val="Hyperlink"/>
                <w:noProof/>
              </w:rPr>
              <w:t>Introduction</w:t>
            </w:r>
            <w:r w:rsidR="00D57A44">
              <w:rPr>
                <w:noProof/>
                <w:webHidden/>
              </w:rPr>
              <w:tab/>
            </w:r>
            <w:r w:rsidR="00D57A44">
              <w:rPr>
                <w:noProof/>
                <w:webHidden/>
              </w:rPr>
              <w:fldChar w:fldCharType="begin"/>
            </w:r>
            <w:r w:rsidR="00D57A44">
              <w:rPr>
                <w:noProof/>
                <w:webHidden/>
              </w:rPr>
              <w:instrText xml:space="preserve"> PAGEREF _Toc83849786 \h </w:instrText>
            </w:r>
            <w:r w:rsidR="00D57A44">
              <w:rPr>
                <w:noProof/>
                <w:webHidden/>
              </w:rPr>
            </w:r>
            <w:r w:rsidR="00D57A44">
              <w:rPr>
                <w:noProof/>
                <w:webHidden/>
              </w:rPr>
              <w:fldChar w:fldCharType="separate"/>
            </w:r>
            <w:r w:rsidR="00D57A44">
              <w:rPr>
                <w:noProof/>
                <w:webHidden/>
              </w:rPr>
              <w:t>13</w:t>
            </w:r>
            <w:r w:rsidR="00D57A44">
              <w:rPr>
                <w:noProof/>
                <w:webHidden/>
              </w:rPr>
              <w:fldChar w:fldCharType="end"/>
            </w:r>
          </w:hyperlink>
        </w:p>
        <w:p w14:paraId="035E7E25" w14:textId="4A74814B" w:rsidR="00D57A44" w:rsidRDefault="00000000">
          <w:pPr>
            <w:pStyle w:val="TOC1"/>
            <w:tabs>
              <w:tab w:val="left" w:pos="480"/>
              <w:tab w:val="right" w:leader="dot" w:pos="9016"/>
            </w:tabs>
            <w:rPr>
              <w:rFonts w:cstheme="minorBidi"/>
              <w:b w:val="0"/>
              <w:bCs w:val="0"/>
              <w:caps w:val="0"/>
              <w:noProof/>
              <w:sz w:val="24"/>
              <w:lang w:bidi="he-IL"/>
            </w:rPr>
          </w:pPr>
          <w:hyperlink w:anchor="_Toc83849787" w:history="1">
            <w:r w:rsidR="00D57A44" w:rsidRPr="00131EE7">
              <w:rPr>
                <w:rStyle w:val="Hyperlink"/>
                <w:noProof/>
              </w:rPr>
              <w:t>2</w:t>
            </w:r>
            <w:r w:rsidR="00D57A44">
              <w:rPr>
                <w:rFonts w:cstheme="minorBidi"/>
                <w:b w:val="0"/>
                <w:bCs w:val="0"/>
                <w:caps w:val="0"/>
                <w:noProof/>
                <w:sz w:val="24"/>
                <w:lang w:bidi="he-IL"/>
              </w:rPr>
              <w:tab/>
            </w:r>
            <w:r w:rsidR="00D57A44" w:rsidRPr="00131EE7">
              <w:rPr>
                <w:rStyle w:val="Hyperlink"/>
                <w:noProof/>
              </w:rPr>
              <w:t>Overview of Economy and Trade</w:t>
            </w:r>
            <w:r w:rsidR="00D57A44">
              <w:rPr>
                <w:noProof/>
                <w:webHidden/>
              </w:rPr>
              <w:tab/>
            </w:r>
            <w:r w:rsidR="00D57A44">
              <w:rPr>
                <w:noProof/>
                <w:webHidden/>
              </w:rPr>
              <w:fldChar w:fldCharType="begin"/>
            </w:r>
            <w:r w:rsidR="00D57A44">
              <w:rPr>
                <w:noProof/>
                <w:webHidden/>
              </w:rPr>
              <w:instrText xml:space="preserve"> PAGEREF _Toc83849787 \h </w:instrText>
            </w:r>
            <w:r w:rsidR="00D57A44">
              <w:rPr>
                <w:noProof/>
                <w:webHidden/>
              </w:rPr>
            </w:r>
            <w:r w:rsidR="00D57A44">
              <w:rPr>
                <w:noProof/>
                <w:webHidden/>
              </w:rPr>
              <w:fldChar w:fldCharType="separate"/>
            </w:r>
            <w:r w:rsidR="00D57A44">
              <w:rPr>
                <w:noProof/>
                <w:webHidden/>
              </w:rPr>
              <w:t>16</w:t>
            </w:r>
            <w:r w:rsidR="00D57A44">
              <w:rPr>
                <w:noProof/>
                <w:webHidden/>
              </w:rPr>
              <w:fldChar w:fldCharType="end"/>
            </w:r>
          </w:hyperlink>
        </w:p>
        <w:p w14:paraId="5B1A0956" w14:textId="66D824E1" w:rsidR="00D57A44" w:rsidRDefault="00000000">
          <w:pPr>
            <w:pStyle w:val="TOC1"/>
            <w:tabs>
              <w:tab w:val="left" w:pos="480"/>
              <w:tab w:val="right" w:leader="dot" w:pos="9016"/>
            </w:tabs>
            <w:rPr>
              <w:rFonts w:cstheme="minorBidi"/>
              <w:b w:val="0"/>
              <w:bCs w:val="0"/>
              <w:caps w:val="0"/>
              <w:noProof/>
              <w:sz w:val="24"/>
              <w:lang w:bidi="he-IL"/>
            </w:rPr>
          </w:pPr>
          <w:hyperlink w:anchor="_Toc83849788" w:history="1">
            <w:r w:rsidR="00D57A44" w:rsidRPr="00131EE7">
              <w:rPr>
                <w:rStyle w:val="Hyperlink"/>
                <w:noProof/>
              </w:rPr>
              <w:t>3</w:t>
            </w:r>
            <w:r w:rsidR="00D57A44">
              <w:rPr>
                <w:rFonts w:cstheme="minorBidi"/>
                <w:b w:val="0"/>
                <w:bCs w:val="0"/>
                <w:caps w:val="0"/>
                <w:noProof/>
                <w:sz w:val="24"/>
                <w:lang w:bidi="he-IL"/>
              </w:rPr>
              <w:tab/>
            </w:r>
            <w:r w:rsidR="00D57A44" w:rsidRPr="00131EE7">
              <w:rPr>
                <w:rStyle w:val="Hyperlink"/>
                <w:noProof/>
              </w:rPr>
              <w:t>Participation in Global Value Chains</w:t>
            </w:r>
            <w:r w:rsidR="00D57A44">
              <w:rPr>
                <w:noProof/>
                <w:webHidden/>
              </w:rPr>
              <w:tab/>
            </w:r>
            <w:r w:rsidR="00D57A44">
              <w:rPr>
                <w:noProof/>
                <w:webHidden/>
              </w:rPr>
              <w:fldChar w:fldCharType="begin"/>
            </w:r>
            <w:r w:rsidR="00D57A44">
              <w:rPr>
                <w:noProof/>
                <w:webHidden/>
              </w:rPr>
              <w:instrText xml:space="preserve"> PAGEREF _Toc83849788 \h </w:instrText>
            </w:r>
            <w:r w:rsidR="00D57A44">
              <w:rPr>
                <w:noProof/>
                <w:webHidden/>
              </w:rPr>
            </w:r>
            <w:r w:rsidR="00D57A44">
              <w:rPr>
                <w:noProof/>
                <w:webHidden/>
              </w:rPr>
              <w:fldChar w:fldCharType="separate"/>
            </w:r>
            <w:r w:rsidR="00D57A44">
              <w:rPr>
                <w:noProof/>
                <w:webHidden/>
              </w:rPr>
              <w:t>23</w:t>
            </w:r>
            <w:r w:rsidR="00D57A44">
              <w:rPr>
                <w:noProof/>
                <w:webHidden/>
              </w:rPr>
              <w:fldChar w:fldCharType="end"/>
            </w:r>
          </w:hyperlink>
        </w:p>
        <w:p w14:paraId="10E5156A" w14:textId="78CE05EB" w:rsidR="00D57A44" w:rsidRDefault="00000000">
          <w:pPr>
            <w:pStyle w:val="TOC1"/>
            <w:tabs>
              <w:tab w:val="left" w:pos="480"/>
              <w:tab w:val="right" w:leader="dot" w:pos="9016"/>
            </w:tabs>
            <w:rPr>
              <w:rFonts w:cstheme="minorBidi"/>
              <w:b w:val="0"/>
              <w:bCs w:val="0"/>
              <w:caps w:val="0"/>
              <w:noProof/>
              <w:sz w:val="24"/>
              <w:lang w:bidi="he-IL"/>
            </w:rPr>
          </w:pPr>
          <w:hyperlink w:anchor="_Toc83849789" w:history="1">
            <w:r w:rsidR="00D57A44" w:rsidRPr="00131EE7">
              <w:rPr>
                <w:rStyle w:val="Hyperlink"/>
                <w:noProof/>
              </w:rPr>
              <w:t>4</w:t>
            </w:r>
            <w:r w:rsidR="00D57A44">
              <w:rPr>
                <w:rFonts w:cstheme="minorBidi"/>
                <w:b w:val="0"/>
                <w:bCs w:val="0"/>
                <w:caps w:val="0"/>
                <w:noProof/>
                <w:sz w:val="24"/>
                <w:lang w:bidi="he-IL"/>
              </w:rPr>
              <w:tab/>
            </w:r>
            <w:r w:rsidR="00D57A44" w:rsidRPr="00131EE7">
              <w:rPr>
                <w:rStyle w:val="Hyperlink"/>
                <w:noProof/>
              </w:rPr>
              <w:t>Specialization and Competitiveness</w:t>
            </w:r>
            <w:r w:rsidR="00D57A44">
              <w:rPr>
                <w:noProof/>
                <w:webHidden/>
              </w:rPr>
              <w:tab/>
            </w:r>
            <w:r w:rsidR="00D57A44">
              <w:rPr>
                <w:noProof/>
                <w:webHidden/>
              </w:rPr>
              <w:fldChar w:fldCharType="begin"/>
            </w:r>
            <w:r w:rsidR="00D57A44">
              <w:rPr>
                <w:noProof/>
                <w:webHidden/>
              </w:rPr>
              <w:instrText xml:space="preserve"> PAGEREF _Toc83849789 \h </w:instrText>
            </w:r>
            <w:r w:rsidR="00D57A44">
              <w:rPr>
                <w:noProof/>
                <w:webHidden/>
              </w:rPr>
            </w:r>
            <w:r w:rsidR="00D57A44">
              <w:rPr>
                <w:noProof/>
                <w:webHidden/>
              </w:rPr>
              <w:fldChar w:fldCharType="separate"/>
            </w:r>
            <w:r w:rsidR="00D57A44">
              <w:rPr>
                <w:noProof/>
                <w:webHidden/>
              </w:rPr>
              <w:t>34</w:t>
            </w:r>
            <w:r w:rsidR="00D57A44">
              <w:rPr>
                <w:noProof/>
                <w:webHidden/>
              </w:rPr>
              <w:fldChar w:fldCharType="end"/>
            </w:r>
          </w:hyperlink>
        </w:p>
        <w:p w14:paraId="3F734FEF" w14:textId="17A3FB06" w:rsidR="00D57A44" w:rsidRDefault="00000000">
          <w:pPr>
            <w:pStyle w:val="TOC1"/>
            <w:tabs>
              <w:tab w:val="left" w:pos="480"/>
              <w:tab w:val="right" w:leader="dot" w:pos="9016"/>
            </w:tabs>
            <w:rPr>
              <w:rFonts w:cstheme="minorBidi"/>
              <w:b w:val="0"/>
              <w:bCs w:val="0"/>
              <w:caps w:val="0"/>
              <w:noProof/>
              <w:sz w:val="24"/>
              <w:lang w:bidi="he-IL"/>
            </w:rPr>
          </w:pPr>
          <w:hyperlink w:anchor="_Toc83849790" w:history="1">
            <w:r w:rsidR="00D57A44" w:rsidRPr="00131EE7">
              <w:rPr>
                <w:rStyle w:val="Hyperlink"/>
                <w:noProof/>
              </w:rPr>
              <w:t>5</w:t>
            </w:r>
            <w:r w:rsidR="00D57A44">
              <w:rPr>
                <w:rFonts w:cstheme="minorBidi"/>
                <w:b w:val="0"/>
                <w:bCs w:val="0"/>
                <w:caps w:val="0"/>
                <w:noProof/>
                <w:sz w:val="24"/>
                <w:lang w:bidi="he-IL"/>
              </w:rPr>
              <w:tab/>
            </w:r>
            <w:r w:rsidR="00D57A44" w:rsidRPr="00131EE7">
              <w:rPr>
                <w:rStyle w:val="Hyperlink"/>
                <w:noProof/>
              </w:rPr>
              <w:t>Special Topics</w:t>
            </w:r>
            <w:r w:rsidR="00D57A44">
              <w:rPr>
                <w:noProof/>
                <w:webHidden/>
              </w:rPr>
              <w:tab/>
            </w:r>
            <w:r w:rsidR="00D57A44">
              <w:rPr>
                <w:noProof/>
                <w:webHidden/>
              </w:rPr>
              <w:fldChar w:fldCharType="begin"/>
            </w:r>
            <w:r w:rsidR="00D57A44">
              <w:rPr>
                <w:noProof/>
                <w:webHidden/>
              </w:rPr>
              <w:instrText xml:space="preserve"> PAGEREF _Toc83849790 \h </w:instrText>
            </w:r>
            <w:r w:rsidR="00D57A44">
              <w:rPr>
                <w:noProof/>
                <w:webHidden/>
              </w:rPr>
            </w:r>
            <w:r w:rsidR="00D57A44">
              <w:rPr>
                <w:noProof/>
                <w:webHidden/>
              </w:rPr>
              <w:fldChar w:fldCharType="separate"/>
            </w:r>
            <w:r w:rsidR="00D57A44">
              <w:rPr>
                <w:noProof/>
                <w:webHidden/>
              </w:rPr>
              <w:t>44</w:t>
            </w:r>
            <w:r w:rsidR="00D57A44">
              <w:rPr>
                <w:noProof/>
                <w:webHidden/>
              </w:rPr>
              <w:fldChar w:fldCharType="end"/>
            </w:r>
          </w:hyperlink>
        </w:p>
        <w:p w14:paraId="45CE6827" w14:textId="47054F66" w:rsidR="00D57A44" w:rsidRDefault="00000000">
          <w:pPr>
            <w:pStyle w:val="TOC2"/>
            <w:tabs>
              <w:tab w:val="right" w:leader="dot" w:pos="9016"/>
            </w:tabs>
            <w:rPr>
              <w:rFonts w:cstheme="minorBidi"/>
              <w:smallCaps w:val="0"/>
              <w:noProof/>
              <w:sz w:val="24"/>
              <w:lang w:bidi="he-IL"/>
            </w:rPr>
          </w:pPr>
          <w:hyperlink w:anchor="_Toc83849791" w:history="1">
            <w:r w:rsidR="00D57A44" w:rsidRPr="00131EE7">
              <w:rPr>
                <w:rStyle w:val="Hyperlink"/>
                <w:noProof/>
              </w:rPr>
              <w:t>The South Asian Association for Regional Cooperation</w:t>
            </w:r>
            <w:r w:rsidR="00D57A44">
              <w:rPr>
                <w:noProof/>
                <w:webHidden/>
              </w:rPr>
              <w:tab/>
            </w:r>
            <w:r w:rsidR="00D57A44">
              <w:rPr>
                <w:noProof/>
                <w:webHidden/>
              </w:rPr>
              <w:fldChar w:fldCharType="begin"/>
            </w:r>
            <w:r w:rsidR="00D57A44">
              <w:rPr>
                <w:noProof/>
                <w:webHidden/>
              </w:rPr>
              <w:instrText xml:space="preserve"> PAGEREF _Toc83849791 \h </w:instrText>
            </w:r>
            <w:r w:rsidR="00D57A44">
              <w:rPr>
                <w:noProof/>
                <w:webHidden/>
              </w:rPr>
            </w:r>
            <w:r w:rsidR="00D57A44">
              <w:rPr>
                <w:noProof/>
                <w:webHidden/>
              </w:rPr>
              <w:fldChar w:fldCharType="separate"/>
            </w:r>
            <w:r w:rsidR="00D57A44">
              <w:rPr>
                <w:noProof/>
                <w:webHidden/>
              </w:rPr>
              <w:t>44</w:t>
            </w:r>
            <w:r w:rsidR="00D57A44">
              <w:rPr>
                <w:noProof/>
                <w:webHidden/>
              </w:rPr>
              <w:fldChar w:fldCharType="end"/>
            </w:r>
          </w:hyperlink>
        </w:p>
        <w:p w14:paraId="1A7E8254" w14:textId="5197ABB5" w:rsidR="00D57A44" w:rsidRDefault="00000000">
          <w:pPr>
            <w:pStyle w:val="TOC2"/>
            <w:tabs>
              <w:tab w:val="right" w:leader="dot" w:pos="9016"/>
            </w:tabs>
            <w:rPr>
              <w:rFonts w:cstheme="minorBidi"/>
              <w:smallCaps w:val="0"/>
              <w:noProof/>
              <w:sz w:val="24"/>
              <w:lang w:bidi="he-IL"/>
            </w:rPr>
          </w:pPr>
          <w:hyperlink w:anchor="_Toc83849792" w:history="1">
            <w:r w:rsidR="00D57A44" w:rsidRPr="00131EE7">
              <w:rPr>
                <w:rStyle w:val="Hyperlink"/>
                <w:noProof/>
              </w:rPr>
              <w:t>Agglomeration</w:t>
            </w:r>
            <w:r w:rsidR="00D57A44">
              <w:rPr>
                <w:noProof/>
                <w:webHidden/>
              </w:rPr>
              <w:tab/>
            </w:r>
            <w:r w:rsidR="00D57A44">
              <w:rPr>
                <w:noProof/>
                <w:webHidden/>
              </w:rPr>
              <w:fldChar w:fldCharType="begin"/>
            </w:r>
            <w:r w:rsidR="00D57A44">
              <w:rPr>
                <w:noProof/>
                <w:webHidden/>
              </w:rPr>
              <w:instrText xml:space="preserve"> PAGEREF _Toc83849792 \h </w:instrText>
            </w:r>
            <w:r w:rsidR="00D57A44">
              <w:rPr>
                <w:noProof/>
                <w:webHidden/>
              </w:rPr>
            </w:r>
            <w:r w:rsidR="00D57A44">
              <w:rPr>
                <w:noProof/>
                <w:webHidden/>
              </w:rPr>
              <w:fldChar w:fldCharType="separate"/>
            </w:r>
            <w:r w:rsidR="00D57A44">
              <w:rPr>
                <w:noProof/>
                <w:webHidden/>
              </w:rPr>
              <w:t>49</w:t>
            </w:r>
            <w:r w:rsidR="00D57A44">
              <w:rPr>
                <w:noProof/>
                <w:webHidden/>
              </w:rPr>
              <w:fldChar w:fldCharType="end"/>
            </w:r>
          </w:hyperlink>
        </w:p>
        <w:p w14:paraId="025A820C" w14:textId="785741C0" w:rsidR="00D57A44" w:rsidRDefault="00000000">
          <w:pPr>
            <w:pStyle w:val="TOC2"/>
            <w:tabs>
              <w:tab w:val="right" w:leader="dot" w:pos="9016"/>
            </w:tabs>
            <w:rPr>
              <w:rFonts w:cstheme="minorBidi"/>
              <w:smallCaps w:val="0"/>
              <w:noProof/>
              <w:sz w:val="24"/>
              <w:lang w:bidi="he-IL"/>
            </w:rPr>
          </w:pPr>
          <w:hyperlink w:anchor="_Toc83849793" w:history="1">
            <w:r w:rsidR="00D57A44" w:rsidRPr="00131EE7">
              <w:rPr>
                <w:rStyle w:val="Hyperlink"/>
                <w:noProof/>
              </w:rPr>
              <w:t>The COVID-19 Shock</w:t>
            </w:r>
            <w:r w:rsidR="00D57A44">
              <w:rPr>
                <w:noProof/>
                <w:webHidden/>
              </w:rPr>
              <w:tab/>
            </w:r>
            <w:r w:rsidR="00D57A44">
              <w:rPr>
                <w:noProof/>
                <w:webHidden/>
              </w:rPr>
              <w:fldChar w:fldCharType="begin"/>
            </w:r>
            <w:r w:rsidR="00D57A44">
              <w:rPr>
                <w:noProof/>
                <w:webHidden/>
              </w:rPr>
              <w:instrText xml:space="preserve"> PAGEREF _Toc83849793 \h </w:instrText>
            </w:r>
            <w:r w:rsidR="00D57A44">
              <w:rPr>
                <w:noProof/>
                <w:webHidden/>
              </w:rPr>
            </w:r>
            <w:r w:rsidR="00D57A44">
              <w:rPr>
                <w:noProof/>
                <w:webHidden/>
              </w:rPr>
              <w:fldChar w:fldCharType="separate"/>
            </w:r>
            <w:r w:rsidR="00D57A44">
              <w:rPr>
                <w:noProof/>
                <w:webHidden/>
              </w:rPr>
              <w:t>53</w:t>
            </w:r>
            <w:r w:rsidR="00D57A44">
              <w:rPr>
                <w:noProof/>
                <w:webHidden/>
              </w:rPr>
              <w:fldChar w:fldCharType="end"/>
            </w:r>
          </w:hyperlink>
        </w:p>
        <w:p w14:paraId="653BBC4E" w14:textId="325E77EF" w:rsidR="00D57A44" w:rsidRDefault="00000000">
          <w:pPr>
            <w:pStyle w:val="TOC1"/>
            <w:tabs>
              <w:tab w:val="left" w:pos="480"/>
              <w:tab w:val="right" w:leader="dot" w:pos="9016"/>
            </w:tabs>
            <w:rPr>
              <w:rFonts w:cstheme="minorBidi"/>
              <w:b w:val="0"/>
              <w:bCs w:val="0"/>
              <w:caps w:val="0"/>
              <w:noProof/>
              <w:sz w:val="24"/>
              <w:lang w:bidi="he-IL"/>
            </w:rPr>
          </w:pPr>
          <w:hyperlink w:anchor="_Toc83849794" w:history="1">
            <w:r w:rsidR="00D57A44" w:rsidRPr="00131EE7">
              <w:rPr>
                <w:rStyle w:val="Hyperlink"/>
                <w:noProof/>
              </w:rPr>
              <w:t>6</w:t>
            </w:r>
            <w:r w:rsidR="00D57A44">
              <w:rPr>
                <w:rFonts w:cstheme="minorBidi"/>
                <w:b w:val="0"/>
                <w:bCs w:val="0"/>
                <w:caps w:val="0"/>
                <w:noProof/>
                <w:sz w:val="24"/>
                <w:lang w:bidi="he-IL"/>
              </w:rPr>
              <w:tab/>
            </w:r>
            <w:r w:rsidR="00D57A44" w:rsidRPr="00131EE7">
              <w:rPr>
                <w:rStyle w:val="Hyperlink"/>
                <w:noProof/>
              </w:rPr>
              <w:t>Conclusion</w:t>
            </w:r>
            <w:r w:rsidR="00D57A44">
              <w:rPr>
                <w:noProof/>
                <w:webHidden/>
              </w:rPr>
              <w:tab/>
            </w:r>
            <w:r w:rsidR="00D57A44">
              <w:rPr>
                <w:noProof/>
                <w:webHidden/>
              </w:rPr>
              <w:fldChar w:fldCharType="begin"/>
            </w:r>
            <w:r w:rsidR="00D57A44">
              <w:rPr>
                <w:noProof/>
                <w:webHidden/>
              </w:rPr>
              <w:instrText xml:space="preserve"> PAGEREF _Toc83849794 \h </w:instrText>
            </w:r>
            <w:r w:rsidR="00D57A44">
              <w:rPr>
                <w:noProof/>
                <w:webHidden/>
              </w:rPr>
            </w:r>
            <w:r w:rsidR="00D57A44">
              <w:rPr>
                <w:noProof/>
                <w:webHidden/>
              </w:rPr>
              <w:fldChar w:fldCharType="separate"/>
            </w:r>
            <w:r w:rsidR="00D57A44">
              <w:rPr>
                <w:noProof/>
                <w:webHidden/>
              </w:rPr>
              <w:t>59</w:t>
            </w:r>
            <w:r w:rsidR="00D57A44">
              <w:rPr>
                <w:noProof/>
                <w:webHidden/>
              </w:rPr>
              <w:fldChar w:fldCharType="end"/>
            </w:r>
          </w:hyperlink>
        </w:p>
        <w:p w14:paraId="3FB3F426" w14:textId="387C550B" w:rsidR="00D57A44" w:rsidRDefault="00000000">
          <w:pPr>
            <w:pStyle w:val="TOC1"/>
            <w:tabs>
              <w:tab w:val="right" w:leader="dot" w:pos="9016"/>
            </w:tabs>
            <w:rPr>
              <w:rFonts w:cstheme="minorBidi"/>
              <w:b w:val="0"/>
              <w:bCs w:val="0"/>
              <w:caps w:val="0"/>
              <w:noProof/>
              <w:sz w:val="24"/>
              <w:lang w:bidi="he-IL"/>
            </w:rPr>
          </w:pPr>
          <w:hyperlink w:anchor="_Toc83849795" w:history="1">
            <w:r w:rsidR="00D57A44" w:rsidRPr="00131EE7">
              <w:rPr>
                <w:rStyle w:val="Hyperlink"/>
                <w:noProof/>
              </w:rPr>
              <w:t>References</w:t>
            </w:r>
            <w:r w:rsidR="00D57A44">
              <w:rPr>
                <w:noProof/>
                <w:webHidden/>
              </w:rPr>
              <w:tab/>
            </w:r>
            <w:r w:rsidR="00D57A44">
              <w:rPr>
                <w:noProof/>
                <w:webHidden/>
              </w:rPr>
              <w:fldChar w:fldCharType="begin"/>
            </w:r>
            <w:r w:rsidR="00D57A44">
              <w:rPr>
                <w:noProof/>
                <w:webHidden/>
              </w:rPr>
              <w:instrText xml:space="preserve"> PAGEREF _Toc83849795 \h </w:instrText>
            </w:r>
            <w:r w:rsidR="00D57A44">
              <w:rPr>
                <w:noProof/>
                <w:webHidden/>
              </w:rPr>
            </w:r>
            <w:r w:rsidR="00D57A44">
              <w:rPr>
                <w:noProof/>
                <w:webHidden/>
              </w:rPr>
              <w:fldChar w:fldCharType="separate"/>
            </w:r>
            <w:r w:rsidR="00D57A44">
              <w:rPr>
                <w:noProof/>
                <w:webHidden/>
              </w:rPr>
              <w:t>62</w:t>
            </w:r>
            <w:r w:rsidR="00D57A44">
              <w:rPr>
                <w:noProof/>
                <w:webHidden/>
              </w:rPr>
              <w:fldChar w:fldCharType="end"/>
            </w:r>
          </w:hyperlink>
        </w:p>
        <w:p w14:paraId="75AA314A" w14:textId="71322A22" w:rsidR="00D57A44" w:rsidRDefault="00000000">
          <w:pPr>
            <w:pStyle w:val="TOC1"/>
            <w:tabs>
              <w:tab w:val="right" w:leader="dot" w:pos="9016"/>
            </w:tabs>
            <w:rPr>
              <w:rFonts w:cstheme="minorBidi"/>
              <w:b w:val="0"/>
              <w:bCs w:val="0"/>
              <w:caps w:val="0"/>
              <w:noProof/>
              <w:sz w:val="24"/>
              <w:lang w:bidi="he-IL"/>
            </w:rPr>
          </w:pPr>
          <w:hyperlink w:anchor="_Toc83849796" w:history="1">
            <w:r w:rsidR="00D57A44" w:rsidRPr="00131EE7">
              <w:rPr>
                <w:rStyle w:val="Hyperlink"/>
                <w:noProof/>
              </w:rPr>
              <w:t>Appendices</w:t>
            </w:r>
            <w:r w:rsidR="00D57A44">
              <w:rPr>
                <w:noProof/>
                <w:webHidden/>
              </w:rPr>
              <w:tab/>
            </w:r>
            <w:r w:rsidR="00D57A44">
              <w:rPr>
                <w:noProof/>
                <w:webHidden/>
              </w:rPr>
              <w:fldChar w:fldCharType="begin"/>
            </w:r>
            <w:r w:rsidR="00D57A44">
              <w:rPr>
                <w:noProof/>
                <w:webHidden/>
              </w:rPr>
              <w:instrText xml:space="preserve"> PAGEREF _Toc83849796 \h </w:instrText>
            </w:r>
            <w:r w:rsidR="00D57A44">
              <w:rPr>
                <w:noProof/>
                <w:webHidden/>
              </w:rPr>
            </w:r>
            <w:r w:rsidR="00D57A44">
              <w:rPr>
                <w:noProof/>
                <w:webHidden/>
              </w:rPr>
              <w:fldChar w:fldCharType="separate"/>
            </w:r>
            <w:r w:rsidR="00D57A44">
              <w:rPr>
                <w:noProof/>
                <w:webHidden/>
              </w:rPr>
              <w:t>66</w:t>
            </w:r>
            <w:r w:rsidR="00D57A44">
              <w:rPr>
                <w:noProof/>
                <w:webHidden/>
              </w:rPr>
              <w:fldChar w:fldCharType="end"/>
            </w:r>
          </w:hyperlink>
        </w:p>
        <w:p w14:paraId="058B68D3" w14:textId="1D31DBC5" w:rsidR="00DD6FA6" w:rsidRDefault="00DD6FA6">
          <w:r>
            <w:rPr>
              <w:b/>
              <w:bCs/>
              <w:noProof/>
            </w:rPr>
            <w:fldChar w:fldCharType="end"/>
          </w:r>
        </w:p>
      </w:sdtContent>
    </w:sdt>
    <w:p w14:paraId="17A6D7C3" w14:textId="77777777" w:rsidR="00FC2644" w:rsidRDefault="00FC2644">
      <w:pPr>
        <w:spacing w:after="0" w:line="240" w:lineRule="auto"/>
        <w:rPr>
          <w:rFonts w:asciiTheme="majorHAnsi" w:eastAsiaTheme="majorEastAsia" w:hAnsiTheme="majorHAnsi" w:cstheme="majorBidi"/>
          <w:color w:val="2F5496" w:themeColor="accent1" w:themeShade="BF"/>
          <w:sz w:val="32"/>
          <w:szCs w:val="32"/>
        </w:rPr>
      </w:pPr>
      <w:r>
        <w:br w:type="page"/>
      </w:r>
    </w:p>
    <w:p w14:paraId="03CD633A" w14:textId="7285FCEB" w:rsidR="00A76DD5" w:rsidRPr="00A76DD5" w:rsidRDefault="00FC2644" w:rsidP="003457FB">
      <w:pPr>
        <w:pStyle w:val="Heading1"/>
        <w:numPr>
          <w:ilvl w:val="0"/>
          <w:numId w:val="0"/>
        </w:numPr>
        <w:rPr>
          <w:rStyle w:val="Strong"/>
          <w:b w:val="0"/>
          <w:bCs w:val="0"/>
        </w:rPr>
      </w:pPr>
      <w:bookmarkStart w:id="0" w:name="_Toc83849781"/>
      <w:r>
        <w:lastRenderedPageBreak/>
        <w:t>Tables, Figures, and Boxes</w:t>
      </w:r>
      <w:bookmarkEnd w:id="0"/>
    </w:p>
    <w:p w14:paraId="04B976F9" w14:textId="77777777" w:rsidR="00D57A44" w:rsidRDefault="00FC2644" w:rsidP="00A76DD5">
      <w:pPr>
        <w:rPr>
          <w:noProof/>
        </w:rPr>
      </w:pPr>
      <w:r w:rsidRPr="00A76DD5">
        <w:rPr>
          <w:rStyle w:val="Strong"/>
        </w:rPr>
        <w:t>Tables</w:t>
      </w:r>
      <w:r>
        <w:rPr>
          <w:rStyle w:val="Strong"/>
        </w:rPr>
        <w:fldChar w:fldCharType="begin"/>
      </w:r>
      <w:r w:rsidRPr="00A76DD5">
        <w:rPr>
          <w:rStyle w:val="Strong"/>
        </w:rPr>
        <w:instrText xml:space="preserve"> TOC \h \z \c "Table" </w:instrText>
      </w:r>
      <w:r>
        <w:rPr>
          <w:rStyle w:val="Strong"/>
        </w:rPr>
        <w:fldChar w:fldCharType="separate"/>
      </w:r>
    </w:p>
    <w:p w14:paraId="5A15D651" w14:textId="0F22F0A6" w:rsidR="00D57A44" w:rsidRDefault="00000000">
      <w:pPr>
        <w:pStyle w:val="TableofFigures"/>
        <w:tabs>
          <w:tab w:val="right" w:leader="dot" w:pos="9016"/>
        </w:tabs>
        <w:rPr>
          <w:noProof/>
          <w:lang w:bidi="he-IL"/>
        </w:rPr>
      </w:pPr>
      <w:hyperlink w:anchor="_Toc83849797" w:history="1">
        <w:r w:rsidR="00D57A44" w:rsidRPr="007527B4">
          <w:rPr>
            <w:rStyle w:val="Hyperlink"/>
            <w:noProof/>
          </w:rPr>
          <w:t>Table A1: Economies in the ADB Multiregional Input–Output Database</w:t>
        </w:r>
        <w:r w:rsidR="00D57A44">
          <w:rPr>
            <w:noProof/>
            <w:webHidden/>
          </w:rPr>
          <w:tab/>
        </w:r>
        <w:r w:rsidR="00D57A44">
          <w:rPr>
            <w:noProof/>
            <w:webHidden/>
          </w:rPr>
          <w:fldChar w:fldCharType="begin"/>
        </w:r>
        <w:r w:rsidR="00D57A44">
          <w:rPr>
            <w:noProof/>
            <w:webHidden/>
          </w:rPr>
          <w:instrText xml:space="preserve"> PAGEREF _Toc83849797 \h </w:instrText>
        </w:r>
        <w:r w:rsidR="00D57A44">
          <w:rPr>
            <w:noProof/>
            <w:webHidden/>
          </w:rPr>
        </w:r>
        <w:r w:rsidR="00D57A44">
          <w:rPr>
            <w:noProof/>
            <w:webHidden/>
          </w:rPr>
          <w:fldChar w:fldCharType="separate"/>
        </w:r>
        <w:r w:rsidR="00D57A44">
          <w:rPr>
            <w:noProof/>
            <w:webHidden/>
          </w:rPr>
          <w:t>66</w:t>
        </w:r>
        <w:r w:rsidR="00D57A44">
          <w:rPr>
            <w:noProof/>
            <w:webHidden/>
          </w:rPr>
          <w:fldChar w:fldCharType="end"/>
        </w:r>
      </w:hyperlink>
    </w:p>
    <w:p w14:paraId="12CBD38B" w14:textId="5E514BB7" w:rsidR="00D57A44" w:rsidRDefault="00000000">
      <w:pPr>
        <w:pStyle w:val="TableofFigures"/>
        <w:tabs>
          <w:tab w:val="right" w:leader="dot" w:pos="9016"/>
        </w:tabs>
        <w:rPr>
          <w:noProof/>
          <w:lang w:bidi="he-IL"/>
        </w:rPr>
      </w:pPr>
      <w:hyperlink w:anchor="_Toc83849798" w:history="1">
        <w:r w:rsidR="00D57A44" w:rsidRPr="007527B4">
          <w:rPr>
            <w:rStyle w:val="Hyperlink"/>
            <w:noProof/>
          </w:rPr>
          <w:t>Table A2: Sectors in the ADB Multiregional Input–Output Database</w:t>
        </w:r>
        <w:r w:rsidR="00D57A44">
          <w:rPr>
            <w:noProof/>
            <w:webHidden/>
          </w:rPr>
          <w:tab/>
        </w:r>
        <w:r w:rsidR="00D57A44">
          <w:rPr>
            <w:noProof/>
            <w:webHidden/>
          </w:rPr>
          <w:fldChar w:fldCharType="begin"/>
        </w:r>
        <w:r w:rsidR="00D57A44">
          <w:rPr>
            <w:noProof/>
            <w:webHidden/>
          </w:rPr>
          <w:instrText xml:space="preserve"> PAGEREF _Toc83849798 \h </w:instrText>
        </w:r>
        <w:r w:rsidR="00D57A44">
          <w:rPr>
            <w:noProof/>
            <w:webHidden/>
          </w:rPr>
        </w:r>
        <w:r w:rsidR="00D57A44">
          <w:rPr>
            <w:noProof/>
            <w:webHidden/>
          </w:rPr>
          <w:fldChar w:fldCharType="separate"/>
        </w:r>
        <w:r w:rsidR="00D57A44">
          <w:rPr>
            <w:noProof/>
            <w:webHidden/>
          </w:rPr>
          <w:t>68</w:t>
        </w:r>
        <w:r w:rsidR="00D57A44">
          <w:rPr>
            <w:noProof/>
            <w:webHidden/>
          </w:rPr>
          <w:fldChar w:fldCharType="end"/>
        </w:r>
      </w:hyperlink>
    </w:p>
    <w:p w14:paraId="6BEA66D8" w14:textId="1F0640CE" w:rsidR="004F32BF" w:rsidRDefault="00FC2644" w:rsidP="00FC2644">
      <w:r>
        <w:fldChar w:fldCharType="end"/>
      </w:r>
    </w:p>
    <w:p w14:paraId="00331137" w14:textId="3CAEB452" w:rsidR="004B7F63" w:rsidRPr="00A76DD5" w:rsidRDefault="004B7F63" w:rsidP="00A76DD5">
      <w:pPr>
        <w:rPr>
          <w:b/>
          <w:bCs/>
        </w:rPr>
      </w:pPr>
      <w:r w:rsidRPr="00A76DD5">
        <w:rPr>
          <w:b/>
          <w:bCs/>
        </w:rPr>
        <w:t>Figures</w:t>
      </w:r>
    </w:p>
    <w:p w14:paraId="15C1CF21" w14:textId="48834667" w:rsidR="00D57A44" w:rsidRDefault="004B7F63">
      <w:pPr>
        <w:pStyle w:val="TableofFigures"/>
        <w:tabs>
          <w:tab w:val="right" w:leader="dot" w:pos="9016"/>
        </w:tabs>
        <w:rPr>
          <w:noProof/>
          <w:lang w:bidi="he-IL"/>
        </w:rPr>
      </w:pPr>
      <w:r>
        <w:fldChar w:fldCharType="begin"/>
      </w:r>
      <w:r>
        <w:instrText xml:space="preserve"> TOC \h \z \c "Figure" </w:instrText>
      </w:r>
      <w:r>
        <w:fldChar w:fldCharType="separate"/>
      </w:r>
      <w:hyperlink w:anchor="_Toc83849799"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2.1: Real Gross Domestic Product Growth Rate, Pakistan, 1980–2026</w:t>
        </w:r>
        <w:r w:rsidR="00D57A44">
          <w:rPr>
            <w:noProof/>
            <w:webHidden/>
          </w:rPr>
          <w:tab/>
        </w:r>
        <w:r w:rsidR="00D57A44">
          <w:rPr>
            <w:noProof/>
            <w:webHidden/>
          </w:rPr>
          <w:fldChar w:fldCharType="begin"/>
        </w:r>
        <w:r w:rsidR="00D57A44">
          <w:rPr>
            <w:noProof/>
            <w:webHidden/>
          </w:rPr>
          <w:instrText xml:space="preserve"> PAGEREF _Toc83849799 \h </w:instrText>
        </w:r>
        <w:r w:rsidR="00D57A44">
          <w:rPr>
            <w:noProof/>
            <w:webHidden/>
          </w:rPr>
        </w:r>
        <w:r w:rsidR="00D57A44">
          <w:rPr>
            <w:noProof/>
            <w:webHidden/>
          </w:rPr>
          <w:fldChar w:fldCharType="separate"/>
        </w:r>
        <w:r w:rsidR="00D57A44">
          <w:rPr>
            <w:noProof/>
            <w:webHidden/>
          </w:rPr>
          <w:t>16</w:t>
        </w:r>
        <w:r w:rsidR="00D57A44">
          <w:rPr>
            <w:noProof/>
            <w:webHidden/>
          </w:rPr>
          <w:fldChar w:fldCharType="end"/>
        </w:r>
      </w:hyperlink>
    </w:p>
    <w:p w14:paraId="4733D35E" w14:textId="55E03040" w:rsidR="00D57A44" w:rsidRDefault="00000000">
      <w:pPr>
        <w:pStyle w:val="TableofFigures"/>
        <w:tabs>
          <w:tab w:val="right" w:leader="dot" w:pos="9016"/>
        </w:tabs>
        <w:rPr>
          <w:noProof/>
          <w:lang w:bidi="he-IL"/>
        </w:rPr>
      </w:pPr>
      <w:hyperlink w:anchor="_Toc83849800"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2.2: Trade Openness at Various Levels of Economic Development, 2019</w:t>
        </w:r>
        <w:r w:rsidR="00D57A44">
          <w:rPr>
            <w:noProof/>
            <w:webHidden/>
          </w:rPr>
          <w:tab/>
        </w:r>
        <w:r w:rsidR="00D57A44">
          <w:rPr>
            <w:noProof/>
            <w:webHidden/>
          </w:rPr>
          <w:fldChar w:fldCharType="begin"/>
        </w:r>
        <w:r w:rsidR="00D57A44">
          <w:rPr>
            <w:noProof/>
            <w:webHidden/>
          </w:rPr>
          <w:instrText xml:space="preserve"> PAGEREF _Toc83849800 \h </w:instrText>
        </w:r>
        <w:r w:rsidR="00D57A44">
          <w:rPr>
            <w:noProof/>
            <w:webHidden/>
          </w:rPr>
        </w:r>
        <w:r w:rsidR="00D57A44">
          <w:rPr>
            <w:noProof/>
            <w:webHidden/>
          </w:rPr>
          <w:fldChar w:fldCharType="separate"/>
        </w:r>
        <w:r w:rsidR="00D57A44">
          <w:rPr>
            <w:noProof/>
            <w:webHidden/>
          </w:rPr>
          <w:t>18</w:t>
        </w:r>
        <w:r w:rsidR="00D57A44">
          <w:rPr>
            <w:noProof/>
            <w:webHidden/>
          </w:rPr>
          <w:fldChar w:fldCharType="end"/>
        </w:r>
      </w:hyperlink>
    </w:p>
    <w:p w14:paraId="2A40A7B3" w14:textId="6F869D01" w:rsidR="00D57A44" w:rsidRDefault="00000000">
      <w:pPr>
        <w:pStyle w:val="TableofFigures"/>
        <w:tabs>
          <w:tab w:val="right" w:leader="dot" w:pos="9016"/>
        </w:tabs>
        <w:rPr>
          <w:noProof/>
          <w:lang w:bidi="he-IL"/>
        </w:rPr>
      </w:pPr>
      <w:hyperlink w:anchor="_Toc83849801"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2.3: International Merchandise Trade, 2019</w:t>
        </w:r>
        <w:r w:rsidR="00D57A44">
          <w:rPr>
            <w:noProof/>
            <w:webHidden/>
          </w:rPr>
          <w:tab/>
        </w:r>
        <w:r w:rsidR="00D57A44">
          <w:rPr>
            <w:noProof/>
            <w:webHidden/>
          </w:rPr>
          <w:fldChar w:fldCharType="begin"/>
        </w:r>
        <w:r w:rsidR="00D57A44">
          <w:rPr>
            <w:noProof/>
            <w:webHidden/>
          </w:rPr>
          <w:instrText xml:space="preserve"> PAGEREF _Toc83849801 \h </w:instrText>
        </w:r>
        <w:r w:rsidR="00D57A44">
          <w:rPr>
            <w:noProof/>
            <w:webHidden/>
          </w:rPr>
        </w:r>
        <w:r w:rsidR="00D57A44">
          <w:rPr>
            <w:noProof/>
            <w:webHidden/>
          </w:rPr>
          <w:fldChar w:fldCharType="separate"/>
        </w:r>
        <w:r w:rsidR="00D57A44">
          <w:rPr>
            <w:noProof/>
            <w:webHidden/>
          </w:rPr>
          <w:t>19</w:t>
        </w:r>
        <w:r w:rsidR="00D57A44">
          <w:rPr>
            <w:noProof/>
            <w:webHidden/>
          </w:rPr>
          <w:fldChar w:fldCharType="end"/>
        </w:r>
      </w:hyperlink>
    </w:p>
    <w:p w14:paraId="0D6E3CBF" w14:textId="6F46482C" w:rsidR="00D57A44" w:rsidRDefault="00000000">
      <w:pPr>
        <w:pStyle w:val="TableofFigures"/>
        <w:tabs>
          <w:tab w:val="right" w:leader="dot" w:pos="9016"/>
        </w:tabs>
        <w:rPr>
          <w:noProof/>
          <w:lang w:bidi="he-IL"/>
        </w:rPr>
      </w:pPr>
      <w:hyperlink w:anchor="_Toc83849802"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2.4: Merchandise Exports by Broad Product Groupings, Pakistan, 2002–2019</w:t>
        </w:r>
        <w:r w:rsidR="00D57A44">
          <w:rPr>
            <w:noProof/>
            <w:webHidden/>
          </w:rPr>
          <w:tab/>
        </w:r>
        <w:r w:rsidR="00D57A44">
          <w:rPr>
            <w:noProof/>
            <w:webHidden/>
          </w:rPr>
          <w:fldChar w:fldCharType="begin"/>
        </w:r>
        <w:r w:rsidR="00D57A44">
          <w:rPr>
            <w:noProof/>
            <w:webHidden/>
          </w:rPr>
          <w:instrText xml:space="preserve"> PAGEREF _Toc83849802 \h </w:instrText>
        </w:r>
        <w:r w:rsidR="00D57A44">
          <w:rPr>
            <w:noProof/>
            <w:webHidden/>
          </w:rPr>
        </w:r>
        <w:r w:rsidR="00D57A44">
          <w:rPr>
            <w:noProof/>
            <w:webHidden/>
          </w:rPr>
          <w:fldChar w:fldCharType="separate"/>
        </w:r>
        <w:r w:rsidR="00D57A44">
          <w:rPr>
            <w:noProof/>
            <w:webHidden/>
          </w:rPr>
          <w:t>20</w:t>
        </w:r>
        <w:r w:rsidR="00D57A44">
          <w:rPr>
            <w:noProof/>
            <w:webHidden/>
          </w:rPr>
          <w:fldChar w:fldCharType="end"/>
        </w:r>
      </w:hyperlink>
    </w:p>
    <w:p w14:paraId="591D2023" w14:textId="03991AFF" w:rsidR="00D57A44" w:rsidRDefault="00000000">
      <w:pPr>
        <w:pStyle w:val="TableofFigures"/>
        <w:tabs>
          <w:tab w:val="right" w:leader="dot" w:pos="9016"/>
        </w:tabs>
        <w:rPr>
          <w:noProof/>
          <w:lang w:bidi="he-IL"/>
        </w:rPr>
      </w:pPr>
      <w:hyperlink w:anchor="_Toc83849803"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2.5: Merchandise Export Diversification, Selected Countries, 2005, 2010, 2015, 2019</w:t>
        </w:r>
        <w:r w:rsidR="00D57A44">
          <w:rPr>
            <w:noProof/>
            <w:webHidden/>
          </w:rPr>
          <w:tab/>
        </w:r>
        <w:r w:rsidR="00D57A44">
          <w:rPr>
            <w:noProof/>
            <w:webHidden/>
          </w:rPr>
          <w:fldChar w:fldCharType="begin"/>
        </w:r>
        <w:r w:rsidR="00D57A44">
          <w:rPr>
            <w:noProof/>
            <w:webHidden/>
          </w:rPr>
          <w:instrText xml:space="preserve"> PAGEREF _Toc83849803 \h </w:instrText>
        </w:r>
        <w:r w:rsidR="00D57A44">
          <w:rPr>
            <w:noProof/>
            <w:webHidden/>
          </w:rPr>
        </w:r>
        <w:r w:rsidR="00D57A44">
          <w:rPr>
            <w:noProof/>
            <w:webHidden/>
          </w:rPr>
          <w:fldChar w:fldCharType="separate"/>
        </w:r>
        <w:r w:rsidR="00D57A44">
          <w:rPr>
            <w:noProof/>
            <w:webHidden/>
          </w:rPr>
          <w:t>22</w:t>
        </w:r>
        <w:r w:rsidR="00D57A44">
          <w:rPr>
            <w:noProof/>
            <w:webHidden/>
          </w:rPr>
          <w:fldChar w:fldCharType="end"/>
        </w:r>
      </w:hyperlink>
    </w:p>
    <w:p w14:paraId="4D66B3C2" w14:textId="49DDC030" w:rsidR="00D57A44" w:rsidRDefault="00000000">
      <w:pPr>
        <w:pStyle w:val="TableofFigures"/>
        <w:tabs>
          <w:tab w:val="right" w:leader="dot" w:pos="9016"/>
        </w:tabs>
        <w:rPr>
          <w:noProof/>
          <w:lang w:bidi="he-IL"/>
        </w:rPr>
      </w:pPr>
      <w:hyperlink w:anchor="_Toc83849804"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3.1: Decomposition of Exports into Value-Added Categories, Pakistan, 2000, 2007–2020</w:t>
        </w:r>
        <w:r w:rsidR="00D57A44">
          <w:rPr>
            <w:noProof/>
            <w:webHidden/>
          </w:rPr>
          <w:tab/>
        </w:r>
        <w:r w:rsidR="00D57A44">
          <w:rPr>
            <w:noProof/>
            <w:webHidden/>
          </w:rPr>
          <w:fldChar w:fldCharType="begin"/>
        </w:r>
        <w:r w:rsidR="00D57A44">
          <w:rPr>
            <w:noProof/>
            <w:webHidden/>
          </w:rPr>
          <w:instrText xml:space="preserve"> PAGEREF _Toc83849804 \h </w:instrText>
        </w:r>
        <w:r w:rsidR="00D57A44">
          <w:rPr>
            <w:noProof/>
            <w:webHidden/>
          </w:rPr>
        </w:r>
        <w:r w:rsidR="00D57A44">
          <w:rPr>
            <w:noProof/>
            <w:webHidden/>
          </w:rPr>
          <w:fldChar w:fldCharType="separate"/>
        </w:r>
        <w:r w:rsidR="00D57A44">
          <w:rPr>
            <w:noProof/>
            <w:webHidden/>
          </w:rPr>
          <w:t>26</w:t>
        </w:r>
        <w:r w:rsidR="00D57A44">
          <w:rPr>
            <w:noProof/>
            <w:webHidden/>
          </w:rPr>
          <w:fldChar w:fldCharType="end"/>
        </w:r>
      </w:hyperlink>
    </w:p>
    <w:p w14:paraId="780AF988" w14:textId="7E9F09C0" w:rsidR="00D57A44" w:rsidRDefault="00000000">
      <w:pPr>
        <w:pStyle w:val="TableofFigures"/>
        <w:tabs>
          <w:tab w:val="right" w:leader="dot" w:pos="9016"/>
        </w:tabs>
        <w:rPr>
          <w:noProof/>
          <w:lang w:bidi="he-IL"/>
        </w:rPr>
      </w:pPr>
      <w:hyperlink w:anchor="_Toc83849805"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3.2: Top Ten Trading Partners by Value-Added Category, Pakistan, 2020</w:t>
        </w:r>
        <w:r w:rsidR="00D57A44">
          <w:rPr>
            <w:noProof/>
            <w:webHidden/>
          </w:rPr>
          <w:tab/>
        </w:r>
        <w:r w:rsidR="00D57A44">
          <w:rPr>
            <w:noProof/>
            <w:webHidden/>
          </w:rPr>
          <w:fldChar w:fldCharType="begin"/>
        </w:r>
        <w:r w:rsidR="00D57A44">
          <w:rPr>
            <w:noProof/>
            <w:webHidden/>
          </w:rPr>
          <w:instrText xml:space="preserve"> PAGEREF _Toc83849805 \h </w:instrText>
        </w:r>
        <w:r w:rsidR="00D57A44">
          <w:rPr>
            <w:noProof/>
            <w:webHidden/>
          </w:rPr>
        </w:r>
        <w:r w:rsidR="00D57A44">
          <w:rPr>
            <w:noProof/>
            <w:webHidden/>
          </w:rPr>
          <w:fldChar w:fldCharType="separate"/>
        </w:r>
        <w:r w:rsidR="00D57A44">
          <w:rPr>
            <w:noProof/>
            <w:webHidden/>
          </w:rPr>
          <w:t>27</w:t>
        </w:r>
        <w:r w:rsidR="00D57A44">
          <w:rPr>
            <w:noProof/>
            <w:webHidden/>
          </w:rPr>
          <w:fldChar w:fldCharType="end"/>
        </w:r>
      </w:hyperlink>
    </w:p>
    <w:p w14:paraId="5813D15D" w14:textId="6415AF14" w:rsidR="00D57A44" w:rsidRDefault="00000000">
      <w:pPr>
        <w:pStyle w:val="TableofFigures"/>
        <w:tabs>
          <w:tab w:val="right" w:leader="dot" w:pos="9016"/>
        </w:tabs>
        <w:rPr>
          <w:noProof/>
          <w:lang w:bidi="he-IL"/>
        </w:rPr>
      </w:pPr>
      <w:hyperlink w:anchor="_Toc83849806"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3.3: Global Value Chain Participation Rates, Pakistan, 2000, 2007–2020</w:t>
        </w:r>
        <w:r w:rsidR="00D57A44">
          <w:rPr>
            <w:noProof/>
            <w:webHidden/>
          </w:rPr>
          <w:tab/>
        </w:r>
        <w:r w:rsidR="00D57A44">
          <w:rPr>
            <w:noProof/>
            <w:webHidden/>
          </w:rPr>
          <w:fldChar w:fldCharType="begin"/>
        </w:r>
        <w:r w:rsidR="00D57A44">
          <w:rPr>
            <w:noProof/>
            <w:webHidden/>
          </w:rPr>
          <w:instrText xml:space="preserve"> PAGEREF _Toc83849806 \h </w:instrText>
        </w:r>
        <w:r w:rsidR="00D57A44">
          <w:rPr>
            <w:noProof/>
            <w:webHidden/>
          </w:rPr>
        </w:r>
        <w:r w:rsidR="00D57A44">
          <w:rPr>
            <w:noProof/>
            <w:webHidden/>
          </w:rPr>
          <w:fldChar w:fldCharType="separate"/>
        </w:r>
        <w:r w:rsidR="00D57A44">
          <w:rPr>
            <w:noProof/>
            <w:webHidden/>
          </w:rPr>
          <w:t>28</w:t>
        </w:r>
        <w:r w:rsidR="00D57A44">
          <w:rPr>
            <w:noProof/>
            <w:webHidden/>
          </w:rPr>
          <w:fldChar w:fldCharType="end"/>
        </w:r>
      </w:hyperlink>
    </w:p>
    <w:p w14:paraId="0B53B97A" w14:textId="2F92BFD2" w:rsidR="00D57A44" w:rsidRDefault="00000000">
      <w:pPr>
        <w:pStyle w:val="TableofFigures"/>
        <w:tabs>
          <w:tab w:val="right" w:leader="dot" w:pos="9016"/>
        </w:tabs>
        <w:rPr>
          <w:noProof/>
          <w:lang w:bidi="he-IL"/>
        </w:rPr>
      </w:pPr>
      <w:hyperlink w:anchor="_Toc83849807"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3.4: Global Value Chain Participation Rates, Selected Countries, 2000, 2010, 2020</w:t>
        </w:r>
        <w:r w:rsidR="00D57A44">
          <w:rPr>
            <w:noProof/>
            <w:webHidden/>
          </w:rPr>
          <w:tab/>
        </w:r>
        <w:r w:rsidR="00D57A44">
          <w:rPr>
            <w:noProof/>
            <w:webHidden/>
          </w:rPr>
          <w:fldChar w:fldCharType="begin"/>
        </w:r>
        <w:r w:rsidR="00D57A44">
          <w:rPr>
            <w:noProof/>
            <w:webHidden/>
          </w:rPr>
          <w:instrText xml:space="preserve"> PAGEREF _Toc83849807 \h </w:instrText>
        </w:r>
        <w:r w:rsidR="00D57A44">
          <w:rPr>
            <w:noProof/>
            <w:webHidden/>
          </w:rPr>
        </w:r>
        <w:r w:rsidR="00D57A44">
          <w:rPr>
            <w:noProof/>
            <w:webHidden/>
          </w:rPr>
          <w:fldChar w:fldCharType="separate"/>
        </w:r>
        <w:r w:rsidR="00D57A44">
          <w:rPr>
            <w:noProof/>
            <w:webHidden/>
          </w:rPr>
          <w:t>28</w:t>
        </w:r>
        <w:r w:rsidR="00D57A44">
          <w:rPr>
            <w:noProof/>
            <w:webHidden/>
          </w:rPr>
          <w:fldChar w:fldCharType="end"/>
        </w:r>
      </w:hyperlink>
    </w:p>
    <w:p w14:paraId="25FF24E2" w14:textId="7D22C5AA" w:rsidR="00D57A44" w:rsidRDefault="00000000">
      <w:pPr>
        <w:pStyle w:val="TableofFigures"/>
        <w:tabs>
          <w:tab w:val="right" w:leader="dot" w:pos="9016"/>
        </w:tabs>
        <w:rPr>
          <w:noProof/>
          <w:lang w:bidi="he-IL"/>
        </w:rPr>
      </w:pPr>
      <w:hyperlink w:anchor="_Toc83849808"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3.5: Decomposition of Exports into Value-Added Categories by Sector, Pakistan, 2020</w:t>
        </w:r>
        <w:r w:rsidR="00D57A44">
          <w:rPr>
            <w:noProof/>
            <w:webHidden/>
          </w:rPr>
          <w:tab/>
        </w:r>
        <w:r w:rsidR="00D57A44">
          <w:rPr>
            <w:noProof/>
            <w:webHidden/>
          </w:rPr>
          <w:fldChar w:fldCharType="begin"/>
        </w:r>
        <w:r w:rsidR="00D57A44">
          <w:rPr>
            <w:noProof/>
            <w:webHidden/>
          </w:rPr>
          <w:instrText xml:space="preserve"> PAGEREF _Toc83849808 \h </w:instrText>
        </w:r>
        <w:r w:rsidR="00D57A44">
          <w:rPr>
            <w:noProof/>
            <w:webHidden/>
          </w:rPr>
        </w:r>
        <w:r w:rsidR="00D57A44">
          <w:rPr>
            <w:noProof/>
            <w:webHidden/>
          </w:rPr>
          <w:fldChar w:fldCharType="separate"/>
        </w:r>
        <w:r w:rsidR="00D57A44">
          <w:rPr>
            <w:noProof/>
            <w:webHidden/>
          </w:rPr>
          <w:t>29</w:t>
        </w:r>
        <w:r w:rsidR="00D57A44">
          <w:rPr>
            <w:noProof/>
            <w:webHidden/>
          </w:rPr>
          <w:fldChar w:fldCharType="end"/>
        </w:r>
      </w:hyperlink>
    </w:p>
    <w:p w14:paraId="4836C858" w14:textId="0F4E7B4A" w:rsidR="00D57A44" w:rsidRDefault="00000000">
      <w:pPr>
        <w:pStyle w:val="TableofFigures"/>
        <w:tabs>
          <w:tab w:val="right" w:leader="dot" w:pos="9016"/>
        </w:tabs>
        <w:rPr>
          <w:noProof/>
          <w:lang w:bidi="he-IL"/>
        </w:rPr>
      </w:pPr>
      <w:hyperlink w:anchor="_Toc83849809"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3.6: GVC Production Lengths by Sector, Pakistan, 2000, 2010, 2020</w:t>
        </w:r>
        <w:r w:rsidR="00D57A44">
          <w:rPr>
            <w:noProof/>
            <w:webHidden/>
          </w:rPr>
          <w:tab/>
        </w:r>
        <w:r w:rsidR="00D57A44">
          <w:rPr>
            <w:noProof/>
            <w:webHidden/>
          </w:rPr>
          <w:fldChar w:fldCharType="begin"/>
        </w:r>
        <w:r w:rsidR="00D57A44">
          <w:rPr>
            <w:noProof/>
            <w:webHidden/>
          </w:rPr>
          <w:instrText xml:space="preserve"> PAGEREF _Toc83849809 \h </w:instrText>
        </w:r>
        <w:r w:rsidR="00D57A44">
          <w:rPr>
            <w:noProof/>
            <w:webHidden/>
          </w:rPr>
        </w:r>
        <w:r w:rsidR="00D57A44">
          <w:rPr>
            <w:noProof/>
            <w:webHidden/>
          </w:rPr>
          <w:fldChar w:fldCharType="separate"/>
        </w:r>
        <w:r w:rsidR="00D57A44">
          <w:rPr>
            <w:noProof/>
            <w:webHidden/>
          </w:rPr>
          <w:t>32</w:t>
        </w:r>
        <w:r w:rsidR="00D57A44">
          <w:rPr>
            <w:noProof/>
            <w:webHidden/>
          </w:rPr>
          <w:fldChar w:fldCharType="end"/>
        </w:r>
      </w:hyperlink>
    </w:p>
    <w:p w14:paraId="78B0B46D" w14:textId="2814B4D2" w:rsidR="00D57A44" w:rsidRDefault="00000000">
      <w:pPr>
        <w:pStyle w:val="TableofFigures"/>
        <w:tabs>
          <w:tab w:val="right" w:leader="dot" w:pos="9016"/>
        </w:tabs>
        <w:rPr>
          <w:noProof/>
          <w:lang w:bidi="he-IL"/>
        </w:rPr>
      </w:pPr>
      <w:hyperlink w:anchor="_Toc83849810"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3.7: Forward GVCs Lengths for Selected Sectors, Pakistan, 2000, 2010, 2019, 2020</w:t>
        </w:r>
        <w:r w:rsidR="00D57A44">
          <w:rPr>
            <w:noProof/>
            <w:webHidden/>
          </w:rPr>
          <w:tab/>
        </w:r>
        <w:r w:rsidR="00D57A44">
          <w:rPr>
            <w:noProof/>
            <w:webHidden/>
          </w:rPr>
          <w:fldChar w:fldCharType="begin"/>
        </w:r>
        <w:r w:rsidR="00D57A44">
          <w:rPr>
            <w:noProof/>
            <w:webHidden/>
          </w:rPr>
          <w:instrText xml:space="preserve"> PAGEREF _Toc83849810 \h </w:instrText>
        </w:r>
        <w:r w:rsidR="00D57A44">
          <w:rPr>
            <w:noProof/>
            <w:webHidden/>
          </w:rPr>
        </w:r>
        <w:r w:rsidR="00D57A44">
          <w:rPr>
            <w:noProof/>
            <w:webHidden/>
          </w:rPr>
          <w:fldChar w:fldCharType="separate"/>
        </w:r>
        <w:r w:rsidR="00D57A44">
          <w:rPr>
            <w:noProof/>
            <w:webHidden/>
          </w:rPr>
          <w:t>33</w:t>
        </w:r>
        <w:r w:rsidR="00D57A44">
          <w:rPr>
            <w:noProof/>
            <w:webHidden/>
          </w:rPr>
          <w:fldChar w:fldCharType="end"/>
        </w:r>
      </w:hyperlink>
    </w:p>
    <w:p w14:paraId="2E06BF59" w14:textId="24A6C089" w:rsidR="00D57A44" w:rsidRDefault="00000000">
      <w:pPr>
        <w:pStyle w:val="TableofFigures"/>
        <w:tabs>
          <w:tab w:val="right" w:leader="dot" w:pos="9016"/>
        </w:tabs>
        <w:rPr>
          <w:noProof/>
          <w:lang w:bidi="he-IL"/>
        </w:rPr>
      </w:pPr>
      <w:hyperlink w:anchor="_Toc83849811"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4.1: Revealed Comparative Advantage Indices, Pakistan, 2020</w:t>
        </w:r>
        <w:r w:rsidR="00D57A44">
          <w:rPr>
            <w:noProof/>
            <w:webHidden/>
          </w:rPr>
          <w:tab/>
        </w:r>
        <w:r w:rsidR="00D57A44">
          <w:rPr>
            <w:noProof/>
            <w:webHidden/>
          </w:rPr>
          <w:fldChar w:fldCharType="begin"/>
        </w:r>
        <w:r w:rsidR="00D57A44">
          <w:rPr>
            <w:noProof/>
            <w:webHidden/>
          </w:rPr>
          <w:instrText xml:space="preserve"> PAGEREF _Toc83849811 \h </w:instrText>
        </w:r>
        <w:r w:rsidR="00D57A44">
          <w:rPr>
            <w:noProof/>
            <w:webHidden/>
          </w:rPr>
        </w:r>
        <w:r w:rsidR="00D57A44">
          <w:rPr>
            <w:noProof/>
            <w:webHidden/>
          </w:rPr>
          <w:fldChar w:fldCharType="separate"/>
        </w:r>
        <w:r w:rsidR="00D57A44">
          <w:rPr>
            <w:noProof/>
            <w:webHidden/>
          </w:rPr>
          <w:t>36</w:t>
        </w:r>
        <w:r w:rsidR="00D57A44">
          <w:rPr>
            <w:noProof/>
            <w:webHidden/>
          </w:rPr>
          <w:fldChar w:fldCharType="end"/>
        </w:r>
      </w:hyperlink>
    </w:p>
    <w:p w14:paraId="53E775A6" w14:textId="4877755D" w:rsidR="00D57A44" w:rsidRDefault="00000000">
      <w:pPr>
        <w:pStyle w:val="TableofFigures"/>
        <w:tabs>
          <w:tab w:val="right" w:leader="dot" w:pos="9016"/>
        </w:tabs>
        <w:rPr>
          <w:noProof/>
          <w:lang w:bidi="he-IL"/>
        </w:rPr>
      </w:pPr>
      <w:hyperlink w:anchor="_Toc83849812"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4.2: Positioning in Textile and Agriculture GVCs, Selected Countries, 2010 and 2020</w:t>
        </w:r>
        <w:r w:rsidR="00D57A44">
          <w:rPr>
            <w:noProof/>
            <w:webHidden/>
          </w:rPr>
          <w:tab/>
        </w:r>
        <w:r w:rsidR="00D57A44">
          <w:rPr>
            <w:noProof/>
            <w:webHidden/>
          </w:rPr>
          <w:fldChar w:fldCharType="begin"/>
        </w:r>
        <w:r w:rsidR="00D57A44">
          <w:rPr>
            <w:noProof/>
            <w:webHidden/>
          </w:rPr>
          <w:instrText xml:space="preserve"> PAGEREF _Toc83849812 \h </w:instrText>
        </w:r>
        <w:r w:rsidR="00D57A44">
          <w:rPr>
            <w:noProof/>
            <w:webHidden/>
          </w:rPr>
        </w:r>
        <w:r w:rsidR="00D57A44">
          <w:rPr>
            <w:noProof/>
            <w:webHidden/>
          </w:rPr>
          <w:fldChar w:fldCharType="separate"/>
        </w:r>
        <w:r w:rsidR="00D57A44">
          <w:rPr>
            <w:noProof/>
            <w:webHidden/>
          </w:rPr>
          <w:t>37</w:t>
        </w:r>
        <w:r w:rsidR="00D57A44">
          <w:rPr>
            <w:noProof/>
            <w:webHidden/>
          </w:rPr>
          <w:fldChar w:fldCharType="end"/>
        </w:r>
      </w:hyperlink>
    </w:p>
    <w:p w14:paraId="7199439C" w14:textId="6905A74A" w:rsidR="00D57A44" w:rsidRDefault="00000000">
      <w:pPr>
        <w:pStyle w:val="TableofFigures"/>
        <w:tabs>
          <w:tab w:val="right" w:leader="dot" w:pos="9016"/>
        </w:tabs>
        <w:rPr>
          <w:noProof/>
          <w:lang w:bidi="he-IL"/>
        </w:rPr>
      </w:pPr>
      <w:hyperlink w:anchor="_Toc83849813"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4.3: Real Effective Exchange Rate Weights, Selected Sectors, Pakistan, 2010–2020</w:t>
        </w:r>
        <w:r w:rsidR="00D57A44">
          <w:rPr>
            <w:noProof/>
            <w:webHidden/>
          </w:rPr>
          <w:tab/>
        </w:r>
        <w:r w:rsidR="00D57A44">
          <w:rPr>
            <w:noProof/>
            <w:webHidden/>
          </w:rPr>
          <w:fldChar w:fldCharType="begin"/>
        </w:r>
        <w:r w:rsidR="00D57A44">
          <w:rPr>
            <w:noProof/>
            <w:webHidden/>
          </w:rPr>
          <w:instrText xml:space="preserve"> PAGEREF _Toc83849813 \h </w:instrText>
        </w:r>
        <w:r w:rsidR="00D57A44">
          <w:rPr>
            <w:noProof/>
            <w:webHidden/>
          </w:rPr>
        </w:r>
        <w:r w:rsidR="00D57A44">
          <w:rPr>
            <w:noProof/>
            <w:webHidden/>
          </w:rPr>
          <w:fldChar w:fldCharType="separate"/>
        </w:r>
        <w:r w:rsidR="00D57A44">
          <w:rPr>
            <w:noProof/>
            <w:webHidden/>
          </w:rPr>
          <w:t>39</w:t>
        </w:r>
        <w:r w:rsidR="00D57A44">
          <w:rPr>
            <w:noProof/>
            <w:webHidden/>
          </w:rPr>
          <w:fldChar w:fldCharType="end"/>
        </w:r>
      </w:hyperlink>
    </w:p>
    <w:p w14:paraId="1FC39D80" w14:textId="6CE73DB3" w:rsidR="00D57A44" w:rsidRDefault="00000000">
      <w:pPr>
        <w:pStyle w:val="TableofFigures"/>
        <w:tabs>
          <w:tab w:val="right" w:leader="dot" w:pos="9016"/>
        </w:tabs>
        <w:rPr>
          <w:noProof/>
          <w:lang w:bidi="he-IL"/>
        </w:rPr>
      </w:pPr>
      <w:hyperlink w:anchor="_Toc83849814"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4.4: Change in Real Effective Exchange Rate Index, Pakistan and Cambodia, Selected Sectors, 2010–2019</w:t>
        </w:r>
        <w:r w:rsidR="00D57A44">
          <w:rPr>
            <w:noProof/>
            <w:webHidden/>
          </w:rPr>
          <w:tab/>
        </w:r>
        <w:r w:rsidR="00D57A44">
          <w:rPr>
            <w:noProof/>
            <w:webHidden/>
          </w:rPr>
          <w:fldChar w:fldCharType="begin"/>
        </w:r>
        <w:r w:rsidR="00D57A44">
          <w:rPr>
            <w:noProof/>
            <w:webHidden/>
          </w:rPr>
          <w:instrText xml:space="preserve"> PAGEREF _Toc83849814 \h </w:instrText>
        </w:r>
        <w:r w:rsidR="00D57A44">
          <w:rPr>
            <w:noProof/>
            <w:webHidden/>
          </w:rPr>
        </w:r>
        <w:r w:rsidR="00D57A44">
          <w:rPr>
            <w:noProof/>
            <w:webHidden/>
          </w:rPr>
          <w:fldChar w:fldCharType="separate"/>
        </w:r>
        <w:r w:rsidR="00D57A44">
          <w:rPr>
            <w:noProof/>
            <w:webHidden/>
          </w:rPr>
          <w:t>41</w:t>
        </w:r>
        <w:r w:rsidR="00D57A44">
          <w:rPr>
            <w:noProof/>
            <w:webHidden/>
          </w:rPr>
          <w:fldChar w:fldCharType="end"/>
        </w:r>
      </w:hyperlink>
    </w:p>
    <w:p w14:paraId="2E7E0BA5" w14:textId="702A75D9" w:rsidR="00D57A44" w:rsidRDefault="00000000">
      <w:pPr>
        <w:pStyle w:val="TableofFigures"/>
        <w:tabs>
          <w:tab w:val="right" w:leader="dot" w:pos="9016"/>
        </w:tabs>
        <w:rPr>
          <w:noProof/>
          <w:lang w:bidi="he-IL"/>
        </w:rPr>
      </w:pPr>
      <w:hyperlink w:anchor="_Toc83849815"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4.5: Real Effective Exchange Rate Mean and Volatility, 2010–2019</w:t>
        </w:r>
        <w:r w:rsidR="00D57A44">
          <w:rPr>
            <w:noProof/>
            <w:webHidden/>
          </w:rPr>
          <w:tab/>
        </w:r>
        <w:r w:rsidR="00D57A44">
          <w:rPr>
            <w:noProof/>
            <w:webHidden/>
          </w:rPr>
          <w:fldChar w:fldCharType="begin"/>
        </w:r>
        <w:r w:rsidR="00D57A44">
          <w:rPr>
            <w:noProof/>
            <w:webHidden/>
          </w:rPr>
          <w:instrText xml:space="preserve"> PAGEREF _Toc83849815 \h </w:instrText>
        </w:r>
        <w:r w:rsidR="00D57A44">
          <w:rPr>
            <w:noProof/>
            <w:webHidden/>
          </w:rPr>
        </w:r>
        <w:r w:rsidR="00D57A44">
          <w:rPr>
            <w:noProof/>
            <w:webHidden/>
          </w:rPr>
          <w:fldChar w:fldCharType="separate"/>
        </w:r>
        <w:r w:rsidR="00D57A44">
          <w:rPr>
            <w:noProof/>
            <w:webHidden/>
          </w:rPr>
          <w:t>42</w:t>
        </w:r>
        <w:r w:rsidR="00D57A44">
          <w:rPr>
            <w:noProof/>
            <w:webHidden/>
          </w:rPr>
          <w:fldChar w:fldCharType="end"/>
        </w:r>
      </w:hyperlink>
    </w:p>
    <w:p w14:paraId="3491921B" w14:textId="2E6D3734" w:rsidR="00D57A44" w:rsidRDefault="00000000">
      <w:pPr>
        <w:pStyle w:val="TableofFigures"/>
        <w:tabs>
          <w:tab w:val="right" w:leader="dot" w:pos="9016"/>
        </w:tabs>
        <w:rPr>
          <w:noProof/>
          <w:lang w:bidi="he-IL"/>
        </w:rPr>
      </w:pPr>
      <w:hyperlink w:anchor="_Toc83849816"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5.1: Regional Concentration Indices, Selected RTAs, 2000, 2007–2020</w:t>
        </w:r>
        <w:r w:rsidR="00D57A44">
          <w:rPr>
            <w:noProof/>
            <w:webHidden/>
          </w:rPr>
          <w:tab/>
        </w:r>
        <w:r w:rsidR="00D57A44">
          <w:rPr>
            <w:noProof/>
            <w:webHidden/>
          </w:rPr>
          <w:fldChar w:fldCharType="begin"/>
        </w:r>
        <w:r w:rsidR="00D57A44">
          <w:rPr>
            <w:noProof/>
            <w:webHidden/>
          </w:rPr>
          <w:instrText xml:space="preserve"> PAGEREF _Toc83849816 \h </w:instrText>
        </w:r>
        <w:r w:rsidR="00D57A44">
          <w:rPr>
            <w:noProof/>
            <w:webHidden/>
          </w:rPr>
        </w:r>
        <w:r w:rsidR="00D57A44">
          <w:rPr>
            <w:noProof/>
            <w:webHidden/>
          </w:rPr>
          <w:fldChar w:fldCharType="separate"/>
        </w:r>
        <w:r w:rsidR="00D57A44">
          <w:rPr>
            <w:noProof/>
            <w:webHidden/>
          </w:rPr>
          <w:t>46</w:t>
        </w:r>
        <w:r w:rsidR="00D57A44">
          <w:rPr>
            <w:noProof/>
            <w:webHidden/>
          </w:rPr>
          <w:fldChar w:fldCharType="end"/>
        </w:r>
      </w:hyperlink>
    </w:p>
    <w:p w14:paraId="4F9EF57E" w14:textId="10251803" w:rsidR="00D57A44" w:rsidRDefault="00000000">
      <w:pPr>
        <w:pStyle w:val="TableofFigures"/>
        <w:tabs>
          <w:tab w:val="right" w:leader="dot" w:pos="9016"/>
        </w:tabs>
        <w:rPr>
          <w:noProof/>
          <w:lang w:bidi="he-IL"/>
        </w:rPr>
      </w:pPr>
      <w:hyperlink w:anchor="_Toc83849817"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5.2: Skyline Chart for the SAARC Countries, 2020</w:t>
        </w:r>
        <w:r w:rsidR="00D57A44">
          <w:rPr>
            <w:noProof/>
            <w:webHidden/>
          </w:rPr>
          <w:tab/>
        </w:r>
        <w:r w:rsidR="00D57A44">
          <w:rPr>
            <w:noProof/>
            <w:webHidden/>
          </w:rPr>
          <w:fldChar w:fldCharType="begin"/>
        </w:r>
        <w:r w:rsidR="00D57A44">
          <w:rPr>
            <w:noProof/>
            <w:webHidden/>
          </w:rPr>
          <w:instrText xml:space="preserve"> PAGEREF _Toc83849817 \h </w:instrText>
        </w:r>
        <w:r w:rsidR="00D57A44">
          <w:rPr>
            <w:noProof/>
            <w:webHidden/>
          </w:rPr>
        </w:r>
        <w:r w:rsidR="00D57A44">
          <w:rPr>
            <w:noProof/>
            <w:webHidden/>
          </w:rPr>
          <w:fldChar w:fldCharType="separate"/>
        </w:r>
        <w:r w:rsidR="00D57A44">
          <w:rPr>
            <w:noProof/>
            <w:webHidden/>
          </w:rPr>
          <w:t>48</w:t>
        </w:r>
        <w:r w:rsidR="00D57A44">
          <w:rPr>
            <w:noProof/>
            <w:webHidden/>
          </w:rPr>
          <w:fldChar w:fldCharType="end"/>
        </w:r>
      </w:hyperlink>
    </w:p>
    <w:p w14:paraId="203CBAE4" w14:textId="5660930F" w:rsidR="00D57A44" w:rsidRDefault="00000000">
      <w:pPr>
        <w:pStyle w:val="TableofFigures"/>
        <w:tabs>
          <w:tab w:val="right" w:leader="dot" w:pos="9016"/>
        </w:tabs>
        <w:rPr>
          <w:noProof/>
          <w:lang w:bidi="he-IL"/>
        </w:rPr>
      </w:pPr>
      <w:hyperlink w:anchor="_Toc83849818"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5.3: Backward and Forward Agglomeration Indices, 2007, 2010, 2007</w:t>
        </w:r>
        <w:r w:rsidR="00D57A44">
          <w:rPr>
            <w:noProof/>
            <w:webHidden/>
          </w:rPr>
          <w:tab/>
        </w:r>
        <w:r w:rsidR="00D57A44">
          <w:rPr>
            <w:noProof/>
            <w:webHidden/>
          </w:rPr>
          <w:fldChar w:fldCharType="begin"/>
        </w:r>
        <w:r w:rsidR="00D57A44">
          <w:rPr>
            <w:noProof/>
            <w:webHidden/>
          </w:rPr>
          <w:instrText xml:space="preserve"> PAGEREF _Toc83849818 \h </w:instrText>
        </w:r>
        <w:r w:rsidR="00D57A44">
          <w:rPr>
            <w:noProof/>
            <w:webHidden/>
          </w:rPr>
        </w:r>
        <w:r w:rsidR="00D57A44">
          <w:rPr>
            <w:noProof/>
            <w:webHidden/>
          </w:rPr>
          <w:fldChar w:fldCharType="separate"/>
        </w:r>
        <w:r w:rsidR="00D57A44">
          <w:rPr>
            <w:noProof/>
            <w:webHidden/>
          </w:rPr>
          <w:t>52</w:t>
        </w:r>
        <w:r w:rsidR="00D57A44">
          <w:rPr>
            <w:noProof/>
            <w:webHidden/>
          </w:rPr>
          <w:fldChar w:fldCharType="end"/>
        </w:r>
      </w:hyperlink>
    </w:p>
    <w:p w14:paraId="54DA87AE" w14:textId="403170A2" w:rsidR="00D57A44" w:rsidRDefault="00000000">
      <w:pPr>
        <w:pStyle w:val="TableofFigures"/>
        <w:tabs>
          <w:tab w:val="right" w:leader="dot" w:pos="9016"/>
        </w:tabs>
        <w:rPr>
          <w:noProof/>
          <w:lang w:bidi="he-IL"/>
        </w:rPr>
      </w:pPr>
      <w:hyperlink w:anchor="_Toc83849819"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5.4: Agglomeration Map, Textiles, 2010, 2019</w:t>
        </w:r>
        <w:r w:rsidR="00D57A44">
          <w:rPr>
            <w:noProof/>
            <w:webHidden/>
          </w:rPr>
          <w:tab/>
        </w:r>
        <w:r w:rsidR="00D57A44">
          <w:rPr>
            <w:noProof/>
            <w:webHidden/>
          </w:rPr>
          <w:fldChar w:fldCharType="begin"/>
        </w:r>
        <w:r w:rsidR="00D57A44">
          <w:rPr>
            <w:noProof/>
            <w:webHidden/>
          </w:rPr>
          <w:instrText xml:space="preserve"> PAGEREF _Toc83849819 \h </w:instrText>
        </w:r>
        <w:r w:rsidR="00D57A44">
          <w:rPr>
            <w:noProof/>
            <w:webHidden/>
          </w:rPr>
        </w:r>
        <w:r w:rsidR="00D57A44">
          <w:rPr>
            <w:noProof/>
            <w:webHidden/>
          </w:rPr>
          <w:fldChar w:fldCharType="separate"/>
        </w:r>
        <w:r w:rsidR="00D57A44">
          <w:rPr>
            <w:noProof/>
            <w:webHidden/>
          </w:rPr>
          <w:t>53</w:t>
        </w:r>
        <w:r w:rsidR="00D57A44">
          <w:rPr>
            <w:noProof/>
            <w:webHidden/>
          </w:rPr>
          <w:fldChar w:fldCharType="end"/>
        </w:r>
      </w:hyperlink>
    </w:p>
    <w:p w14:paraId="5E9409A8" w14:textId="2A960BB1" w:rsidR="00D57A44" w:rsidRDefault="00000000">
      <w:pPr>
        <w:pStyle w:val="TableofFigures"/>
        <w:tabs>
          <w:tab w:val="right" w:leader="dot" w:pos="9016"/>
        </w:tabs>
        <w:rPr>
          <w:noProof/>
          <w:lang w:bidi="he-IL"/>
        </w:rPr>
      </w:pPr>
      <w:hyperlink w:anchor="_Toc83849820"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5.5: The COVID-19 Shock to Growth Under Varying Rates of GVC Participation</w:t>
        </w:r>
        <w:r w:rsidR="00D57A44">
          <w:rPr>
            <w:noProof/>
            <w:webHidden/>
          </w:rPr>
          <w:tab/>
        </w:r>
        <w:r w:rsidR="00D57A44">
          <w:rPr>
            <w:noProof/>
            <w:webHidden/>
          </w:rPr>
          <w:fldChar w:fldCharType="begin"/>
        </w:r>
        <w:r w:rsidR="00D57A44">
          <w:rPr>
            <w:noProof/>
            <w:webHidden/>
          </w:rPr>
          <w:instrText xml:space="preserve"> PAGEREF _Toc83849820 \h </w:instrText>
        </w:r>
        <w:r w:rsidR="00D57A44">
          <w:rPr>
            <w:noProof/>
            <w:webHidden/>
          </w:rPr>
        </w:r>
        <w:r w:rsidR="00D57A44">
          <w:rPr>
            <w:noProof/>
            <w:webHidden/>
          </w:rPr>
          <w:fldChar w:fldCharType="separate"/>
        </w:r>
        <w:r w:rsidR="00D57A44">
          <w:rPr>
            <w:noProof/>
            <w:webHidden/>
          </w:rPr>
          <w:t>55</w:t>
        </w:r>
        <w:r w:rsidR="00D57A44">
          <w:rPr>
            <w:noProof/>
            <w:webHidden/>
          </w:rPr>
          <w:fldChar w:fldCharType="end"/>
        </w:r>
      </w:hyperlink>
    </w:p>
    <w:p w14:paraId="70435E00" w14:textId="63066DA1" w:rsidR="00D57A44" w:rsidRDefault="00000000">
      <w:pPr>
        <w:pStyle w:val="TableofFigures"/>
        <w:tabs>
          <w:tab w:val="right" w:leader="dot" w:pos="9016"/>
        </w:tabs>
        <w:rPr>
          <w:noProof/>
          <w:lang w:bidi="he-IL"/>
        </w:rPr>
      </w:pPr>
      <w:hyperlink w:anchor="_Toc83849821" w:history="1">
        <w:r w:rsidR="00D57A44" w:rsidRPr="00387130">
          <w:rPr>
            <w:rStyle w:val="Hyperlink"/>
            <w:noProof/>
          </w:rPr>
          <w:t xml:space="preserve">Figure </w:t>
        </w:r>
        <w:r w:rsidR="00D57A44" w:rsidRPr="00387130">
          <w:rPr>
            <w:rStyle w:val="Hyperlink"/>
            <w:noProof/>
            <w:cs/>
          </w:rPr>
          <w:t>‎</w:t>
        </w:r>
        <w:r w:rsidR="00D57A44" w:rsidRPr="00387130">
          <w:rPr>
            <w:rStyle w:val="Hyperlink"/>
            <w:noProof/>
          </w:rPr>
          <w:t>5.6: The COVID-19 Shock under Different Trade Scenarios, Selected Economies</w:t>
        </w:r>
        <w:r w:rsidR="00D57A44">
          <w:rPr>
            <w:noProof/>
            <w:webHidden/>
          </w:rPr>
          <w:tab/>
        </w:r>
        <w:r w:rsidR="00D57A44">
          <w:rPr>
            <w:noProof/>
            <w:webHidden/>
          </w:rPr>
          <w:fldChar w:fldCharType="begin"/>
        </w:r>
        <w:r w:rsidR="00D57A44">
          <w:rPr>
            <w:noProof/>
            <w:webHidden/>
          </w:rPr>
          <w:instrText xml:space="preserve"> PAGEREF _Toc83849821 \h </w:instrText>
        </w:r>
        <w:r w:rsidR="00D57A44">
          <w:rPr>
            <w:noProof/>
            <w:webHidden/>
          </w:rPr>
        </w:r>
        <w:r w:rsidR="00D57A44">
          <w:rPr>
            <w:noProof/>
            <w:webHidden/>
          </w:rPr>
          <w:fldChar w:fldCharType="separate"/>
        </w:r>
        <w:r w:rsidR="00D57A44">
          <w:rPr>
            <w:noProof/>
            <w:webHidden/>
          </w:rPr>
          <w:t>58</w:t>
        </w:r>
        <w:r w:rsidR="00D57A44">
          <w:rPr>
            <w:noProof/>
            <w:webHidden/>
          </w:rPr>
          <w:fldChar w:fldCharType="end"/>
        </w:r>
      </w:hyperlink>
    </w:p>
    <w:p w14:paraId="4A3A73C6" w14:textId="637A1C63" w:rsidR="003A4177" w:rsidRDefault="004B7F63" w:rsidP="004B7F63">
      <w:r>
        <w:fldChar w:fldCharType="end"/>
      </w:r>
    </w:p>
    <w:p w14:paraId="5D3B342E" w14:textId="77777777" w:rsidR="00FC2644" w:rsidRPr="00A76DD5" w:rsidRDefault="00FC2644" w:rsidP="00A76DD5">
      <w:pPr>
        <w:rPr>
          <w:b/>
          <w:bCs/>
        </w:rPr>
      </w:pPr>
      <w:r w:rsidRPr="00A76DD5">
        <w:rPr>
          <w:b/>
          <w:bCs/>
        </w:rPr>
        <w:t>Boxes</w:t>
      </w:r>
    </w:p>
    <w:p w14:paraId="4FC3B468" w14:textId="521AB63D" w:rsidR="00737D87" w:rsidRDefault="00FC2644">
      <w:pPr>
        <w:pStyle w:val="TableofFigures"/>
        <w:tabs>
          <w:tab w:val="right" w:leader="dot" w:pos="9016"/>
        </w:tabs>
        <w:rPr>
          <w:noProof/>
          <w:kern w:val="2"/>
          <w:lang w:val="en-PH" w:eastAsia="en-US"/>
          <w14:ligatures w14:val="standardContextual"/>
        </w:rPr>
      </w:pPr>
      <w:r w:rsidRPr="00E55159">
        <w:fldChar w:fldCharType="begin"/>
      </w:r>
      <w:r w:rsidRPr="00E55159">
        <w:instrText xml:space="preserve"> TOC \h \z \c "Box" </w:instrText>
      </w:r>
      <w:r w:rsidRPr="00E55159">
        <w:fldChar w:fldCharType="separate"/>
      </w:r>
      <w:hyperlink w:anchor="_Toc139902359" w:history="1">
        <w:r w:rsidR="00737D87" w:rsidRPr="00C5195C">
          <w:rPr>
            <w:rStyle w:val="Hyperlink"/>
            <w:noProof/>
          </w:rPr>
          <w:t>Box 1: The Asian Development Bank Multiregional Input–Output Database</w:t>
        </w:r>
        <w:r w:rsidR="00737D87">
          <w:rPr>
            <w:noProof/>
            <w:webHidden/>
          </w:rPr>
          <w:tab/>
        </w:r>
        <w:r w:rsidR="00737D87">
          <w:rPr>
            <w:noProof/>
            <w:webHidden/>
          </w:rPr>
          <w:fldChar w:fldCharType="begin"/>
        </w:r>
        <w:r w:rsidR="00737D87">
          <w:rPr>
            <w:noProof/>
            <w:webHidden/>
          </w:rPr>
          <w:instrText xml:space="preserve"> PAGEREF _Toc139902359 \h </w:instrText>
        </w:r>
        <w:r w:rsidR="00737D87">
          <w:rPr>
            <w:noProof/>
            <w:webHidden/>
          </w:rPr>
        </w:r>
        <w:r w:rsidR="00737D87">
          <w:rPr>
            <w:noProof/>
            <w:webHidden/>
          </w:rPr>
          <w:fldChar w:fldCharType="separate"/>
        </w:r>
        <w:r w:rsidR="00737D87">
          <w:rPr>
            <w:noProof/>
            <w:webHidden/>
          </w:rPr>
          <w:t>13</w:t>
        </w:r>
        <w:r w:rsidR="00737D87">
          <w:rPr>
            <w:noProof/>
            <w:webHidden/>
          </w:rPr>
          <w:fldChar w:fldCharType="end"/>
        </w:r>
      </w:hyperlink>
    </w:p>
    <w:p w14:paraId="21ECDCC4" w14:textId="2D7E042A" w:rsidR="00737D87" w:rsidRDefault="00000000">
      <w:pPr>
        <w:pStyle w:val="TableofFigures"/>
        <w:tabs>
          <w:tab w:val="right" w:leader="dot" w:pos="9016"/>
        </w:tabs>
        <w:rPr>
          <w:noProof/>
          <w:kern w:val="2"/>
          <w:lang w:val="en-PH" w:eastAsia="en-US"/>
          <w14:ligatures w14:val="standardContextual"/>
        </w:rPr>
      </w:pPr>
      <w:hyperlink w:anchor="_Toc139902360" w:history="1">
        <w:r w:rsidR="00737D87" w:rsidRPr="00C5195C">
          <w:rPr>
            <w:rStyle w:val="Hyperlink"/>
            <w:noProof/>
          </w:rPr>
          <w:t>Box 2: Resource Curse</w:t>
        </w:r>
        <w:r w:rsidR="00737D87">
          <w:rPr>
            <w:noProof/>
            <w:webHidden/>
          </w:rPr>
          <w:tab/>
        </w:r>
        <w:r w:rsidR="00737D87">
          <w:rPr>
            <w:noProof/>
            <w:webHidden/>
          </w:rPr>
          <w:fldChar w:fldCharType="begin"/>
        </w:r>
        <w:r w:rsidR="00737D87">
          <w:rPr>
            <w:noProof/>
            <w:webHidden/>
          </w:rPr>
          <w:instrText xml:space="preserve"> PAGEREF _Toc139902360 \h </w:instrText>
        </w:r>
        <w:r w:rsidR="00737D87">
          <w:rPr>
            <w:noProof/>
            <w:webHidden/>
          </w:rPr>
        </w:r>
        <w:r w:rsidR="00737D87">
          <w:rPr>
            <w:noProof/>
            <w:webHidden/>
          </w:rPr>
          <w:fldChar w:fldCharType="separate"/>
        </w:r>
        <w:r w:rsidR="00737D87">
          <w:rPr>
            <w:noProof/>
            <w:webHidden/>
          </w:rPr>
          <w:t>18</w:t>
        </w:r>
        <w:r w:rsidR="00737D87">
          <w:rPr>
            <w:noProof/>
            <w:webHidden/>
          </w:rPr>
          <w:fldChar w:fldCharType="end"/>
        </w:r>
      </w:hyperlink>
    </w:p>
    <w:p w14:paraId="16DDFCA9" w14:textId="6C02F1DC" w:rsidR="00737D87" w:rsidRDefault="00000000">
      <w:pPr>
        <w:pStyle w:val="TableofFigures"/>
        <w:tabs>
          <w:tab w:val="right" w:leader="dot" w:pos="9016"/>
        </w:tabs>
        <w:rPr>
          <w:noProof/>
          <w:kern w:val="2"/>
          <w:lang w:val="en-PH" w:eastAsia="en-US"/>
          <w14:ligatures w14:val="standardContextual"/>
        </w:rPr>
      </w:pPr>
      <w:hyperlink w:anchor="_Toc139902361" w:history="1">
        <w:r w:rsidR="00737D87" w:rsidRPr="00C5195C">
          <w:rPr>
            <w:rStyle w:val="Hyperlink"/>
            <w:noProof/>
          </w:rPr>
          <w:t>Box 3: Export Diversification</w:t>
        </w:r>
        <w:r w:rsidR="00737D87">
          <w:rPr>
            <w:noProof/>
            <w:webHidden/>
          </w:rPr>
          <w:tab/>
        </w:r>
        <w:r w:rsidR="00737D87">
          <w:rPr>
            <w:noProof/>
            <w:webHidden/>
          </w:rPr>
          <w:fldChar w:fldCharType="begin"/>
        </w:r>
        <w:r w:rsidR="00737D87">
          <w:rPr>
            <w:noProof/>
            <w:webHidden/>
          </w:rPr>
          <w:instrText xml:space="preserve"> PAGEREF _Toc139902361 \h </w:instrText>
        </w:r>
        <w:r w:rsidR="00737D87">
          <w:rPr>
            <w:noProof/>
            <w:webHidden/>
          </w:rPr>
        </w:r>
        <w:r w:rsidR="00737D87">
          <w:rPr>
            <w:noProof/>
            <w:webHidden/>
          </w:rPr>
          <w:fldChar w:fldCharType="separate"/>
        </w:r>
        <w:r w:rsidR="00737D87">
          <w:rPr>
            <w:noProof/>
            <w:webHidden/>
          </w:rPr>
          <w:t>23</w:t>
        </w:r>
        <w:r w:rsidR="00737D87">
          <w:rPr>
            <w:noProof/>
            <w:webHidden/>
          </w:rPr>
          <w:fldChar w:fldCharType="end"/>
        </w:r>
      </w:hyperlink>
    </w:p>
    <w:p w14:paraId="5D328E60" w14:textId="1A501E9B" w:rsidR="00737D87" w:rsidRDefault="00000000">
      <w:pPr>
        <w:pStyle w:val="TableofFigures"/>
        <w:tabs>
          <w:tab w:val="right" w:leader="dot" w:pos="9016"/>
        </w:tabs>
        <w:rPr>
          <w:noProof/>
          <w:kern w:val="2"/>
          <w:lang w:val="en-PH" w:eastAsia="en-US"/>
          <w14:ligatures w14:val="standardContextual"/>
        </w:rPr>
      </w:pPr>
      <w:hyperlink w:anchor="_Toc139902362" w:history="1">
        <w:r w:rsidR="00737D87" w:rsidRPr="00C5195C">
          <w:rPr>
            <w:rStyle w:val="Hyperlink"/>
            <w:noProof/>
          </w:rPr>
          <w:t>Box 3: Decomposing Exports into Value-Added Categories</w:t>
        </w:r>
        <w:r w:rsidR="00737D87">
          <w:rPr>
            <w:noProof/>
            <w:webHidden/>
          </w:rPr>
          <w:tab/>
        </w:r>
        <w:r w:rsidR="00737D87">
          <w:rPr>
            <w:noProof/>
            <w:webHidden/>
          </w:rPr>
          <w:fldChar w:fldCharType="begin"/>
        </w:r>
        <w:r w:rsidR="00737D87">
          <w:rPr>
            <w:noProof/>
            <w:webHidden/>
          </w:rPr>
          <w:instrText xml:space="preserve"> PAGEREF _Toc139902362 \h </w:instrText>
        </w:r>
        <w:r w:rsidR="00737D87">
          <w:rPr>
            <w:noProof/>
            <w:webHidden/>
          </w:rPr>
        </w:r>
        <w:r w:rsidR="00737D87">
          <w:rPr>
            <w:noProof/>
            <w:webHidden/>
          </w:rPr>
          <w:fldChar w:fldCharType="separate"/>
        </w:r>
        <w:r w:rsidR="00737D87">
          <w:rPr>
            <w:noProof/>
            <w:webHidden/>
          </w:rPr>
          <w:t>26</w:t>
        </w:r>
        <w:r w:rsidR="00737D87">
          <w:rPr>
            <w:noProof/>
            <w:webHidden/>
          </w:rPr>
          <w:fldChar w:fldCharType="end"/>
        </w:r>
      </w:hyperlink>
    </w:p>
    <w:p w14:paraId="778CCE71" w14:textId="1AD4006D" w:rsidR="00737D87" w:rsidRDefault="00000000">
      <w:pPr>
        <w:pStyle w:val="TableofFigures"/>
        <w:tabs>
          <w:tab w:val="right" w:leader="dot" w:pos="9016"/>
        </w:tabs>
        <w:rPr>
          <w:noProof/>
          <w:kern w:val="2"/>
          <w:lang w:val="en-PH" w:eastAsia="en-US"/>
          <w14:ligatures w14:val="standardContextual"/>
        </w:rPr>
      </w:pPr>
      <w:hyperlink w:anchor="_Toc139902363" w:history="1">
        <w:r w:rsidR="00737D87" w:rsidRPr="00C5195C">
          <w:rPr>
            <w:rStyle w:val="Hyperlink"/>
            <w:noProof/>
          </w:rPr>
          <w:t>Box 4: Measuring Average Production Lengths</w:t>
        </w:r>
        <w:r w:rsidR="00737D87">
          <w:rPr>
            <w:noProof/>
            <w:webHidden/>
          </w:rPr>
          <w:tab/>
        </w:r>
        <w:r w:rsidR="00737D87">
          <w:rPr>
            <w:noProof/>
            <w:webHidden/>
          </w:rPr>
          <w:fldChar w:fldCharType="begin"/>
        </w:r>
        <w:r w:rsidR="00737D87">
          <w:rPr>
            <w:noProof/>
            <w:webHidden/>
          </w:rPr>
          <w:instrText xml:space="preserve"> PAGEREF _Toc139902363 \h </w:instrText>
        </w:r>
        <w:r w:rsidR="00737D87">
          <w:rPr>
            <w:noProof/>
            <w:webHidden/>
          </w:rPr>
        </w:r>
        <w:r w:rsidR="00737D87">
          <w:rPr>
            <w:noProof/>
            <w:webHidden/>
          </w:rPr>
          <w:fldChar w:fldCharType="separate"/>
        </w:r>
        <w:r w:rsidR="00737D87">
          <w:rPr>
            <w:noProof/>
            <w:webHidden/>
          </w:rPr>
          <w:t>32</w:t>
        </w:r>
        <w:r w:rsidR="00737D87">
          <w:rPr>
            <w:noProof/>
            <w:webHidden/>
          </w:rPr>
          <w:fldChar w:fldCharType="end"/>
        </w:r>
      </w:hyperlink>
    </w:p>
    <w:p w14:paraId="6FD8AF85" w14:textId="45985787" w:rsidR="00737D87" w:rsidRDefault="00000000">
      <w:pPr>
        <w:pStyle w:val="TableofFigures"/>
        <w:tabs>
          <w:tab w:val="right" w:leader="dot" w:pos="9016"/>
        </w:tabs>
        <w:rPr>
          <w:noProof/>
          <w:kern w:val="2"/>
          <w:lang w:val="en-PH" w:eastAsia="en-US"/>
          <w14:ligatures w14:val="standardContextual"/>
        </w:rPr>
      </w:pPr>
      <w:hyperlink w:anchor="_Toc139902364" w:history="1">
        <w:r w:rsidR="00737D87" w:rsidRPr="00C5195C">
          <w:rPr>
            <w:rStyle w:val="Hyperlink"/>
            <w:noProof/>
          </w:rPr>
          <w:t>Box 5: Calculating the Revealed Comparative Advantage Index</w:t>
        </w:r>
        <w:r w:rsidR="00737D87">
          <w:rPr>
            <w:noProof/>
            <w:webHidden/>
          </w:rPr>
          <w:tab/>
        </w:r>
        <w:r w:rsidR="00737D87">
          <w:rPr>
            <w:noProof/>
            <w:webHidden/>
          </w:rPr>
          <w:fldChar w:fldCharType="begin"/>
        </w:r>
        <w:r w:rsidR="00737D87">
          <w:rPr>
            <w:noProof/>
            <w:webHidden/>
          </w:rPr>
          <w:instrText xml:space="preserve"> PAGEREF _Toc139902364 \h </w:instrText>
        </w:r>
        <w:r w:rsidR="00737D87">
          <w:rPr>
            <w:noProof/>
            <w:webHidden/>
          </w:rPr>
        </w:r>
        <w:r w:rsidR="00737D87">
          <w:rPr>
            <w:noProof/>
            <w:webHidden/>
          </w:rPr>
          <w:fldChar w:fldCharType="separate"/>
        </w:r>
        <w:r w:rsidR="00737D87">
          <w:rPr>
            <w:noProof/>
            <w:webHidden/>
          </w:rPr>
          <w:t>36</w:t>
        </w:r>
        <w:r w:rsidR="00737D87">
          <w:rPr>
            <w:noProof/>
            <w:webHidden/>
          </w:rPr>
          <w:fldChar w:fldCharType="end"/>
        </w:r>
      </w:hyperlink>
    </w:p>
    <w:p w14:paraId="66D285DD" w14:textId="112E0652" w:rsidR="00737D87" w:rsidRDefault="00000000">
      <w:pPr>
        <w:pStyle w:val="TableofFigures"/>
        <w:tabs>
          <w:tab w:val="right" w:leader="dot" w:pos="9016"/>
        </w:tabs>
        <w:rPr>
          <w:noProof/>
          <w:kern w:val="2"/>
          <w:lang w:val="en-PH" w:eastAsia="en-US"/>
          <w14:ligatures w14:val="standardContextual"/>
        </w:rPr>
      </w:pPr>
      <w:hyperlink w:anchor="_Toc139902365" w:history="1">
        <w:r w:rsidR="00737D87" w:rsidRPr="00C5195C">
          <w:rPr>
            <w:rStyle w:val="Hyperlink"/>
            <w:noProof/>
          </w:rPr>
          <w:t>Box 6: Calculating the Real Effective Exchange Rate Index</w:t>
        </w:r>
        <w:r w:rsidR="00737D87">
          <w:rPr>
            <w:noProof/>
            <w:webHidden/>
          </w:rPr>
          <w:tab/>
        </w:r>
        <w:r w:rsidR="00737D87">
          <w:rPr>
            <w:noProof/>
            <w:webHidden/>
          </w:rPr>
          <w:fldChar w:fldCharType="begin"/>
        </w:r>
        <w:r w:rsidR="00737D87">
          <w:rPr>
            <w:noProof/>
            <w:webHidden/>
          </w:rPr>
          <w:instrText xml:space="preserve"> PAGEREF _Toc139902365 \h </w:instrText>
        </w:r>
        <w:r w:rsidR="00737D87">
          <w:rPr>
            <w:noProof/>
            <w:webHidden/>
          </w:rPr>
        </w:r>
        <w:r w:rsidR="00737D87">
          <w:rPr>
            <w:noProof/>
            <w:webHidden/>
          </w:rPr>
          <w:fldChar w:fldCharType="separate"/>
        </w:r>
        <w:r w:rsidR="00737D87">
          <w:rPr>
            <w:noProof/>
            <w:webHidden/>
          </w:rPr>
          <w:t>40</w:t>
        </w:r>
        <w:r w:rsidR="00737D87">
          <w:rPr>
            <w:noProof/>
            <w:webHidden/>
          </w:rPr>
          <w:fldChar w:fldCharType="end"/>
        </w:r>
      </w:hyperlink>
    </w:p>
    <w:p w14:paraId="35665590" w14:textId="3ABD723A" w:rsidR="00737D87" w:rsidRDefault="00000000">
      <w:pPr>
        <w:pStyle w:val="TableofFigures"/>
        <w:tabs>
          <w:tab w:val="right" w:leader="dot" w:pos="9016"/>
        </w:tabs>
        <w:rPr>
          <w:noProof/>
          <w:kern w:val="2"/>
          <w:lang w:val="en-PH" w:eastAsia="en-US"/>
          <w14:ligatures w14:val="standardContextual"/>
        </w:rPr>
      </w:pPr>
      <w:hyperlink w:anchor="_Toc139902366" w:history="1">
        <w:r w:rsidR="00737D87" w:rsidRPr="00C5195C">
          <w:rPr>
            <w:rStyle w:val="Hyperlink"/>
            <w:noProof/>
          </w:rPr>
          <w:t>Box 7: Calculating the Regional Concentration Index</w:t>
        </w:r>
        <w:r w:rsidR="00737D87">
          <w:rPr>
            <w:noProof/>
            <w:webHidden/>
          </w:rPr>
          <w:tab/>
        </w:r>
        <w:r w:rsidR="00737D87">
          <w:rPr>
            <w:noProof/>
            <w:webHidden/>
          </w:rPr>
          <w:fldChar w:fldCharType="begin"/>
        </w:r>
        <w:r w:rsidR="00737D87">
          <w:rPr>
            <w:noProof/>
            <w:webHidden/>
          </w:rPr>
          <w:instrText xml:space="preserve"> PAGEREF _Toc139902366 \h </w:instrText>
        </w:r>
        <w:r w:rsidR="00737D87">
          <w:rPr>
            <w:noProof/>
            <w:webHidden/>
          </w:rPr>
        </w:r>
        <w:r w:rsidR="00737D87">
          <w:rPr>
            <w:noProof/>
            <w:webHidden/>
          </w:rPr>
          <w:fldChar w:fldCharType="separate"/>
        </w:r>
        <w:r w:rsidR="00737D87">
          <w:rPr>
            <w:noProof/>
            <w:webHidden/>
          </w:rPr>
          <w:t>47</w:t>
        </w:r>
        <w:r w:rsidR="00737D87">
          <w:rPr>
            <w:noProof/>
            <w:webHidden/>
          </w:rPr>
          <w:fldChar w:fldCharType="end"/>
        </w:r>
      </w:hyperlink>
    </w:p>
    <w:p w14:paraId="31ED4CD4" w14:textId="298CCC89" w:rsidR="00737D87" w:rsidRDefault="00000000">
      <w:pPr>
        <w:pStyle w:val="TableofFigures"/>
        <w:tabs>
          <w:tab w:val="right" w:leader="dot" w:pos="9016"/>
        </w:tabs>
        <w:rPr>
          <w:noProof/>
          <w:kern w:val="2"/>
          <w:lang w:val="en-PH" w:eastAsia="en-US"/>
          <w14:ligatures w14:val="standardContextual"/>
        </w:rPr>
      </w:pPr>
      <w:hyperlink w:anchor="_Toc139902367" w:history="1">
        <w:r w:rsidR="00737D87" w:rsidRPr="00C5195C">
          <w:rPr>
            <w:rStyle w:val="Hyperlink"/>
            <w:noProof/>
          </w:rPr>
          <w:t>Box 8: Constructing the Skyline Chart</w:t>
        </w:r>
        <w:r w:rsidR="00737D87">
          <w:rPr>
            <w:noProof/>
            <w:webHidden/>
          </w:rPr>
          <w:tab/>
        </w:r>
        <w:r w:rsidR="00737D87">
          <w:rPr>
            <w:noProof/>
            <w:webHidden/>
          </w:rPr>
          <w:fldChar w:fldCharType="begin"/>
        </w:r>
        <w:r w:rsidR="00737D87">
          <w:rPr>
            <w:noProof/>
            <w:webHidden/>
          </w:rPr>
          <w:instrText xml:space="preserve"> PAGEREF _Toc139902367 \h </w:instrText>
        </w:r>
        <w:r w:rsidR="00737D87">
          <w:rPr>
            <w:noProof/>
            <w:webHidden/>
          </w:rPr>
        </w:r>
        <w:r w:rsidR="00737D87">
          <w:rPr>
            <w:noProof/>
            <w:webHidden/>
          </w:rPr>
          <w:fldChar w:fldCharType="separate"/>
        </w:r>
        <w:r w:rsidR="00737D87">
          <w:rPr>
            <w:noProof/>
            <w:webHidden/>
          </w:rPr>
          <w:t>49</w:t>
        </w:r>
        <w:r w:rsidR="00737D87">
          <w:rPr>
            <w:noProof/>
            <w:webHidden/>
          </w:rPr>
          <w:fldChar w:fldCharType="end"/>
        </w:r>
      </w:hyperlink>
    </w:p>
    <w:p w14:paraId="77A940D9" w14:textId="1B39E9E5" w:rsidR="00737D87" w:rsidRDefault="00000000">
      <w:pPr>
        <w:pStyle w:val="TableofFigures"/>
        <w:tabs>
          <w:tab w:val="right" w:leader="dot" w:pos="9016"/>
        </w:tabs>
        <w:rPr>
          <w:noProof/>
          <w:kern w:val="2"/>
          <w:lang w:val="en-PH" w:eastAsia="en-US"/>
          <w14:ligatures w14:val="standardContextual"/>
        </w:rPr>
      </w:pPr>
      <w:hyperlink w:anchor="_Toc139902368" w:history="1">
        <w:r w:rsidR="00737D87" w:rsidRPr="00C5195C">
          <w:rPr>
            <w:rStyle w:val="Hyperlink"/>
            <w:noProof/>
          </w:rPr>
          <w:t>Box 9: Constructing the Agglomeration Index</w:t>
        </w:r>
        <w:r w:rsidR="00737D87">
          <w:rPr>
            <w:noProof/>
            <w:webHidden/>
          </w:rPr>
          <w:tab/>
        </w:r>
        <w:r w:rsidR="00737D87">
          <w:rPr>
            <w:noProof/>
            <w:webHidden/>
          </w:rPr>
          <w:fldChar w:fldCharType="begin"/>
        </w:r>
        <w:r w:rsidR="00737D87">
          <w:rPr>
            <w:noProof/>
            <w:webHidden/>
          </w:rPr>
          <w:instrText xml:space="preserve"> PAGEREF _Toc139902368 \h </w:instrText>
        </w:r>
        <w:r w:rsidR="00737D87">
          <w:rPr>
            <w:noProof/>
            <w:webHidden/>
          </w:rPr>
        </w:r>
        <w:r w:rsidR="00737D87">
          <w:rPr>
            <w:noProof/>
            <w:webHidden/>
          </w:rPr>
          <w:fldChar w:fldCharType="separate"/>
        </w:r>
        <w:r w:rsidR="00737D87">
          <w:rPr>
            <w:noProof/>
            <w:webHidden/>
          </w:rPr>
          <w:t>52</w:t>
        </w:r>
        <w:r w:rsidR="00737D87">
          <w:rPr>
            <w:noProof/>
            <w:webHidden/>
          </w:rPr>
          <w:fldChar w:fldCharType="end"/>
        </w:r>
      </w:hyperlink>
    </w:p>
    <w:p w14:paraId="3329AAE3" w14:textId="79A6DDD5" w:rsidR="00737D87" w:rsidRDefault="00000000">
      <w:pPr>
        <w:pStyle w:val="TableofFigures"/>
        <w:tabs>
          <w:tab w:val="right" w:leader="dot" w:pos="9016"/>
        </w:tabs>
        <w:rPr>
          <w:noProof/>
          <w:kern w:val="2"/>
          <w:lang w:val="en-PH" w:eastAsia="en-US"/>
          <w14:ligatures w14:val="standardContextual"/>
        </w:rPr>
      </w:pPr>
      <w:hyperlink w:anchor="_Toc139902369" w:history="1">
        <w:r w:rsidR="00737D87" w:rsidRPr="00C5195C">
          <w:rPr>
            <w:rStyle w:val="Hyperlink"/>
            <w:noProof/>
          </w:rPr>
          <w:t>Box 10: Estimating the COVID-19 Shock</w:t>
        </w:r>
        <w:r w:rsidR="00737D87">
          <w:rPr>
            <w:noProof/>
            <w:webHidden/>
          </w:rPr>
          <w:tab/>
        </w:r>
        <w:r w:rsidR="00737D87">
          <w:rPr>
            <w:noProof/>
            <w:webHidden/>
          </w:rPr>
          <w:fldChar w:fldCharType="begin"/>
        </w:r>
        <w:r w:rsidR="00737D87">
          <w:rPr>
            <w:noProof/>
            <w:webHidden/>
          </w:rPr>
          <w:instrText xml:space="preserve"> PAGEREF _Toc139902369 \h </w:instrText>
        </w:r>
        <w:r w:rsidR="00737D87">
          <w:rPr>
            <w:noProof/>
            <w:webHidden/>
          </w:rPr>
        </w:r>
        <w:r w:rsidR="00737D87">
          <w:rPr>
            <w:noProof/>
            <w:webHidden/>
          </w:rPr>
          <w:fldChar w:fldCharType="separate"/>
        </w:r>
        <w:r w:rsidR="00737D87">
          <w:rPr>
            <w:noProof/>
            <w:webHidden/>
          </w:rPr>
          <w:t>56</w:t>
        </w:r>
        <w:r w:rsidR="00737D87">
          <w:rPr>
            <w:noProof/>
            <w:webHidden/>
          </w:rPr>
          <w:fldChar w:fldCharType="end"/>
        </w:r>
      </w:hyperlink>
    </w:p>
    <w:p w14:paraId="608D8913" w14:textId="22D9F101" w:rsidR="00737D87" w:rsidRDefault="00000000">
      <w:pPr>
        <w:pStyle w:val="TableofFigures"/>
        <w:tabs>
          <w:tab w:val="right" w:leader="dot" w:pos="9016"/>
        </w:tabs>
        <w:rPr>
          <w:noProof/>
          <w:kern w:val="2"/>
          <w:lang w:val="en-PH" w:eastAsia="en-US"/>
          <w14:ligatures w14:val="standardContextual"/>
        </w:rPr>
      </w:pPr>
      <w:hyperlink w:anchor="_Toc139902370" w:history="1">
        <w:r w:rsidR="00737D87" w:rsidRPr="00C5195C">
          <w:rPr>
            <w:rStyle w:val="Hyperlink"/>
            <w:noProof/>
          </w:rPr>
          <w:t>Box 11: The COVID-19 Shock under Different Trading Scenarios</w:t>
        </w:r>
        <w:r w:rsidR="00737D87">
          <w:rPr>
            <w:noProof/>
            <w:webHidden/>
          </w:rPr>
          <w:tab/>
        </w:r>
        <w:r w:rsidR="00737D87">
          <w:rPr>
            <w:noProof/>
            <w:webHidden/>
          </w:rPr>
          <w:fldChar w:fldCharType="begin"/>
        </w:r>
        <w:r w:rsidR="00737D87">
          <w:rPr>
            <w:noProof/>
            <w:webHidden/>
          </w:rPr>
          <w:instrText xml:space="preserve"> PAGEREF _Toc139902370 \h </w:instrText>
        </w:r>
        <w:r w:rsidR="00737D87">
          <w:rPr>
            <w:noProof/>
            <w:webHidden/>
          </w:rPr>
        </w:r>
        <w:r w:rsidR="00737D87">
          <w:rPr>
            <w:noProof/>
            <w:webHidden/>
          </w:rPr>
          <w:fldChar w:fldCharType="separate"/>
        </w:r>
        <w:r w:rsidR="00737D87">
          <w:rPr>
            <w:noProof/>
            <w:webHidden/>
          </w:rPr>
          <w:t>58</w:t>
        </w:r>
        <w:r w:rsidR="00737D87">
          <w:rPr>
            <w:noProof/>
            <w:webHidden/>
          </w:rPr>
          <w:fldChar w:fldCharType="end"/>
        </w:r>
      </w:hyperlink>
    </w:p>
    <w:p w14:paraId="4F99EE5A" w14:textId="30D08A1A" w:rsidR="00C2222F" w:rsidRDefault="00FC2644" w:rsidP="00FC2644">
      <w:r w:rsidRPr="00E55159">
        <w:fldChar w:fldCharType="end"/>
      </w:r>
      <w:r w:rsidR="00C2222F">
        <w:br w:type="page"/>
      </w:r>
    </w:p>
    <w:p w14:paraId="0056ED60" w14:textId="77777777" w:rsidR="00AE3193" w:rsidRDefault="00AE3193" w:rsidP="00AE3193">
      <w:pPr>
        <w:pStyle w:val="Heading1"/>
        <w:numPr>
          <w:ilvl w:val="0"/>
          <w:numId w:val="0"/>
        </w:numPr>
      </w:pPr>
      <w:bookmarkStart w:id="1" w:name="_Toc83849782"/>
      <w:r>
        <w:lastRenderedPageBreak/>
        <w:t>Foreword</w:t>
      </w:r>
      <w:bookmarkEnd w:id="1"/>
    </w:p>
    <w:p w14:paraId="3E06BA84" w14:textId="1A31D9DE" w:rsidR="00AE3193" w:rsidRDefault="00D149A9">
      <w:pPr>
        <w:spacing w:after="0" w:line="240" w:lineRule="auto"/>
      </w:pPr>
      <w:r>
        <w:t xml:space="preserve">Joint foreword ERCD and </w:t>
      </w:r>
      <w:proofErr w:type="spellStart"/>
      <w:r>
        <w:t>IsDB</w:t>
      </w:r>
      <w:proofErr w:type="spellEnd"/>
    </w:p>
    <w:p w14:paraId="3C9FFA46" w14:textId="77777777" w:rsidR="00AE3193" w:rsidRDefault="00AE3193">
      <w:pPr>
        <w:spacing w:after="0" w:line="240" w:lineRule="auto"/>
      </w:pPr>
      <w:r>
        <w:br w:type="page"/>
      </w:r>
    </w:p>
    <w:p w14:paraId="3C4297C7" w14:textId="77777777" w:rsidR="002A0707" w:rsidRDefault="002A0707" w:rsidP="002A0707">
      <w:pPr>
        <w:pStyle w:val="Heading1"/>
        <w:numPr>
          <w:ilvl w:val="0"/>
          <w:numId w:val="0"/>
        </w:numPr>
      </w:pPr>
      <w:bookmarkStart w:id="2" w:name="_Toc83849783"/>
      <w:r>
        <w:lastRenderedPageBreak/>
        <w:t>Acknowledgments</w:t>
      </w:r>
      <w:bookmarkEnd w:id="2"/>
    </w:p>
    <w:p w14:paraId="60EDD94E" w14:textId="05C21D78" w:rsidR="00725525" w:rsidRDefault="00B06E19" w:rsidP="00725525">
      <w:r>
        <w:t xml:space="preserve">This report is </w:t>
      </w:r>
      <w:r w:rsidR="00A961DB">
        <w:t>the</w:t>
      </w:r>
      <w:r>
        <w:t xml:space="preserve"> product of an ongoing collaboration between the Asian Development Bank (ADB) and the Islamic Development Bank (</w:t>
      </w:r>
      <w:proofErr w:type="spellStart"/>
      <w:r>
        <w:t>IsDB</w:t>
      </w:r>
      <w:proofErr w:type="spellEnd"/>
      <w:r>
        <w:t xml:space="preserve">) in providing knowledge solutions to key socioeconomic issues. It was written by Kenneth Anthony Luigi Reyes under the direction of </w:t>
      </w:r>
      <w:proofErr w:type="spellStart"/>
      <w:r w:rsidRPr="00750E2D">
        <w:t>Mahinthan</w:t>
      </w:r>
      <w:proofErr w:type="spellEnd"/>
      <w:r w:rsidRPr="00750E2D">
        <w:t xml:space="preserve"> Joseph </w:t>
      </w:r>
      <w:proofErr w:type="spellStart"/>
      <w:r w:rsidRPr="00750E2D">
        <w:t>Mariasingham</w:t>
      </w:r>
      <w:proofErr w:type="spellEnd"/>
      <w:r>
        <w:t xml:space="preserve">, with inputs from </w:t>
      </w:r>
      <w:r w:rsidR="00737D87" w:rsidRPr="00737D87">
        <w:rPr>
          <w:color w:val="FF0000"/>
        </w:rPr>
        <w:t>[...]</w:t>
      </w:r>
      <w:r w:rsidR="00725525">
        <w:t xml:space="preserve">. The participation of </w:t>
      </w:r>
      <w:r w:rsidR="00737D87" w:rsidRPr="00737D87">
        <w:rPr>
          <w:color w:val="FF0000"/>
        </w:rPr>
        <w:t>[...]</w:t>
      </w:r>
      <w:r w:rsidR="00725525">
        <w:t xml:space="preserve"> from </w:t>
      </w:r>
      <w:proofErr w:type="spellStart"/>
      <w:r w:rsidR="00725525">
        <w:t>IsDB</w:t>
      </w:r>
      <w:proofErr w:type="spellEnd"/>
      <w:r w:rsidR="00725525">
        <w:t xml:space="preserve"> is also acknowledged.</w:t>
      </w:r>
    </w:p>
    <w:p w14:paraId="6B0634AE" w14:textId="4EBF0299" w:rsidR="00725525" w:rsidRDefault="00725525" w:rsidP="00B06E19">
      <w:r w:rsidRPr="00725525">
        <w:t>Many of the indicators featured here were computed using the ADB Multi</w:t>
      </w:r>
      <w:r w:rsidR="00737D87">
        <w:t>-R</w:t>
      </w:r>
      <w:r w:rsidRPr="00725525">
        <w:t>egional Input–Output Database, a resource maintained by a</w:t>
      </w:r>
      <w:r>
        <w:t>n ADB</w:t>
      </w:r>
      <w:r w:rsidRPr="00725525">
        <w:t xml:space="preserve"> team </w:t>
      </w:r>
      <w:r>
        <w:t xml:space="preserve">led by </w:t>
      </w:r>
      <w:proofErr w:type="spellStart"/>
      <w:r w:rsidRPr="00750E2D">
        <w:t>Mahinthan</w:t>
      </w:r>
      <w:proofErr w:type="spellEnd"/>
      <w:r w:rsidRPr="00750E2D">
        <w:t xml:space="preserve"> Joseph </w:t>
      </w:r>
      <w:proofErr w:type="spellStart"/>
      <w:r w:rsidRPr="00750E2D">
        <w:t>Mariasingham</w:t>
      </w:r>
      <w:proofErr w:type="spellEnd"/>
      <w:r w:rsidRPr="00725525">
        <w:t xml:space="preserve"> </w:t>
      </w:r>
      <w:r>
        <w:t xml:space="preserve">and </w:t>
      </w:r>
      <w:r w:rsidRPr="00725525">
        <w:t xml:space="preserve">comprising </w:t>
      </w:r>
      <w:r w:rsidRPr="00596D31">
        <w:rPr>
          <w:color w:val="FF0000"/>
        </w:rPr>
        <w:t xml:space="preserve">John Arvin Bernabe, Julieta Magallanes, Sarah Mae Manuel, and Ana Francesca Rosales. </w:t>
      </w:r>
      <w:r>
        <w:t>A</w:t>
      </w:r>
      <w:r w:rsidRPr="00725525">
        <w:t xml:space="preserve">dditional assistance </w:t>
      </w:r>
      <w:r>
        <w:t xml:space="preserve">was provided by </w:t>
      </w:r>
      <w:r w:rsidR="00596D31" w:rsidRPr="00596D31">
        <w:rPr>
          <w:color w:val="FF0000"/>
        </w:rPr>
        <w:t>[...]</w:t>
      </w:r>
      <w:r w:rsidRPr="00725525">
        <w:t>.</w:t>
      </w:r>
    </w:p>
    <w:p w14:paraId="7F9F86D4" w14:textId="14F3E0DD" w:rsidR="00B06E19" w:rsidRDefault="00B06E19" w:rsidP="00B06E19">
      <w:r w:rsidRPr="00596D31">
        <w:rPr>
          <w:color w:val="FF0000"/>
        </w:rPr>
        <w:t>XX</w:t>
      </w:r>
      <w:r w:rsidRPr="00416016">
        <w:t xml:space="preserve"> edited the publication. The cover was designed by </w:t>
      </w:r>
      <w:r w:rsidRPr="00596D31">
        <w:rPr>
          <w:color w:val="FF0000"/>
        </w:rPr>
        <w:t xml:space="preserve">XX </w:t>
      </w:r>
      <w:r w:rsidRPr="00416016">
        <w:t xml:space="preserve">and </w:t>
      </w:r>
      <w:r w:rsidRPr="00596D31">
        <w:rPr>
          <w:color w:val="FF0000"/>
        </w:rPr>
        <w:t xml:space="preserve">XX </w:t>
      </w:r>
      <w:r w:rsidRPr="00416016">
        <w:t xml:space="preserve">led the typesetting process. Eric </w:t>
      </w:r>
      <w:proofErr w:type="spellStart"/>
      <w:r w:rsidRPr="00416016">
        <w:t>Suan</w:t>
      </w:r>
      <w:proofErr w:type="spellEnd"/>
      <w:r w:rsidRPr="00416016">
        <w:t xml:space="preserve"> organized and coordinated the preparation of this report. The publishing team in ADB’s Department of Communications and Office of Administrative Services Logistics Management Unit (Printing) provided general guidance on production issues. </w:t>
      </w:r>
    </w:p>
    <w:p w14:paraId="2622B7FD" w14:textId="7DB2437F" w:rsidR="002A0707" w:rsidRDefault="002A0707">
      <w:pPr>
        <w:spacing w:after="0" w:line="240" w:lineRule="auto"/>
        <w:rPr>
          <w:rFonts w:asciiTheme="majorHAnsi" w:eastAsiaTheme="majorEastAsia" w:hAnsiTheme="majorHAnsi" w:cstheme="majorBidi"/>
          <w:color w:val="2F5496" w:themeColor="accent1" w:themeShade="BF"/>
          <w:sz w:val="32"/>
          <w:szCs w:val="32"/>
        </w:rPr>
      </w:pPr>
      <w:r>
        <w:br w:type="page"/>
      </w:r>
    </w:p>
    <w:p w14:paraId="2A762313" w14:textId="4271E31D" w:rsidR="00AE3193" w:rsidRDefault="00AE3193" w:rsidP="00AE3193">
      <w:pPr>
        <w:pStyle w:val="Heading1"/>
        <w:numPr>
          <w:ilvl w:val="0"/>
          <w:numId w:val="0"/>
        </w:numPr>
      </w:pPr>
      <w:bookmarkStart w:id="3" w:name="_Toc83849784"/>
      <w:r>
        <w:lastRenderedPageBreak/>
        <w:t>Abbreviations</w:t>
      </w:r>
      <w:bookmarkEnd w:id="3"/>
    </w:p>
    <w:p w14:paraId="0E61767F" w14:textId="2101D23A" w:rsidR="007410F7" w:rsidRDefault="007410F7" w:rsidP="00B35659">
      <w:pPr>
        <w:tabs>
          <w:tab w:val="left" w:pos="1418"/>
        </w:tabs>
        <w:spacing w:after="0" w:line="240" w:lineRule="auto"/>
      </w:pPr>
      <w:r>
        <w:t>ADB</w:t>
      </w:r>
      <w:r w:rsidR="00693B11">
        <w:tab/>
        <w:t>Asian Development Bank</w:t>
      </w:r>
    </w:p>
    <w:p w14:paraId="43F797FF" w14:textId="212C6B0A" w:rsidR="009B00FD" w:rsidRDefault="009B00FD" w:rsidP="00B35659">
      <w:pPr>
        <w:tabs>
          <w:tab w:val="left" w:pos="1418"/>
        </w:tabs>
        <w:spacing w:after="0" w:line="240" w:lineRule="auto"/>
      </w:pPr>
      <w:r>
        <w:t>ASEAN</w:t>
      </w:r>
      <w:r w:rsidR="00693B11">
        <w:tab/>
        <w:t>Association of Southeast Asian Nations</w:t>
      </w:r>
    </w:p>
    <w:p w14:paraId="1DA3C185" w14:textId="1C9C95ED" w:rsidR="00120274" w:rsidRDefault="00120274" w:rsidP="00B35659">
      <w:pPr>
        <w:tabs>
          <w:tab w:val="left" w:pos="1418"/>
        </w:tabs>
        <w:spacing w:after="0" w:line="240" w:lineRule="auto"/>
      </w:pPr>
      <w:r w:rsidRPr="00120274">
        <w:t>COVID-19</w:t>
      </w:r>
      <w:r w:rsidR="00693B11">
        <w:tab/>
      </w:r>
      <w:r w:rsidR="00CB2528">
        <w:t>C</w:t>
      </w:r>
      <w:r w:rsidR="00693B11">
        <w:t>oronavirus disease 2019</w:t>
      </w:r>
    </w:p>
    <w:p w14:paraId="5F72B5F1" w14:textId="39540C9F" w:rsidR="007410F7" w:rsidRDefault="007410F7" w:rsidP="00B35659">
      <w:pPr>
        <w:tabs>
          <w:tab w:val="left" w:pos="1418"/>
        </w:tabs>
        <w:spacing w:after="0" w:line="240" w:lineRule="auto"/>
      </w:pPr>
      <w:r>
        <w:t>DAVAX</w:t>
      </w:r>
      <w:r w:rsidR="00693B11">
        <w:tab/>
        <w:t>Directly absorbed value-added exports</w:t>
      </w:r>
    </w:p>
    <w:p w14:paraId="38CD251A" w14:textId="19985BAF" w:rsidR="007410F7" w:rsidRDefault="007410F7" w:rsidP="00B35659">
      <w:pPr>
        <w:tabs>
          <w:tab w:val="left" w:pos="1418"/>
        </w:tabs>
        <w:spacing w:after="0" w:line="240" w:lineRule="auto"/>
      </w:pPr>
      <w:r>
        <w:t>DVA</w:t>
      </w:r>
      <w:r w:rsidR="00693B11">
        <w:tab/>
        <w:t>Domestic value added</w:t>
      </w:r>
    </w:p>
    <w:p w14:paraId="63818AB7" w14:textId="41E0A7D1" w:rsidR="007410F7" w:rsidRDefault="007410F7" w:rsidP="00B35659">
      <w:pPr>
        <w:tabs>
          <w:tab w:val="left" w:pos="1418"/>
        </w:tabs>
        <w:spacing w:after="0" w:line="240" w:lineRule="auto"/>
      </w:pPr>
      <w:r>
        <w:t>FVA</w:t>
      </w:r>
      <w:r w:rsidR="00693B11">
        <w:tab/>
        <w:t>Foreign value added</w:t>
      </w:r>
    </w:p>
    <w:p w14:paraId="28B74C33" w14:textId="60688C96" w:rsidR="007410F7" w:rsidRDefault="007410F7" w:rsidP="00B35659">
      <w:pPr>
        <w:tabs>
          <w:tab w:val="left" w:pos="1418"/>
        </w:tabs>
        <w:spacing w:after="0" w:line="240" w:lineRule="auto"/>
      </w:pPr>
      <w:r>
        <w:t>GDP</w:t>
      </w:r>
      <w:r w:rsidR="00693B11">
        <w:tab/>
        <w:t>Gross domestic product</w:t>
      </w:r>
    </w:p>
    <w:p w14:paraId="6BD02141" w14:textId="470652D2" w:rsidR="007410F7" w:rsidRDefault="007410F7" w:rsidP="00B35659">
      <w:pPr>
        <w:tabs>
          <w:tab w:val="left" w:pos="1418"/>
        </w:tabs>
        <w:spacing w:after="0" w:line="240" w:lineRule="auto"/>
      </w:pPr>
      <w:r>
        <w:t>GVC</w:t>
      </w:r>
      <w:r w:rsidR="00693B11">
        <w:tab/>
        <w:t>Global value chain</w:t>
      </w:r>
    </w:p>
    <w:p w14:paraId="6845E5DB" w14:textId="70221150" w:rsidR="00120274" w:rsidRDefault="00120274" w:rsidP="00B35659">
      <w:pPr>
        <w:tabs>
          <w:tab w:val="left" w:pos="1418"/>
        </w:tabs>
        <w:spacing w:after="0" w:line="240" w:lineRule="auto"/>
      </w:pPr>
      <w:r>
        <w:t>GVCP</w:t>
      </w:r>
      <w:r w:rsidR="00693B11">
        <w:tab/>
        <w:t>GVC participation rate</w:t>
      </w:r>
    </w:p>
    <w:p w14:paraId="3F6A6DCE" w14:textId="6F975140" w:rsidR="00120274" w:rsidRDefault="00120274" w:rsidP="00B35659">
      <w:pPr>
        <w:tabs>
          <w:tab w:val="left" w:pos="1418"/>
        </w:tabs>
        <w:spacing w:after="0" w:line="240" w:lineRule="auto"/>
      </w:pPr>
      <w:r>
        <w:t>HHI</w:t>
      </w:r>
      <w:r w:rsidR="00693B11">
        <w:tab/>
      </w:r>
      <w:r w:rsidR="00693B11" w:rsidRPr="00693B11">
        <w:t>Herfindahl-Hirschman Index</w:t>
      </w:r>
    </w:p>
    <w:p w14:paraId="29FD080F" w14:textId="4A18B605" w:rsidR="00120274" w:rsidRDefault="00120274" w:rsidP="00B35659">
      <w:pPr>
        <w:tabs>
          <w:tab w:val="left" w:pos="1418"/>
        </w:tabs>
        <w:spacing w:after="0" w:line="240" w:lineRule="auto"/>
      </w:pPr>
      <w:r>
        <w:t>HS</w:t>
      </w:r>
      <w:r w:rsidR="00693B11">
        <w:tab/>
        <w:t>Harmonized system</w:t>
      </w:r>
    </w:p>
    <w:p w14:paraId="22BB0DB2" w14:textId="2A444362" w:rsidR="007410F7" w:rsidRDefault="007410F7" w:rsidP="00B35659">
      <w:pPr>
        <w:tabs>
          <w:tab w:val="left" w:pos="1418"/>
        </w:tabs>
        <w:spacing w:after="0" w:line="240" w:lineRule="auto"/>
      </w:pPr>
      <w:r>
        <w:t>IMF</w:t>
      </w:r>
      <w:r w:rsidR="00693B11">
        <w:tab/>
        <w:t>International Monetary Fund</w:t>
      </w:r>
    </w:p>
    <w:p w14:paraId="426E25F3" w14:textId="38E2822C" w:rsidR="007410F7" w:rsidRDefault="007410F7" w:rsidP="00B35659">
      <w:pPr>
        <w:tabs>
          <w:tab w:val="left" w:pos="1418"/>
        </w:tabs>
        <w:spacing w:after="0" w:line="240" w:lineRule="auto"/>
      </w:pPr>
      <w:proofErr w:type="spellStart"/>
      <w:r>
        <w:t>IsDB</w:t>
      </w:r>
      <w:proofErr w:type="spellEnd"/>
      <w:r w:rsidR="00693B11">
        <w:tab/>
        <w:t>Islamic Development Bank</w:t>
      </w:r>
    </w:p>
    <w:p w14:paraId="67F8CD18" w14:textId="09EF8D71" w:rsidR="00120274" w:rsidRDefault="00120274" w:rsidP="00B35659">
      <w:pPr>
        <w:tabs>
          <w:tab w:val="left" w:pos="1418"/>
        </w:tabs>
        <w:spacing w:after="0" w:line="240" w:lineRule="auto"/>
      </w:pPr>
      <w:r>
        <w:t>METI</w:t>
      </w:r>
      <w:r>
        <w:tab/>
        <w:t xml:space="preserve">Japan Ministry of Economy, Trade and Industry </w:t>
      </w:r>
    </w:p>
    <w:p w14:paraId="4611D83B" w14:textId="246BF268" w:rsidR="004A6FCB" w:rsidRDefault="004A6FCB" w:rsidP="00B35659">
      <w:pPr>
        <w:tabs>
          <w:tab w:val="left" w:pos="1418"/>
        </w:tabs>
        <w:spacing w:after="0" w:line="240" w:lineRule="auto"/>
      </w:pPr>
      <w:r>
        <w:t>MRIO</w:t>
      </w:r>
      <w:r>
        <w:tab/>
        <w:t>Multiregional Input–Output</w:t>
      </w:r>
    </w:p>
    <w:p w14:paraId="34D8E5DC" w14:textId="05BC0503" w:rsidR="00120274" w:rsidRDefault="00120274" w:rsidP="00B35659">
      <w:pPr>
        <w:tabs>
          <w:tab w:val="left" w:pos="1418"/>
        </w:tabs>
        <w:spacing w:after="0" w:line="240" w:lineRule="auto"/>
      </w:pPr>
      <w:r>
        <w:t>NAFTA</w:t>
      </w:r>
      <w:r w:rsidR="00693B11">
        <w:tab/>
        <w:t>North American Free Trade Agreement</w:t>
      </w:r>
    </w:p>
    <w:p w14:paraId="53620C23" w14:textId="13833852" w:rsidR="00120274" w:rsidRDefault="00120274" w:rsidP="00B35659">
      <w:pPr>
        <w:tabs>
          <w:tab w:val="left" w:pos="1418"/>
        </w:tabs>
        <w:spacing w:after="0" w:line="240" w:lineRule="auto"/>
      </w:pPr>
      <w:r>
        <w:t>PDC</w:t>
      </w:r>
      <w:r w:rsidR="00693B11">
        <w:tab/>
        <w:t>Pure double-counting</w:t>
      </w:r>
    </w:p>
    <w:p w14:paraId="14DB98B3" w14:textId="5F27506C" w:rsidR="00120274" w:rsidRDefault="00120274" w:rsidP="00B35659">
      <w:pPr>
        <w:tabs>
          <w:tab w:val="left" w:pos="1418"/>
        </w:tabs>
        <w:spacing w:after="0" w:line="240" w:lineRule="auto"/>
      </w:pPr>
      <w:r>
        <w:t>PRC</w:t>
      </w:r>
      <w:r w:rsidR="00693B11">
        <w:tab/>
        <w:t>People’s Republic of China</w:t>
      </w:r>
    </w:p>
    <w:p w14:paraId="6791A9D8" w14:textId="01F636D2" w:rsidR="00120274" w:rsidRDefault="00120274" w:rsidP="00B35659">
      <w:pPr>
        <w:tabs>
          <w:tab w:val="left" w:pos="1418"/>
        </w:tabs>
        <w:spacing w:after="0" w:line="240" w:lineRule="auto"/>
      </w:pPr>
      <w:r>
        <w:t>RCA</w:t>
      </w:r>
      <w:r w:rsidR="00693B11">
        <w:tab/>
        <w:t>Revealed comparative advantage</w:t>
      </w:r>
    </w:p>
    <w:p w14:paraId="69800EAD" w14:textId="19CCB5AC" w:rsidR="00120274" w:rsidRDefault="00120274" w:rsidP="00B35659">
      <w:pPr>
        <w:tabs>
          <w:tab w:val="left" w:pos="1418"/>
        </w:tabs>
        <w:spacing w:after="0" w:line="240" w:lineRule="auto"/>
      </w:pPr>
      <w:r>
        <w:t>RCI</w:t>
      </w:r>
      <w:r w:rsidR="00693B11">
        <w:tab/>
        <w:t>Regional concentration index</w:t>
      </w:r>
    </w:p>
    <w:p w14:paraId="70BFFC9A" w14:textId="29C498E8" w:rsidR="00120274" w:rsidRDefault="00120274" w:rsidP="00B35659">
      <w:pPr>
        <w:tabs>
          <w:tab w:val="left" w:pos="1418"/>
        </w:tabs>
        <w:spacing w:after="0" w:line="240" w:lineRule="auto"/>
      </w:pPr>
      <w:r>
        <w:t>REER</w:t>
      </w:r>
      <w:r w:rsidR="00693B11">
        <w:tab/>
        <w:t>Real effective exchange rate</w:t>
      </w:r>
    </w:p>
    <w:p w14:paraId="3EDD5916" w14:textId="382EC2C7" w:rsidR="00120274" w:rsidRDefault="00120274" w:rsidP="00B35659">
      <w:pPr>
        <w:tabs>
          <w:tab w:val="left" w:pos="1418"/>
        </w:tabs>
        <w:spacing w:after="0" w:line="240" w:lineRule="auto"/>
      </w:pPr>
      <w:r>
        <w:t>REF</w:t>
      </w:r>
      <w:r w:rsidR="00693B11">
        <w:tab/>
        <w:t>Reflection</w:t>
      </w:r>
    </w:p>
    <w:p w14:paraId="4CAF74FD" w14:textId="295D768C" w:rsidR="00120274" w:rsidRDefault="00120274" w:rsidP="00B35659">
      <w:pPr>
        <w:tabs>
          <w:tab w:val="left" w:pos="1418"/>
        </w:tabs>
        <w:spacing w:after="0" w:line="240" w:lineRule="auto"/>
      </w:pPr>
      <w:r>
        <w:t>REX</w:t>
      </w:r>
      <w:r w:rsidR="00693B11">
        <w:tab/>
        <w:t>Reexports</w:t>
      </w:r>
    </w:p>
    <w:p w14:paraId="25961571" w14:textId="2A3A5189" w:rsidR="00120274" w:rsidRDefault="00120274" w:rsidP="00B35659">
      <w:pPr>
        <w:tabs>
          <w:tab w:val="left" w:pos="1418"/>
        </w:tabs>
        <w:spacing w:after="0" w:line="240" w:lineRule="auto"/>
      </w:pPr>
      <w:r>
        <w:t>RTA</w:t>
      </w:r>
      <w:r w:rsidR="00693B11">
        <w:tab/>
        <w:t>Regional trade agreement</w:t>
      </w:r>
    </w:p>
    <w:p w14:paraId="26698A6F" w14:textId="5F7E4400" w:rsidR="009B00FD" w:rsidRDefault="009B00FD" w:rsidP="00B35659">
      <w:pPr>
        <w:tabs>
          <w:tab w:val="left" w:pos="1418"/>
        </w:tabs>
        <w:spacing w:after="0" w:line="240" w:lineRule="auto"/>
      </w:pPr>
      <w:r>
        <w:t>SAARC</w:t>
      </w:r>
      <w:r w:rsidR="00693B11">
        <w:tab/>
        <w:t>South Asia</w:t>
      </w:r>
      <w:r w:rsidR="00477024">
        <w:t>n Association for Regional Cooperation</w:t>
      </w:r>
    </w:p>
    <w:p w14:paraId="683F8FCA" w14:textId="7DAAF46F" w:rsidR="00120274" w:rsidRDefault="00120274" w:rsidP="00B35659">
      <w:pPr>
        <w:tabs>
          <w:tab w:val="left" w:pos="1418"/>
        </w:tabs>
        <w:spacing w:after="0" w:line="240" w:lineRule="auto"/>
      </w:pPr>
      <w:r>
        <w:t>VAX</w:t>
      </w:r>
      <w:r w:rsidR="00477024">
        <w:tab/>
        <w:t>Value-added exports</w:t>
      </w:r>
    </w:p>
    <w:p w14:paraId="22703093" w14:textId="44748737" w:rsidR="00C41399" w:rsidRDefault="00C41399" w:rsidP="00B35659">
      <w:pPr>
        <w:tabs>
          <w:tab w:val="left" w:pos="1418"/>
        </w:tabs>
        <w:spacing w:after="0" w:line="240" w:lineRule="auto"/>
      </w:pPr>
      <w:r>
        <w:t>WIOD</w:t>
      </w:r>
      <w:r>
        <w:tab/>
        <w:t>World Input–Output Database</w:t>
      </w:r>
    </w:p>
    <w:p w14:paraId="63884517" w14:textId="1B9DE625" w:rsidR="00693B11" w:rsidRDefault="00693B11" w:rsidP="00B35659">
      <w:pPr>
        <w:tabs>
          <w:tab w:val="left" w:pos="1418"/>
        </w:tabs>
        <w:spacing w:after="0" w:line="240" w:lineRule="auto"/>
      </w:pPr>
      <w:r w:rsidRPr="00693B11">
        <w:t>WTO</w:t>
      </w:r>
      <w:r w:rsidRPr="00693B11">
        <w:tab/>
        <w:t>World Trade Organization</w:t>
      </w:r>
    </w:p>
    <w:p w14:paraId="6E0FC4A5" w14:textId="043F4BE4" w:rsidR="00AE3193" w:rsidRDefault="00AE3193">
      <w:pPr>
        <w:spacing w:after="0" w:line="240" w:lineRule="auto"/>
      </w:pPr>
      <w:r>
        <w:br w:type="page"/>
      </w:r>
    </w:p>
    <w:p w14:paraId="661707DE" w14:textId="77777777" w:rsidR="00F2297C" w:rsidRDefault="001D6092" w:rsidP="00AE3193">
      <w:pPr>
        <w:pStyle w:val="Heading1"/>
        <w:numPr>
          <w:ilvl w:val="0"/>
          <w:numId w:val="0"/>
        </w:numPr>
      </w:pPr>
      <w:bookmarkStart w:id="4" w:name="_Toc83849785"/>
      <w:r>
        <w:lastRenderedPageBreak/>
        <w:t>Highlights</w:t>
      </w:r>
      <w:bookmarkEnd w:id="4"/>
    </w:p>
    <w:p w14:paraId="156FB162" w14:textId="7CC0BBCF" w:rsidR="0056665B" w:rsidRDefault="001249FA" w:rsidP="00E40172">
      <w:r>
        <w:t>This report examines the economy and trade of Pakistan in the context of global value chains (GVCs) during the period 2000–2020</w:t>
      </w:r>
      <w:r w:rsidRPr="00B212B6">
        <w:t>.</w:t>
      </w:r>
      <w:r>
        <w:t xml:space="preserve"> It combines innovative analytical tools with the latest available data to produce indicators that describe facets of Pakistan’s GVC participation, the lengths of its GVC production, its patterns of specialization, and the price competitiveness of its exports—among many others. </w:t>
      </w:r>
    </w:p>
    <w:p w14:paraId="08F1F96D" w14:textId="3E2D2A5C" w:rsidR="00E064BF" w:rsidRPr="00787177" w:rsidRDefault="00A2356A" w:rsidP="00787177">
      <w:pPr>
        <w:rPr>
          <w:b/>
          <w:bCs/>
        </w:rPr>
      </w:pPr>
      <w:r w:rsidRPr="00787177">
        <w:rPr>
          <w:b/>
          <w:bCs/>
        </w:rPr>
        <w:t>Overview of Economy and Trade</w:t>
      </w:r>
    </w:p>
    <w:p w14:paraId="65BEE6FB" w14:textId="46BA7401" w:rsidR="00A2356A" w:rsidRDefault="00224CB3" w:rsidP="009402AB">
      <w:pPr>
        <w:pStyle w:val="ListParagraph"/>
        <w:numPr>
          <w:ilvl w:val="0"/>
          <w:numId w:val="32"/>
        </w:numPr>
      </w:pPr>
      <w:r>
        <w:t>Pakistan has had an uneven growth experience</w:t>
      </w:r>
      <w:r w:rsidR="009402AB">
        <w:t xml:space="preserve">. </w:t>
      </w:r>
      <w:r w:rsidR="00036543" w:rsidRPr="009402AB">
        <w:rPr>
          <w:rFonts w:eastAsia="Calibri" w:cstheme="minorHAnsi"/>
          <w:color w:val="000000" w:themeColor="text1"/>
          <w:szCs w:val="22"/>
        </w:rPr>
        <w:t>After an average annual gross domestic product (GDP) growth rate of 6.4% in the 1980s, its decade averages have since been below 5</w:t>
      </w:r>
      <w:r w:rsidR="009402AB">
        <w:rPr>
          <w:rFonts w:eastAsia="Calibri" w:cstheme="minorHAnsi"/>
          <w:color w:val="000000" w:themeColor="text1"/>
          <w:szCs w:val="22"/>
        </w:rPr>
        <w:t>%.</w:t>
      </w:r>
      <w:r w:rsidR="00036543" w:rsidRPr="009402AB">
        <w:rPr>
          <w:rFonts w:eastAsia="Calibri" w:cstheme="minorHAnsi"/>
          <w:color w:val="000000" w:themeColor="text1"/>
          <w:szCs w:val="22"/>
        </w:rPr>
        <w:t xml:space="preserve"> Many </w:t>
      </w:r>
      <w:r w:rsidR="00036543">
        <w:t>workers remain employed in low-productivity jobs in agricultur</w:t>
      </w:r>
      <w:r w:rsidR="00717B47">
        <w:t>e</w:t>
      </w:r>
      <w:r w:rsidR="00036543">
        <w:t xml:space="preserve"> and </w:t>
      </w:r>
      <w:r w:rsidR="003F48FB">
        <w:t xml:space="preserve">the </w:t>
      </w:r>
      <w:r w:rsidR="00036543">
        <w:t xml:space="preserve">informal sector. </w:t>
      </w:r>
      <w:r w:rsidR="00305817">
        <w:t>P</w:t>
      </w:r>
      <w:r w:rsidR="00036543">
        <w:t>er capita GDP is similar to Bangladesh and Cambodia but is behind other developing countries in Asia and the Pacific like the Philippines and Viet Nam. Nevertheless, it is to Pakistan’s credit that it had managed to cut poverty from 64% in 2001 to 24% in 2015 under national poverty lines.</w:t>
      </w:r>
    </w:p>
    <w:p w14:paraId="60E5FBD2" w14:textId="4BB231C0" w:rsidR="0081698E" w:rsidRDefault="00137E0F" w:rsidP="00A2356A">
      <w:pPr>
        <w:pStyle w:val="ListParagraph"/>
        <w:numPr>
          <w:ilvl w:val="0"/>
          <w:numId w:val="32"/>
        </w:numPr>
      </w:pPr>
      <w:r>
        <w:t>One viable strategy that Pakistan can adopt to boost its growth is to further open its economy to trade.</w:t>
      </w:r>
      <w:r w:rsidRPr="00137E0F">
        <w:t xml:space="preserve"> </w:t>
      </w:r>
      <w:r>
        <w:t>At just 30%, Pakistan exhibits one of the lowest trade-to-GDP ratios in the world, even when taking its size into account.</w:t>
      </w:r>
      <w:r w:rsidRPr="00137E0F">
        <w:t xml:space="preserve"> </w:t>
      </w:r>
      <w:r>
        <w:t xml:space="preserve">This indicates great potential for improvement. </w:t>
      </w:r>
      <w:r w:rsidR="00AD61EB">
        <w:t>Studies have affirmed numerous b</w:t>
      </w:r>
      <w:r>
        <w:t>enefits to economic openness</w:t>
      </w:r>
      <w:r w:rsidR="00AD61EB">
        <w:t>,</w:t>
      </w:r>
      <w:r>
        <w:t xml:space="preserve"> includ</w:t>
      </w:r>
      <w:r w:rsidR="00AD61EB">
        <w:t>ing</w:t>
      </w:r>
      <w:r>
        <w:t xml:space="preserve"> opportunities for specialization, access to wider markets, the inflow of know-how, and the formalization of the economy.</w:t>
      </w:r>
    </w:p>
    <w:p w14:paraId="0E2B683F" w14:textId="4355D2D8" w:rsidR="006D505A" w:rsidRDefault="006D505A" w:rsidP="00A2356A">
      <w:pPr>
        <w:pStyle w:val="ListParagraph"/>
        <w:numPr>
          <w:ilvl w:val="0"/>
          <w:numId w:val="32"/>
        </w:numPr>
      </w:pPr>
      <w:r>
        <w:t>Existing patterns indicate that Pakistan’s trade is currently oriented to the United States, Europe, and the People’s Republic of China</w:t>
      </w:r>
      <w:r w:rsidR="00DE23CA">
        <w:t xml:space="preserve"> (PRC)</w:t>
      </w:r>
      <w:r>
        <w:t xml:space="preserve">. It specializes in textiles, though some of its </w:t>
      </w:r>
      <w:proofErr w:type="spellStart"/>
      <w:r>
        <w:t>agriculctural</w:t>
      </w:r>
      <w:proofErr w:type="spellEnd"/>
      <w:r>
        <w:t xml:space="preserve"> products are sold to the Middle East. Interestingly, it does not have a significant trading relationship with its proximate neighbors in South Asia.</w:t>
      </w:r>
    </w:p>
    <w:p w14:paraId="4B6AD649" w14:textId="67090C3D" w:rsidR="006D505A" w:rsidRDefault="006D505A" w:rsidP="00A2356A">
      <w:pPr>
        <w:pStyle w:val="ListParagraph"/>
        <w:numPr>
          <w:ilvl w:val="0"/>
          <w:numId w:val="32"/>
        </w:numPr>
      </w:pPr>
      <w:r>
        <w:t>While the vast majority of its export products fall under the textiles group, formal measures of export concentration suggest that Pakistan’s export</w:t>
      </w:r>
      <w:r w:rsidR="00CF40BC">
        <w:t>s</w:t>
      </w:r>
      <w:r>
        <w:t xml:space="preserve"> basket is relatively more diversified than other textiles-heavy exporters like Bangladesh and Cambodia. </w:t>
      </w:r>
      <w:r w:rsidR="009F5F1D">
        <w:t>However, its exports are less diversified than its neighbor India.</w:t>
      </w:r>
    </w:p>
    <w:p w14:paraId="3A14CF9E" w14:textId="1D224CAA" w:rsidR="00A2356A" w:rsidRPr="00787177" w:rsidRDefault="00A2356A" w:rsidP="00787177">
      <w:pPr>
        <w:rPr>
          <w:b/>
          <w:bCs/>
        </w:rPr>
      </w:pPr>
      <w:r w:rsidRPr="00787177">
        <w:rPr>
          <w:b/>
          <w:bCs/>
        </w:rPr>
        <w:t xml:space="preserve">Participation in </w:t>
      </w:r>
      <w:r w:rsidR="00D429EE" w:rsidRPr="00787177">
        <w:rPr>
          <w:b/>
          <w:bCs/>
        </w:rPr>
        <w:t>GVCs</w:t>
      </w:r>
    </w:p>
    <w:p w14:paraId="5012DAC1" w14:textId="6B7EBE9D" w:rsidR="00A2356A" w:rsidRDefault="00AB0F5C" w:rsidP="00AB1873">
      <w:pPr>
        <w:pStyle w:val="ListParagraph"/>
        <w:numPr>
          <w:ilvl w:val="0"/>
          <w:numId w:val="32"/>
        </w:numPr>
      </w:pPr>
      <w:r>
        <w:t xml:space="preserve">Decomposing the value added origins and destinations of Pakistan’s exports illuminates much about its participation in GVCs. It is found that a large portion of its exports fall under direct trading, the simplest kind of trade where value added solely from Pakistan is sent to and absorbed completely by the importing partner. </w:t>
      </w:r>
      <w:r w:rsidR="00116B4C" w:rsidRPr="00AB0F5C">
        <w:rPr>
          <w:rFonts w:eastAsia="Calibri" w:cstheme="minorHAnsi"/>
          <w:color w:val="000000" w:themeColor="text1"/>
          <w:szCs w:val="22"/>
        </w:rPr>
        <w:t>In 2020, this amounted to $18.9 billion against gross exports of $24.7 billion.</w:t>
      </w:r>
      <w:r w:rsidR="00AB1873" w:rsidRPr="00AB1873">
        <w:t xml:space="preserve"> </w:t>
      </w:r>
      <w:r w:rsidR="00AB1873">
        <w:t>Indirect trading involves foreign value added entering into countries’ production. Such are the cross-</w:t>
      </w:r>
      <w:r w:rsidR="00AB1873">
        <w:lastRenderedPageBreak/>
        <w:t>border production-sharing arrangements that mark GVCs. In 2020, Pakistan’s indirect trading amounted to $5.8 billion.</w:t>
      </w:r>
    </w:p>
    <w:p w14:paraId="5FDF7BAB" w14:textId="58D99516" w:rsidR="00294CF0" w:rsidRDefault="00C4209D" w:rsidP="00294CF0">
      <w:pPr>
        <w:pStyle w:val="ListParagraph"/>
        <w:numPr>
          <w:ilvl w:val="0"/>
          <w:numId w:val="32"/>
        </w:numPr>
      </w:pPr>
      <w:r>
        <w:t>Decomposing trade by value added</w:t>
      </w:r>
      <w:r w:rsidR="00294CF0">
        <w:t xml:space="preserve"> reveals indirect trading relationships that are masked by conventional trade data. Some 15.8% of Pakistan’s exports that would undergo reexporting made their first landing in the PRC. Bangladesh also gets a prominent role, receiving 7.8% of exports that would undergo reexporting. On the other hand, some 17.4% of the imported inputs embedded in Pakistan’s exports came from the PRC, followed by 12.8% that came from the United States. </w:t>
      </w:r>
    </w:p>
    <w:p w14:paraId="554F2DB8" w14:textId="67BA8E80" w:rsidR="00B9556A" w:rsidRDefault="00EA501D" w:rsidP="00B9556A">
      <w:pPr>
        <w:pStyle w:val="ListParagraph"/>
        <w:numPr>
          <w:ilvl w:val="0"/>
          <w:numId w:val="32"/>
        </w:numPr>
      </w:pPr>
      <w:r>
        <w:t>Quantifying the importance of GVCs is the GVC participation rate. Two approaches are possible: a trade-based approach, which looks at the share of indirect trading in exports, and a production-based approach, which looks at the share of domestic value added (i.e. GDP)</w:t>
      </w:r>
      <w:r w:rsidR="00B9556A" w:rsidRPr="00B9556A">
        <w:t xml:space="preserve"> </w:t>
      </w:r>
      <w:r w:rsidR="00B9556A">
        <w:t>that is exported in an unfinished state.</w:t>
      </w:r>
      <w:r w:rsidR="00B9556A" w:rsidRPr="00B9556A">
        <w:t xml:space="preserve"> </w:t>
      </w:r>
      <w:r w:rsidR="00251AC4">
        <w:t xml:space="preserve">Pakistan’s </w:t>
      </w:r>
      <w:r w:rsidR="00B9556A">
        <w:t xml:space="preserve">GVC participation rates </w:t>
      </w:r>
      <w:r w:rsidR="00251AC4">
        <w:t xml:space="preserve">are </w:t>
      </w:r>
      <w:r w:rsidR="00B9556A">
        <w:t>low.</w:t>
      </w:r>
      <w:r w:rsidR="00B9556A" w:rsidRPr="00B9556A">
        <w:t xml:space="preserve"> </w:t>
      </w:r>
      <w:r w:rsidR="00B9556A">
        <w:t>While other developing countries, notably Viet Nam and Cambodia, have greatly expanded their GVC engagement since 2000, Pakistan’s rates have stayed within a tight range over the course of two decades.</w:t>
      </w:r>
      <w:r w:rsidR="009233EE">
        <w:t xml:space="preserve"> At the sector level, water transport services and metals had the highest participation rates, though textiles remained the largest in terms of </w:t>
      </w:r>
      <w:r w:rsidR="00DC5EE9">
        <w:t xml:space="preserve">the absolute </w:t>
      </w:r>
      <w:r w:rsidR="009233EE">
        <w:t>level</w:t>
      </w:r>
      <w:r w:rsidR="00C54912">
        <w:t xml:space="preserve"> of GVC-related exports</w:t>
      </w:r>
      <w:r w:rsidR="009233EE">
        <w:t>.</w:t>
      </w:r>
    </w:p>
    <w:p w14:paraId="32273333" w14:textId="20B2A460" w:rsidR="00DE5AB0" w:rsidRDefault="00DE5AB0" w:rsidP="00D16AA0">
      <w:pPr>
        <w:pStyle w:val="ListParagraph"/>
        <w:numPr>
          <w:ilvl w:val="0"/>
          <w:numId w:val="32"/>
        </w:numPr>
      </w:pPr>
      <w:r>
        <w:t>Another way to characterize GVCs is to measure their lengths.</w:t>
      </w:r>
      <w:r w:rsidRPr="00DE5AB0">
        <w:t xml:space="preserve"> </w:t>
      </w:r>
      <w:r>
        <w:t>Any given firm may be positioned in its value chain by measuring, on the one hand, the number of stages separating its output from final consumers, and on the other, the number of stages separating its output from primary inputs. These are forward and backward production lengths, respectively.</w:t>
      </w:r>
      <w:r w:rsidRPr="00DE5AB0">
        <w:t xml:space="preserve"> </w:t>
      </w:r>
      <w:r>
        <w:t xml:space="preserve">Total GVC length for Pakistan was 7.58 stages in 2000, rising to 8.03 in 2010, then rising more modestly to 8.18 by 2020. Across sectors, the general conclusion is that lengths increased between 2000 and 2010 but decreased between 2010 and 2020. </w:t>
      </w:r>
    </w:p>
    <w:p w14:paraId="354643D0" w14:textId="6476BB95" w:rsidR="009C6EB5" w:rsidRDefault="00C2032B" w:rsidP="00B9556A">
      <w:pPr>
        <w:pStyle w:val="ListParagraph"/>
        <w:numPr>
          <w:ilvl w:val="0"/>
          <w:numId w:val="32"/>
        </w:numPr>
      </w:pPr>
      <w:r>
        <w:t>Decomposing forward lengths suggests that Pakistan exports relatively simple types of textile products, relying on foreign processing—about 2.09 stages in 2020—to produce the finished goods that reach consumers. Exports of agricultural products, meanwhile, undergo both domestic and foreign processing—about 2.26 and 2.09 stages, respectively, in 2020.</w:t>
      </w:r>
    </w:p>
    <w:p w14:paraId="1F351E7E" w14:textId="7241540F" w:rsidR="00A2356A" w:rsidRPr="00787177" w:rsidRDefault="00A2356A" w:rsidP="00787177">
      <w:pPr>
        <w:rPr>
          <w:b/>
          <w:bCs/>
        </w:rPr>
      </w:pPr>
      <w:r w:rsidRPr="00787177">
        <w:rPr>
          <w:b/>
          <w:bCs/>
        </w:rPr>
        <w:t>Specialization and Competitiveness</w:t>
      </w:r>
    </w:p>
    <w:p w14:paraId="4F42B198" w14:textId="1D55063D" w:rsidR="00A2356A" w:rsidRDefault="00AE0A24" w:rsidP="00A2356A">
      <w:pPr>
        <w:pStyle w:val="ListParagraph"/>
        <w:numPr>
          <w:ilvl w:val="0"/>
          <w:numId w:val="32"/>
        </w:numPr>
      </w:pPr>
      <w:r>
        <w:t xml:space="preserve">The concept of comparative advantage is operationalized by the revealed comparative advantage (RCA) index, a ratio that compares the share of a sector in a given country’s exports to the average share of that sector across all countries. </w:t>
      </w:r>
      <w:r w:rsidR="000A631C">
        <w:t>An</w:t>
      </w:r>
      <w:r>
        <w:t xml:space="preserve"> RCA index of greater than 1 indicates a comparative advantage in that sector. </w:t>
      </w:r>
      <w:r w:rsidR="00597CB1">
        <w:t xml:space="preserve">Using GVC-adjusted measures, </w:t>
      </w:r>
      <w:r w:rsidR="00234072">
        <w:t>Pakistan heavily specializes</w:t>
      </w:r>
      <w:r w:rsidR="00727D4C">
        <w:t xml:space="preserve"> in textiles </w:t>
      </w:r>
      <w:r w:rsidR="00234072">
        <w:t xml:space="preserve">(RCA of </w:t>
      </w:r>
      <w:r w:rsidR="00727D4C">
        <w:t>10.2</w:t>
      </w:r>
      <w:r w:rsidR="00234072">
        <w:t>) and agriculture (RCA of 6.4).</w:t>
      </w:r>
      <w:r w:rsidR="00A66B41">
        <w:t xml:space="preserve"> It registered very low RCA indices for the manufacturing sectors.</w:t>
      </w:r>
    </w:p>
    <w:p w14:paraId="5C691FBF" w14:textId="25BEF6A6" w:rsidR="0066277B" w:rsidRDefault="00FD1C65" w:rsidP="00161802">
      <w:pPr>
        <w:pStyle w:val="ListParagraph"/>
        <w:numPr>
          <w:ilvl w:val="0"/>
          <w:numId w:val="32"/>
        </w:numPr>
      </w:pPr>
      <w:r>
        <w:lastRenderedPageBreak/>
        <w:t xml:space="preserve">A question arises on where along these value chains Pakistan is finding its niche: in the upstream sections (closer to primary producers), the downstream sections (closer to final consumers), or somewhere in the middle? The GVC position index suggests that </w:t>
      </w:r>
      <w:r w:rsidR="0066277B">
        <w:t xml:space="preserve">the top textiles-specializing countries were in the downstream end, and Pakistan was no exception. It tended to use designs from abroad to produce textile products that, with little further processing, went straight to final consumers. In contrast, Pakistan was the only </w:t>
      </w:r>
      <w:r w:rsidR="00061E17">
        <w:t xml:space="preserve">one </w:t>
      </w:r>
      <w:r w:rsidR="0066277B">
        <w:t xml:space="preserve">in the upstream region </w:t>
      </w:r>
      <w:r w:rsidR="00061E17">
        <w:t xml:space="preserve">among </w:t>
      </w:r>
      <w:r w:rsidR="0066277B">
        <w:t>the agriculture</w:t>
      </w:r>
      <w:r w:rsidR="00061E17">
        <w:t>-specializing</w:t>
      </w:r>
      <w:r w:rsidR="0066277B">
        <w:t xml:space="preserve"> </w:t>
      </w:r>
      <w:r w:rsidR="00061E17">
        <w:t>countries</w:t>
      </w:r>
      <w:r w:rsidR="0066277B">
        <w:t>, suggesting that its products undergo plenty of further processing abroad before final consumption.</w:t>
      </w:r>
    </w:p>
    <w:p w14:paraId="6868F2AD" w14:textId="2BBBCB2D" w:rsidR="008B2EB5" w:rsidRDefault="008B2EB5" w:rsidP="008B2EB5">
      <w:pPr>
        <w:pStyle w:val="ListParagraph"/>
        <w:numPr>
          <w:ilvl w:val="0"/>
          <w:numId w:val="32"/>
        </w:numPr>
      </w:pPr>
      <w:r>
        <w:t>The real effective exchange rate (REER) is a price index that measures changes in a country’s price competitiveness relative to its competitors.</w:t>
      </w:r>
      <w:r w:rsidRPr="008B2EB5">
        <w:t xml:space="preserve"> </w:t>
      </w:r>
      <w:r>
        <w:t xml:space="preserve">If the REER goes up, then the country’s prices have gone up relative to its competitors; thus, it is said to have lost in competitiveness. Likewise, if the REER goes down, then it has gained in competitiveness. </w:t>
      </w:r>
    </w:p>
    <w:p w14:paraId="1EA0BDEC" w14:textId="5AF0A2B7" w:rsidR="008B2EB5" w:rsidRDefault="008B2EB5" w:rsidP="008B2EB5">
      <w:pPr>
        <w:pStyle w:val="ListParagraph"/>
        <w:numPr>
          <w:ilvl w:val="0"/>
          <w:numId w:val="32"/>
        </w:numPr>
      </w:pPr>
      <w:r>
        <w:t>Pakistan’s REER indices for textiles and agriculture</w:t>
      </w:r>
      <w:r w:rsidRPr="008B2EB5">
        <w:t xml:space="preserve"> </w:t>
      </w:r>
      <w:r>
        <w:t xml:space="preserve">are strongly correlated, with both experiencing high appreciation in 2011 and modest depreciation in 2018–2019. This may be concerning since it implies little diversification in Pakistan’s export competitiveness. Moreover, the modest depreciations the two sectors registered in 2018–2019 were overshadowed by a much larger depreciation in the aggregate REER, suggesting a boost in overall competitiveness that appears to have been dampened by Pakistan’s largest sectors. </w:t>
      </w:r>
    </w:p>
    <w:p w14:paraId="6D72629E" w14:textId="3477FBF0" w:rsidR="008B2EB5" w:rsidRDefault="008B2EB5" w:rsidP="001D2062">
      <w:pPr>
        <w:pStyle w:val="ListParagraph"/>
        <w:numPr>
          <w:ilvl w:val="0"/>
          <w:numId w:val="32"/>
        </w:numPr>
      </w:pPr>
      <w:r>
        <w:t xml:space="preserve">Countries are generally advised to try and aim for stable currencies. Measuring volatility by the standard deviation in changes in the REER index over 2010–2019, Pakistan’s 8.3 points was </w:t>
      </w:r>
      <w:r w:rsidR="00B84A49">
        <w:t>one of</w:t>
      </w:r>
      <w:r>
        <w:t xml:space="preserve"> the highest </w:t>
      </w:r>
      <w:r w:rsidR="008C4BD2">
        <w:t>among</w:t>
      </w:r>
      <w:r>
        <w:t xml:space="preserve"> the </w:t>
      </w:r>
      <w:r>
        <w:rPr>
          <w:lang w:eastAsia="ja-JP"/>
        </w:rPr>
        <w:t xml:space="preserve">countries and economies included in the </w:t>
      </w:r>
      <w:r>
        <w:rPr>
          <w:rFonts w:hint="eastAsia"/>
          <w:lang w:eastAsia="ja-JP"/>
        </w:rPr>
        <w:t>A</w:t>
      </w:r>
      <w:r>
        <w:t>DB MRIO</w:t>
      </w:r>
      <w:r w:rsidR="00B84A49">
        <w:t xml:space="preserve">. </w:t>
      </w:r>
      <w:r w:rsidR="008C4BD2">
        <w:t xml:space="preserve">It is more volatile than like countries </w:t>
      </w:r>
      <w:r w:rsidR="00A11A49">
        <w:t xml:space="preserve">Bangladesh, </w:t>
      </w:r>
      <w:r w:rsidR="00B84A49">
        <w:t>Cambodia, Sri Lanka</w:t>
      </w:r>
      <w:r w:rsidR="00A11A49">
        <w:t>, and Viet Nam</w:t>
      </w:r>
      <w:r w:rsidR="008C4BD2">
        <w:t>.</w:t>
      </w:r>
      <w:r w:rsidR="00B84A49">
        <w:t xml:space="preserve"> This makes any effort to expand its external sector more challenging.</w:t>
      </w:r>
    </w:p>
    <w:p w14:paraId="25B18EDE" w14:textId="0EB8D348" w:rsidR="00A2356A" w:rsidRPr="00787177" w:rsidRDefault="00A2356A" w:rsidP="00787177">
      <w:pPr>
        <w:rPr>
          <w:b/>
          <w:bCs/>
        </w:rPr>
      </w:pPr>
      <w:r w:rsidRPr="00787177">
        <w:rPr>
          <w:b/>
          <w:bCs/>
        </w:rPr>
        <w:t>Other Topics in GVCs</w:t>
      </w:r>
    </w:p>
    <w:p w14:paraId="6D81531E" w14:textId="294C7ED9" w:rsidR="00E16A03" w:rsidRDefault="00E16A03" w:rsidP="00E16A03">
      <w:pPr>
        <w:pStyle w:val="ListParagraph"/>
        <w:numPr>
          <w:ilvl w:val="0"/>
          <w:numId w:val="32"/>
        </w:numPr>
      </w:pPr>
      <w:r>
        <w:t>As globalization picked up pace in the 1990s, so did initiatives to deepen and regulate trade on a regional basis.</w:t>
      </w:r>
      <w:r w:rsidRPr="00E16A03">
        <w:t xml:space="preserve"> </w:t>
      </w:r>
      <w:r>
        <w:t xml:space="preserve">Beginning in the 1980s, the </w:t>
      </w:r>
      <w:r w:rsidR="00D34883">
        <w:t>countries</w:t>
      </w:r>
      <w:r>
        <w:t xml:space="preserve"> of South Asia began to abandon the import-substitution policies they had followed since independence in favor of trade liberalization, establishing the South Asian Association for Regional Cooperation (SAARC) in 1985 to promote dialogue. Through the SAARC, the South Asian Preferential Trade Area was established in 1995 and expanded into the South Asian Free Trade Area in 2006. </w:t>
      </w:r>
      <w:r w:rsidR="00547FB0">
        <w:t xml:space="preserve">Its </w:t>
      </w:r>
      <w:r>
        <w:t xml:space="preserve">members </w:t>
      </w:r>
      <w:r w:rsidR="00E45B40">
        <w:t xml:space="preserve">are </w:t>
      </w:r>
      <w:r>
        <w:t xml:space="preserve">Afghanistan, Bangladesh, Bhutan, India, Maldives, Nepal, Pakistan, and Sri Lanka. </w:t>
      </w:r>
    </w:p>
    <w:p w14:paraId="4B6D618B" w14:textId="645D7C77" w:rsidR="005C2646" w:rsidRDefault="00BD05F6" w:rsidP="005C2646">
      <w:pPr>
        <w:pStyle w:val="ListParagraph"/>
        <w:numPr>
          <w:ilvl w:val="0"/>
          <w:numId w:val="32"/>
        </w:numPr>
      </w:pPr>
      <w:r>
        <w:t>The</w:t>
      </w:r>
      <w:r w:rsidR="00F90D87">
        <w:t xml:space="preserve"> </w:t>
      </w:r>
      <w:r>
        <w:t xml:space="preserve">regional concentration index (RCI) </w:t>
      </w:r>
      <w:r w:rsidR="00F90D87">
        <w:t>quantif</w:t>
      </w:r>
      <w:r>
        <w:t>ies</w:t>
      </w:r>
      <w:r w:rsidR="00F90D87">
        <w:t xml:space="preserve"> the extent of regional integration</w:t>
      </w:r>
      <w:r w:rsidR="00B34B8F">
        <w:t xml:space="preserve"> using value-added-adjusted trade flows</w:t>
      </w:r>
      <w:r w:rsidR="00041076">
        <w:t xml:space="preserve">, where an index of greater than 1 implies the region’s members are trading with each other more than expected. By this measure, </w:t>
      </w:r>
      <w:r w:rsidR="00041076">
        <w:lastRenderedPageBreak/>
        <w:t xml:space="preserve">the SAARC bloc is less integrated than other blocs like Association of Southeast Asian Economies, the European Union, and the North American Free Trade Agreement. </w:t>
      </w:r>
    </w:p>
    <w:p w14:paraId="64F22CF1" w14:textId="6CF49576" w:rsidR="00B4082D" w:rsidRDefault="00041076" w:rsidP="007C43FC">
      <w:pPr>
        <w:pStyle w:val="ListParagraph"/>
        <w:numPr>
          <w:ilvl w:val="0"/>
          <w:numId w:val="32"/>
        </w:numPr>
      </w:pPr>
      <w:r>
        <w:t>Regional integration may also be visualized with a skyline chart</w:t>
      </w:r>
      <w:r w:rsidR="00E41BCA">
        <w:t>, which represents each sector as a “tower” whose width is its share in the region’s output and whose height is its output expressed as a share of the portion induced by domestic demand.</w:t>
      </w:r>
      <w:r w:rsidR="00B4082D">
        <w:t xml:space="preserve"> </w:t>
      </w:r>
      <w:r w:rsidR="007C43FC">
        <w:t xml:space="preserve">Its main purpose is to show where the region is self-sufficient in, these being the sectors for which its own internal demand is enough to exhaust its output. </w:t>
      </w:r>
      <w:r w:rsidR="00B4082D">
        <w:t xml:space="preserve">The skyline chart for SAARC makes evident the economic structure of its members, with a large share attributable to agriculture for which the region is just about self-sufficient. Its most export-oriented sector is unsurprisingly textiles, for which output is 1.5 times the amount the region demands. </w:t>
      </w:r>
      <w:r w:rsidR="007C43FC">
        <w:t>The</w:t>
      </w:r>
      <w:r w:rsidR="00B4082D">
        <w:t xml:space="preserve"> SAARC’s manufacturing demand is </w:t>
      </w:r>
      <w:r w:rsidR="007C43FC">
        <w:t xml:space="preserve">generally </w:t>
      </w:r>
      <w:r w:rsidR="00B4082D">
        <w:t>dependent on imports</w:t>
      </w:r>
      <w:r w:rsidR="002A341E">
        <w:t>,</w:t>
      </w:r>
      <w:r w:rsidR="00B4082D">
        <w:t xml:space="preserve"> </w:t>
      </w:r>
      <w:r w:rsidR="002A341E">
        <w:t>i</w:t>
      </w:r>
      <w:r w:rsidR="00B4082D">
        <w:t>ts output in metals, electricals, transport equipment, and other machinery meet</w:t>
      </w:r>
      <w:r w:rsidR="002A341E">
        <w:t>ing</w:t>
      </w:r>
      <w:r w:rsidR="00B4082D">
        <w:t xml:space="preserve"> just 80% of its own demand</w:t>
      </w:r>
      <w:r w:rsidR="002A341E">
        <w:t>.</w:t>
      </w:r>
      <w:r w:rsidR="00B4082D">
        <w:t xml:space="preserve"> </w:t>
      </w:r>
    </w:p>
    <w:p w14:paraId="48CE3A2C" w14:textId="2E75A18D" w:rsidR="005C2646" w:rsidRDefault="00083AC8" w:rsidP="005C2646">
      <w:pPr>
        <w:pStyle w:val="ListParagraph"/>
        <w:numPr>
          <w:ilvl w:val="0"/>
          <w:numId w:val="32"/>
        </w:numPr>
      </w:pPr>
      <w:r>
        <w:t>Domestic linkages add a layer of complexity in a country’s role in GVCs. Largely due to trade barriers, domestic linkages play a significant role in Pakistan. A</w:t>
      </w:r>
      <w:r w:rsidR="002E2B93">
        <w:t xml:space="preserve">n </w:t>
      </w:r>
      <w:r>
        <w:t xml:space="preserve">agglomeration </w:t>
      </w:r>
      <w:r w:rsidR="002E2B93">
        <w:t>index that</w:t>
      </w:r>
      <w:r w:rsidR="002E2B93" w:rsidRPr="002E2B93">
        <w:t xml:space="preserve"> </w:t>
      </w:r>
      <w:r w:rsidR="002E2B93">
        <w:t xml:space="preserve">measures how much value added is sourced from and/or absorbed by domestic sectors relative to the rest of the world </w:t>
      </w:r>
      <w:r>
        <w:t xml:space="preserve">suggests that </w:t>
      </w:r>
      <w:r w:rsidRPr="005F3912">
        <w:t xml:space="preserve">on average, </w:t>
      </w:r>
      <w:r w:rsidR="002E2B93">
        <w:t xml:space="preserve">production </w:t>
      </w:r>
      <w:r w:rsidRPr="005F3912">
        <w:t>in Pakistan generate more value</w:t>
      </w:r>
      <w:r>
        <w:t xml:space="preserve"> </w:t>
      </w:r>
      <w:r w:rsidRPr="005F3912">
        <w:t xml:space="preserve">added to domestic sectors compared to </w:t>
      </w:r>
      <w:r w:rsidR="00C62F12">
        <w:t xml:space="preserve">neighbors </w:t>
      </w:r>
      <w:r w:rsidR="00C62F12" w:rsidRPr="002D7CF2">
        <w:t xml:space="preserve">Bangladesh, India, the </w:t>
      </w:r>
      <w:r w:rsidR="00C62F12">
        <w:t>PRC</w:t>
      </w:r>
      <w:r w:rsidR="00C62F12" w:rsidRPr="002D7CF2">
        <w:t>, and Sri Lanka</w:t>
      </w:r>
      <w:r w:rsidRPr="005F3912">
        <w:t>.</w:t>
      </w:r>
    </w:p>
    <w:p w14:paraId="71C37822" w14:textId="64671339" w:rsidR="002126EC" w:rsidRDefault="00191134" w:rsidP="005C2646">
      <w:pPr>
        <w:pStyle w:val="ListParagraph"/>
        <w:numPr>
          <w:ilvl w:val="0"/>
          <w:numId w:val="32"/>
        </w:numPr>
      </w:pPr>
      <w:r>
        <w:t xml:space="preserve">Various combinations of high and low backward and forward agglomeration indices give four distinct classes: reshoring, </w:t>
      </w:r>
      <w:r w:rsidRPr="005F3912">
        <w:t>high agglomeration</w:t>
      </w:r>
      <w:r>
        <w:t>, low agglomeration, and domestic value-added generating.</w:t>
      </w:r>
      <w:r w:rsidRPr="005F3912">
        <w:t xml:space="preserve"> </w:t>
      </w:r>
      <w:r w:rsidR="002126EC">
        <w:t xml:space="preserve">Focusing on the textiles sector, </w:t>
      </w:r>
      <w:r w:rsidR="002126EC" w:rsidRPr="005F3912">
        <w:t>Pakistan</w:t>
      </w:r>
      <w:r w:rsidR="002126EC">
        <w:t>, along with</w:t>
      </w:r>
      <w:r w:rsidR="002126EC" w:rsidRPr="005F3912">
        <w:t xml:space="preserve"> India</w:t>
      </w:r>
      <w:r w:rsidR="002126EC">
        <w:t>,</w:t>
      </w:r>
      <w:r w:rsidR="002126EC" w:rsidRPr="005F3912">
        <w:t xml:space="preserve"> belong</w:t>
      </w:r>
      <w:r w:rsidR="002126EC">
        <w:t>s</w:t>
      </w:r>
      <w:r w:rsidR="002126EC" w:rsidRPr="005F3912">
        <w:t xml:space="preserve"> to the high agglomeration class. This implies high backward and forward agglomeration in both </w:t>
      </w:r>
      <w:r w:rsidR="002126EC">
        <w:t>countries’</w:t>
      </w:r>
      <w:r w:rsidR="002126EC" w:rsidRPr="005F3912">
        <w:t xml:space="preserve"> textile</w:t>
      </w:r>
      <w:r w:rsidR="002126EC">
        <w:t>s</w:t>
      </w:r>
      <w:r w:rsidR="002126EC" w:rsidRPr="005F3912">
        <w:t xml:space="preserve"> sector.</w:t>
      </w:r>
    </w:p>
    <w:p w14:paraId="54CDF25C" w14:textId="4F15E531" w:rsidR="00C721FA" w:rsidRDefault="00C721FA" w:rsidP="00C721FA">
      <w:pPr>
        <w:pStyle w:val="ListParagraph"/>
        <w:numPr>
          <w:ilvl w:val="0"/>
          <w:numId w:val="32"/>
        </w:numPr>
      </w:pPr>
      <w:r>
        <w:t xml:space="preserve">The </w:t>
      </w:r>
      <w:r w:rsidR="00D57A44">
        <w:t>coronavirus disease 2019 (</w:t>
      </w:r>
      <w:r>
        <w:t>COVID-19</w:t>
      </w:r>
      <w:r w:rsidR="00D57A44">
        <w:t>)</w:t>
      </w:r>
      <w:r>
        <w:t xml:space="preserve"> pandemic that began in 2020 set off unprecedented disruptions to economic activity and trade. Preliminary data in the ADB MRIO suggest an inverted-U relationship where the size of the COVID-19 shock increases (that is, becomes more negative) the higher the GVC participation rate up to about 45%, after which the shock </w:t>
      </w:r>
      <w:r w:rsidRPr="00C721FA">
        <w:t>decreases</w:t>
      </w:r>
      <w:r>
        <w:t xml:space="preserve"> the higher the participation rate. Pakistan fits the pattern as it had both a low GVC participation rate (25.4%) and a relatively mild COVID-19 shock (–2.8 points).</w:t>
      </w:r>
    </w:p>
    <w:p w14:paraId="7F6F2633" w14:textId="6173666A" w:rsidR="008A0AF6" w:rsidRDefault="008A0AF6" w:rsidP="008A0AF6">
      <w:pPr>
        <w:pStyle w:val="ListParagraph"/>
        <w:numPr>
          <w:ilvl w:val="0"/>
          <w:numId w:val="32"/>
        </w:numPr>
      </w:pPr>
      <w:r>
        <w:t xml:space="preserve">Counterfactual analysis shows that </w:t>
      </w:r>
      <w:r w:rsidR="006C3533">
        <w:t xml:space="preserve">different countries experienced different outcomes from </w:t>
      </w:r>
      <w:r>
        <w:t>GVCs</w:t>
      </w:r>
      <w:r w:rsidR="006C3533">
        <w:t>.</w:t>
      </w:r>
      <w:r>
        <w:t xml:space="preserve"> In Pakistan’s case, </w:t>
      </w:r>
      <w:r w:rsidR="006C3533">
        <w:t xml:space="preserve">the analysis </w:t>
      </w:r>
      <w:r>
        <w:t>suggest</w:t>
      </w:r>
      <w:r w:rsidR="006C3533">
        <w:t>s</w:t>
      </w:r>
      <w:r>
        <w:t xml:space="preserve"> that without any trade, </w:t>
      </w:r>
      <w:r w:rsidR="006C3533">
        <w:t xml:space="preserve">its </w:t>
      </w:r>
      <w:r w:rsidR="00447CD9">
        <w:t xml:space="preserve">pandemic-induced </w:t>
      </w:r>
      <w:r>
        <w:t>contraction would have been 0.5 percentage points larger</w:t>
      </w:r>
      <w:r w:rsidR="006C3533">
        <w:t>, meaning</w:t>
      </w:r>
      <w:r>
        <w:t xml:space="preserve"> GVCs </w:t>
      </w:r>
      <w:r w:rsidR="006C3533">
        <w:t>had a dampening effect</w:t>
      </w:r>
      <w:r>
        <w:t>.</w:t>
      </w:r>
      <w:r w:rsidRPr="007C7D6C">
        <w:t xml:space="preserve"> </w:t>
      </w:r>
      <w:r w:rsidR="00A47632">
        <w:t>The opposite is found for a country like Sri Lanka, where the presence of trade relative to no trade increase</w:t>
      </w:r>
      <w:r w:rsidR="00E65585">
        <w:t>s</w:t>
      </w:r>
      <w:r w:rsidR="00A47632">
        <w:t xml:space="preserve"> the size of </w:t>
      </w:r>
      <w:r w:rsidR="00447CD9">
        <w:t>its</w:t>
      </w:r>
      <w:r w:rsidR="00A47632">
        <w:t xml:space="preserve"> contraction.</w:t>
      </w:r>
    </w:p>
    <w:p w14:paraId="09FD007D" w14:textId="3165D9F2" w:rsidR="00D429EE" w:rsidRPr="00787177" w:rsidRDefault="00D429EE" w:rsidP="00787177">
      <w:pPr>
        <w:rPr>
          <w:b/>
          <w:bCs/>
        </w:rPr>
      </w:pPr>
      <w:r w:rsidRPr="00787177">
        <w:rPr>
          <w:b/>
          <w:bCs/>
        </w:rPr>
        <w:t>Reaping the Benefits of GVC Involvement</w:t>
      </w:r>
    </w:p>
    <w:p w14:paraId="4ACAF751" w14:textId="3F393EA1" w:rsidR="00454C30" w:rsidRDefault="00454C30" w:rsidP="000C3264">
      <w:pPr>
        <w:pStyle w:val="ListParagraph"/>
        <w:numPr>
          <w:ilvl w:val="0"/>
          <w:numId w:val="32"/>
        </w:numPr>
      </w:pPr>
      <w:r>
        <w:lastRenderedPageBreak/>
        <w:t>Having among the lowest GVC participation rates in the world, the Pakistan economy is primed to benefit enormously from adopting a more outward-oriented development strategy. Provided that it does so in a careful and deliberate manner, its already impressive achievements in poverty reduction can be pushed further. The following are some principles in must keep in mind.</w:t>
      </w:r>
    </w:p>
    <w:p w14:paraId="7600610D" w14:textId="1A45331D" w:rsidR="00454C30" w:rsidRDefault="00454C30" w:rsidP="00745798">
      <w:pPr>
        <w:pStyle w:val="ListParagraph"/>
        <w:numPr>
          <w:ilvl w:val="0"/>
          <w:numId w:val="32"/>
        </w:numPr>
      </w:pPr>
      <w:r w:rsidRPr="00454C30">
        <w:rPr>
          <w:b/>
          <w:bCs/>
        </w:rPr>
        <w:t>Diversification.</w:t>
      </w:r>
      <w:r>
        <w:t xml:space="preserve"> The key to managing many types of risk is diversification. In the case of GVCs, Pakistan would do well to diversify not just its export basket but also the markets it sells to. Specialization in </w:t>
      </w:r>
      <w:r w:rsidR="00745798">
        <w:t xml:space="preserve">textiles </w:t>
      </w:r>
      <w:r>
        <w:t xml:space="preserve">is not necessarily an unsound strategy, </w:t>
      </w:r>
      <w:r w:rsidR="00745798">
        <w:t>but</w:t>
      </w:r>
      <w:r>
        <w:t xml:space="preserve"> Pakistan must ensure that within this sector, its firms are able to participate all along the productivity spectrum and are not stuck in low-value-added segments. </w:t>
      </w:r>
      <w:r w:rsidR="00394B28">
        <w:t>While its trade partners seem diversified, a</w:t>
      </w:r>
      <w:r>
        <w:t xml:space="preserve"> trade-to-GDP ratio of 30%</w:t>
      </w:r>
      <w:r w:rsidR="00394B28">
        <w:t xml:space="preserve"> implies that</w:t>
      </w:r>
      <w:r>
        <w:t xml:space="preserve"> Pakistan’s producers are in effect concentrated in a single market: its own. Greater trade participation, then, will in itself diversify the country’s sources of demand.</w:t>
      </w:r>
    </w:p>
    <w:p w14:paraId="70B35409" w14:textId="19D45178" w:rsidR="00454C30" w:rsidRDefault="00454C30" w:rsidP="001D3824">
      <w:pPr>
        <w:pStyle w:val="ListParagraph"/>
        <w:numPr>
          <w:ilvl w:val="0"/>
          <w:numId w:val="32"/>
        </w:numPr>
      </w:pPr>
      <w:r w:rsidRPr="00454C30">
        <w:rPr>
          <w:b/>
          <w:bCs/>
        </w:rPr>
        <w:t xml:space="preserve">Investing in people. </w:t>
      </w:r>
      <w:r>
        <w:t xml:space="preserve">Apart from its worthy contribution to welfare, investing in human capital yields significant returns when paired with the opportunities provided by GVCs. The services sector is already a proven driver of poverty reduction in Pakistan, albeit through the informal economy. Such talent can be turned to more productive employment in the global business process outsourcing industry. Indeed, the experiences of India and the Philippines have shown that manufacturing need no longer be synonymous with an export-led development strategy. </w:t>
      </w:r>
    </w:p>
    <w:p w14:paraId="2AABDF59" w14:textId="74FF5032" w:rsidR="00454C30" w:rsidRDefault="00454C30" w:rsidP="00434593">
      <w:pPr>
        <w:pStyle w:val="ListParagraph"/>
        <w:numPr>
          <w:ilvl w:val="0"/>
          <w:numId w:val="32"/>
        </w:numPr>
      </w:pPr>
      <w:r w:rsidRPr="00454C30">
        <w:rPr>
          <w:b/>
          <w:bCs/>
        </w:rPr>
        <w:t>Institutional support.</w:t>
      </w:r>
      <w:r>
        <w:t xml:space="preserve"> </w:t>
      </w:r>
      <w:r w:rsidR="000B5FC9">
        <w:t xml:space="preserve">Institutions must be responsive to the </w:t>
      </w:r>
      <w:r>
        <w:t>temporary disruptions</w:t>
      </w:r>
      <w:r w:rsidR="00434593">
        <w:t xml:space="preserve"> that arise from opening up to trade</w:t>
      </w:r>
      <w:r>
        <w:t xml:space="preserve">. Policies must be designed to ensure that no group suffers too great a drop in welfare and that all have a path to participating gainfully in the external sector. Moreover, since good policy design requires plenty of timely information, support must be given to data-collecting agencies. </w:t>
      </w:r>
    </w:p>
    <w:p w14:paraId="1EA41966" w14:textId="6CC4CB40" w:rsidR="00454C30" w:rsidRDefault="00454C30" w:rsidP="00454C30">
      <w:pPr>
        <w:pStyle w:val="ListParagraph"/>
        <w:numPr>
          <w:ilvl w:val="0"/>
          <w:numId w:val="32"/>
        </w:numPr>
      </w:pPr>
      <w:r w:rsidRPr="00454C30">
        <w:rPr>
          <w:b/>
          <w:bCs/>
        </w:rPr>
        <w:t>Multilateral engagement.</w:t>
      </w:r>
      <w:r>
        <w:t xml:space="preserve"> Trade can only thrive in a stable, rules-based global environment where competition is as free and as fair as possible. As such, it is in Pakistan’s interest to strengthen multilateral bodies like the WTO and the SAARC. It must actively participate not only in crafting their rules but also in enforcing them. Moreover, Pakistan must continue to pursue new trade agreements through which it can lower barriers to trade, exchange information, and establish mutual trust. </w:t>
      </w:r>
    </w:p>
    <w:p w14:paraId="17DB6F1D" w14:textId="1ED0A7CA" w:rsidR="00402074" w:rsidRDefault="00454C30" w:rsidP="00454C30">
      <w:pPr>
        <w:pStyle w:val="ListParagraph"/>
        <w:numPr>
          <w:ilvl w:val="0"/>
          <w:numId w:val="32"/>
        </w:numPr>
      </w:pPr>
      <w:r w:rsidRPr="00454C30">
        <w:rPr>
          <w:b/>
          <w:bCs/>
        </w:rPr>
        <w:t>Remembering the basics.</w:t>
      </w:r>
      <w:r>
        <w:t xml:space="preserve"> Beyond GVCs, the usual set of principles that promote a robust and dynamic economy must not be neglected. The population must be healthy and educated. </w:t>
      </w:r>
      <w:r w:rsidR="004C39E6">
        <w:t>S</w:t>
      </w:r>
      <w:r>
        <w:t>ustained investments in physical infrastructure and information and communications technologies are necessary. Financial markets must be inclusive and well-developed</w:t>
      </w:r>
      <w:r w:rsidR="004C39E6">
        <w:t xml:space="preserve">. There must be </w:t>
      </w:r>
      <w:r>
        <w:t xml:space="preserve">faith in an impartial court system dedicated to the rule of law. </w:t>
      </w:r>
      <w:r w:rsidR="004C39E6">
        <w:t>A</w:t>
      </w:r>
      <w:r>
        <w:t xml:space="preserve">ll these provide the foundations upon which long-term growth can be possible.  </w:t>
      </w:r>
      <w:r w:rsidR="00402074">
        <w:br w:type="page"/>
      </w:r>
    </w:p>
    <w:p w14:paraId="5F59DD77" w14:textId="616FC4BD" w:rsidR="00C2222F" w:rsidRPr="00017EDF" w:rsidRDefault="00C2222F" w:rsidP="00C2222F">
      <w:pPr>
        <w:pStyle w:val="Heading1"/>
      </w:pPr>
      <w:bookmarkStart w:id="5" w:name="_Toc83849786"/>
      <w:r w:rsidRPr="00017EDF">
        <w:lastRenderedPageBreak/>
        <w:t>Introduction</w:t>
      </w:r>
      <w:bookmarkEnd w:id="5"/>
    </w:p>
    <w:p w14:paraId="1597BE8A" w14:textId="1DDF8AD2" w:rsidR="00C30027" w:rsidRDefault="00C30027" w:rsidP="00C30027">
      <w:r>
        <w:t>This report examines the economy and trade of Kazakhstan in the context of global value chains (GVCs), a form of fragmented production that has affected everything from automobiles to vaccines</w:t>
      </w:r>
      <w:r w:rsidRPr="00B212B6">
        <w:t>.</w:t>
      </w:r>
      <w:r>
        <w:t xml:space="preserve"> It combines innovative analytical tools with the latest available data to produce indicators that describe Kazakhstan’s rate of GVC participation, the lengths of its GVC production, its patterns of specialization, and the price competitiveness of its exports—among many others. This report’s key data source is the Asian Development Bank’s (ADB) Multiregional Input–Output (MRIO) Database, the only time series of intercountry input–output tables to-date that includes Kazakhstan. </w:t>
      </w:r>
      <w:r>
        <w:fldChar w:fldCharType="begin"/>
      </w:r>
      <w:r>
        <w:instrText xml:space="preserve"> REF _Ref82529671 \h </w:instrText>
      </w:r>
      <w:r>
        <w:fldChar w:fldCharType="separate"/>
      </w:r>
      <w:r>
        <w:t xml:space="preserve">Box </w:t>
      </w:r>
      <w:r>
        <w:rPr>
          <w:noProof/>
        </w:rPr>
        <w:t>1</w:t>
      </w:r>
      <w:r>
        <w:fldChar w:fldCharType="end"/>
      </w:r>
      <w:r>
        <w:t xml:space="preserve"> provides more information on this dataset. It is hoped that the insights this report presents will prove useful for policymakers and the general public alike.</w:t>
      </w:r>
    </w:p>
    <w:tbl>
      <w:tblPr>
        <w:tblStyle w:val="TableGrid"/>
        <w:tblW w:w="0" w:type="auto"/>
        <w:tblLook w:val="04A0" w:firstRow="1" w:lastRow="0" w:firstColumn="1" w:lastColumn="0" w:noHBand="0" w:noVBand="1"/>
      </w:tblPr>
      <w:tblGrid>
        <w:gridCol w:w="9016"/>
      </w:tblGrid>
      <w:tr w:rsidR="00FD1BD1" w14:paraId="16D09453" w14:textId="77777777" w:rsidTr="00FD1BD1">
        <w:tc>
          <w:tcPr>
            <w:tcW w:w="9016" w:type="dxa"/>
          </w:tcPr>
          <w:p w14:paraId="00F16DB8" w14:textId="5CA59918" w:rsidR="00FD1BD1" w:rsidRPr="00B212B6" w:rsidRDefault="00FD1BD1" w:rsidP="00FD1BD1">
            <w:pPr>
              <w:pStyle w:val="Caption"/>
            </w:pPr>
            <w:bookmarkStart w:id="6" w:name="_Ref82529671"/>
            <w:bookmarkStart w:id="7" w:name="_Toc139902359"/>
            <w:r>
              <w:t xml:space="preserve">Box </w:t>
            </w:r>
            <w:fldSimple w:instr=" SEQ Box \* ARABIC ">
              <w:r w:rsidR="00D57A44">
                <w:rPr>
                  <w:noProof/>
                </w:rPr>
                <w:t>1</w:t>
              </w:r>
            </w:fldSimple>
            <w:bookmarkEnd w:id="6"/>
            <w:r>
              <w:t>: The Asian Development Bank Multiregional Input–Output Database</w:t>
            </w:r>
            <w:bookmarkEnd w:id="7"/>
          </w:p>
          <w:p w14:paraId="151D2366" w14:textId="4D3682EB" w:rsidR="00FD1BD1" w:rsidRDefault="003B09F4" w:rsidP="00FD1BD1">
            <w:pPr>
              <w:pStyle w:val="Box"/>
            </w:pPr>
            <w:r>
              <w:t xml:space="preserve">The Asian Development Bank (ADB) Multiregional Input–Output (MRIO) Database is </w:t>
            </w:r>
            <w:r w:rsidR="008541C5">
              <w:t>a time series of</w:t>
            </w:r>
            <w:r>
              <w:t xml:space="preserve"> intercountry input–output </w:t>
            </w:r>
            <w:r w:rsidR="008541C5">
              <w:t xml:space="preserve">tables </w:t>
            </w:r>
            <w:r>
              <w:t xml:space="preserve">maintained by </w:t>
            </w:r>
            <w:r w:rsidR="00EB3041">
              <w:t xml:space="preserve">a dedicated team in </w:t>
            </w:r>
            <w:r w:rsidR="008541C5">
              <w:t>ADB</w:t>
            </w:r>
            <w:r w:rsidR="00EB3041">
              <w:t>.</w:t>
            </w:r>
            <w:r w:rsidR="008541C5">
              <w:t xml:space="preserve"> </w:t>
            </w:r>
            <w:r w:rsidR="00296246">
              <w:t xml:space="preserve">Information on </w:t>
            </w:r>
            <w:r w:rsidR="00AA1EF5">
              <w:t xml:space="preserve">cross-sectoral linkages are </w:t>
            </w:r>
            <w:r w:rsidR="00296246">
              <w:t xml:space="preserve">provided for </w:t>
            </w:r>
            <w:r w:rsidR="00596D31">
              <w:t>72</w:t>
            </w:r>
            <w:r w:rsidR="00296246">
              <w:t xml:space="preserve"> countries </w:t>
            </w:r>
            <w:r w:rsidR="00596D31">
              <w:t>for the years 2017–2022 and for 62 countries for the years 2000 and 2007–20</w:t>
            </w:r>
            <w:r w:rsidR="00F25F8D">
              <w:t>16</w:t>
            </w:r>
            <w:r w:rsidR="00296246">
              <w:t>. A residua</w:t>
            </w:r>
            <w:r w:rsidR="00FB178C">
              <w:t>l</w:t>
            </w:r>
            <w:r w:rsidR="00296246">
              <w:t xml:space="preserve"> “Rest of the world” entity is also included, allowing the table to capture </w:t>
            </w:r>
            <w:r w:rsidR="000D1163">
              <w:t xml:space="preserve">the entirety of </w:t>
            </w:r>
            <w:r w:rsidR="00296246">
              <w:t>global flows.</w:t>
            </w:r>
          </w:p>
          <w:p w14:paraId="63309F1C" w14:textId="50D8A043" w:rsidR="002E663F" w:rsidRDefault="00F44D43" w:rsidP="00C93B4E">
            <w:pPr>
              <w:pStyle w:val="Box"/>
            </w:pPr>
            <w:r>
              <w:t xml:space="preserve">The ADB MRIO Database </w:t>
            </w:r>
            <w:r w:rsidR="00F25F8D">
              <w:t>was originally</w:t>
            </w:r>
            <w:r>
              <w:t xml:space="preserve"> an extended version of the World Input–Output Database, 2013 release</w:t>
            </w:r>
            <w:r w:rsidR="00652163">
              <w:t>. Each country or economy is divided into 35 sectors, based on Table A2 of</w:t>
            </w:r>
            <w:r w:rsidR="00085541">
              <w:t xml:space="preserve"> Timmer, et al. </w:t>
            </w:r>
            <w:r w:rsidR="00652163">
              <w:t>(</w:t>
            </w:r>
            <w:r w:rsidR="00085541">
              <w:t>201</w:t>
            </w:r>
            <w:r w:rsidR="00652163">
              <w:t>5)</w:t>
            </w:r>
            <w:r>
              <w:t xml:space="preserve">. </w:t>
            </w:r>
            <w:r w:rsidR="002E663F">
              <w:t xml:space="preserve">There are five final demand categories: </w:t>
            </w:r>
            <w:r w:rsidR="002E663F" w:rsidRPr="00CA45CF">
              <w:t>household final consumption expenditure</w:t>
            </w:r>
            <w:r w:rsidR="002E663F">
              <w:t xml:space="preserve"> (FCE)</w:t>
            </w:r>
            <w:r w:rsidR="002E663F" w:rsidRPr="00CA45CF">
              <w:t>, non-profit institutions serving households FCE, government FCE, gross fixed capital formation, and changes in inventories.</w:t>
            </w:r>
          </w:p>
          <w:p w14:paraId="6C48C2BA" w14:textId="0BB93CF8" w:rsidR="005D3CFB" w:rsidRDefault="00E119F4" w:rsidP="007B2CA0">
            <w:pPr>
              <w:pStyle w:val="Box"/>
            </w:pPr>
            <w:r>
              <w:t>Officially published national supply–use tables (SUTs) and/or input–output tables (IOTs) serve as benchmarks in the construction of the ADB MRIO. In each national SUT or IOT, sectoral and product classifications were harmonized to follow the 35 sectors, and whenever necessary, SUTs were transformed into IOTs following the industry technology transformation assumption discussed in European Commission (2008).</w:t>
            </w:r>
            <w:r w:rsidR="007B2CA0">
              <w:t xml:space="preserve"> </w:t>
            </w:r>
          </w:p>
          <w:p w14:paraId="69CDB20E" w14:textId="24323F31" w:rsidR="00E119F4" w:rsidRDefault="00E119F4" w:rsidP="007B2CA0">
            <w:pPr>
              <w:pStyle w:val="Box"/>
            </w:pPr>
            <w:r>
              <w:t xml:space="preserve">Benchmark IOTs also serve as the base structure for producing time-series of the ADB MRIO tables using published estimates on gross output, gross value added, taxes less subsidies on products, imports, and exports sourced from national statistical agencies and central bank databases as control totals. The structure of imports and exports are based on bilateral trade data extracted from </w:t>
            </w:r>
            <w:r w:rsidR="005D3CFB">
              <w:t>the United Nations</w:t>
            </w:r>
            <w:r>
              <w:t xml:space="preserve"> COMTRADE </w:t>
            </w:r>
            <w:r w:rsidR="005D3CFB">
              <w:t xml:space="preserve">Database </w:t>
            </w:r>
            <w:r>
              <w:t xml:space="preserve">and government trade and balance of payments statistics. Once the national IOTs are integrated into the </w:t>
            </w:r>
            <w:r w:rsidR="00234F9A">
              <w:t>MRIO</w:t>
            </w:r>
            <w:r>
              <w:t>, accounts for the sectors of “</w:t>
            </w:r>
            <w:r w:rsidR="00F25F8D">
              <w:t>R</w:t>
            </w:r>
            <w:r>
              <w:t xml:space="preserve">est of the world” are manually and systematically adjusted to ensure consistency with economy–sector totals in the </w:t>
            </w:r>
            <w:r w:rsidR="00234F9A">
              <w:t>MRIO</w:t>
            </w:r>
            <w:r>
              <w:t>.</w:t>
            </w:r>
          </w:p>
          <w:p w14:paraId="7FEC0BAA" w14:textId="20754605" w:rsidR="00D24641" w:rsidRDefault="00C93B4E" w:rsidP="00D24641">
            <w:pPr>
              <w:pStyle w:val="Box"/>
            </w:pPr>
            <w:r>
              <w:t xml:space="preserve">The basic structure of each of </w:t>
            </w:r>
            <w:r w:rsidR="0088085A">
              <w:t>MRIO</w:t>
            </w:r>
            <w:r>
              <w:t xml:space="preserve"> table</w:t>
            </w:r>
            <w:r w:rsidR="0088085A">
              <w:t xml:space="preserve"> </w:t>
            </w:r>
            <w:r>
              <w:t xml:space="preserve">is </w:t>
            </w:r>
            <w:r w:rsidR="00D24641">
              <w:t>given below</w:t>
            </w:r>
            <w:r>
              <w:t xml:space="preserve">. </w:t>
            </w:r>
            <w:r w:rsidR="00D24641" w:rsidRPr="00C93B4E">
              <w:t xml:space="preserve">It is composed of </w:t>
            </w:r>
            <w:r w:rsidR="00D24641" w:rsidRPr="00767BAE">
              <w:rPr>
                <w:b/>
                <w:bCs/>
              </w:rPr>
              <w:t>Z</w:t>
            </w:r>
            <w:r w:rsidR="00D24641" w:rsidRPr="00C93B4E">
              <w:t>, a matrix of intermediates</w:t>
            </w:r>
            <w:r w:rsidR="00D24641">
              <w:t xml:space="preserve"> use</w:t>
            </w:r>
            <w:r w:rsidR="00D24641" w:rsidRPr="00C93B4E">
              <w:t xml:space="preserve">; </w:t>
            </w:r>
            <w:r w:rsidR="00D24641" w:rsidRPr="00767BAE">
              <w:rPr>
                <w:b/>
                <w:bCs/>
              </w:rPr>
              <w:t>Y</w:t>
            </w:r>
            <w:r w:rsidR="00D24641" w:rsidRPr="00C93B4E">
              <w:t xml:space="preserve">, a matrix of final </w:t>
            </w:r>
            <w:r w:rsidR="00D24641">
              <w:t>demand</w:t>
            </w:r>
            <w:r w:rsidR="00D24641" w:rsidRPr="00C93B4E">
              <w:t xml:space="preserve">; </w:t>
            </w:r>
            <w:r w:rsidR="00D24641" w:rsidRPr="00767BAE">
              <w:rPr>
                <w:b/>
                <w:bCs/>
              </w:rPr>
              <w:t>va</w:t>
            </w:r>
            <w:r w:rsidR="00D24641" w:rsidRPr="00C93B4E">
              <w:t xml:space="preserve">, a vector of </w:t>
            </w:r>
            <w:r w:rsidR="00D24641">
              <w:t>country-</w:t>
            </w:r>
            <w:r w:rsidR="00D24641" w:rsidRPr="00C93B4E">
              <w:t xml:space="preserve">sector value added; and </w:t>
            </w:r>
            <w:r w:rsidR="00D24641" w:rsidRPr="00767BAE">
              <w:rPr>
                <w:b/>
                <w:bCs/>
              </w:rPr>
              <w:t>x</w:t>
            </w:r>
            <w:r w:rsidR="00D24641" w:rsidRPr="00C93B4E">
              <w:t xml:space="preserve">, a vector of output. Read vertically, the table shows the purchases of each </w:t>
            </w:r>
            <w:r w:rsidR="00D24641">
              <w:t>country-</w:t>
            </w:r>
            <w:r w:rsidR="00D24641" w:rsidRPr="00C93B4E">
              <w:t xml:space="preserve">sector, distinguished between intermediate inputs and primary inputs, the latter also called value added. Read horizontally, it shows the sales of each </w:t>
            </w:r>
            <w:r w:rsidR="00D24641">
              <w:t>country-</w:t>
            </w:r>
            <w:r w:rsidR="00D24641" w:rsidRPr="00C93B4E">
              <w:t xml:space="preserve">sector, distinguished between intermediate sales and final sales. The market-clearing condition stipulates that total purchases and total sales for each </w:t>
            </w:r>
            <w:r w:rsidR="00D24641">
              <w:t>country-</w:t>
            </w:r>
            <w:r w:rsidR="00D24641" w:rsidRPr="00C93B4E">
              <w:t>sector must equal. This amount is total output.</w:t>
            </w:r>
          </w:p>
          <w:p w14:paraId="6C137744" w14:textId="1D886BB3" w:rsidR="00C93B4E" w:rsidRDefault="00C93B4E" w:rsidP="00C93B4E">
            <w:pPr>
              <w:pStyle w:val="Box"/>
            </w:pPr>
          </w:p>
          <w:p w14:paraId="7D73C6E9" w14:textId="5DA2C5D0" w:rsidR="00C93B4E" w:rsidRPr="00C93B4E" w:rsidRDefault="00C93B4E" w:rsidP="00C93B4E">
            <w:pPr>
              <w:pStyle w:val="Box"/>
              <w:jc w:val="center"/>
              <w:rPr>
                <w:b/>
                <w:bCs/>
              </w:rPr>
            </w:pPr>
            <w:r w:rsidRPr="00C93B4E">
              <w:rPr>
                <w:b/>
                <w:bCs/>
              </w:rPr>
              <w:t>A Schematic Representation of the ADB MRIO</w:t>
            </w:r>
          </w:p>
          <w:tbl>
            <w:tblPr>
              <w:tblStyle w:val="TableGrid"/>
              <w:tblW w:w="7265" w:type="dxa"/>
              <w:jc w:val="center"/>
              <w:tblLook w:val="04A0" w:firstRow="1" w:lastRow="0" w:firstColumn="1" w:lastColumn="0" w:noHBand="0" w:noVBand="1"/>
            </w:tblPr>
            <w:tblGrid>
              <w:gridCol w:w="861"/>
              <w:gridCol w:w="389"/>
              <w:gridCol w:w="1082"/>
              <w:gridCol w:w="556"/>
              <w:gridCol w:w="1085"/>
              <w:gridCol w:w="1042"/>
              <w:gridCol w:w="562"/>
              <w:gridCol w:w="1121"/>
              <w:gridCol w:w="567"/>
            </w:tblGrid>
            <w:tr w:rsidR="00C93B4E" w:rsidRPr="00481831" w14:paraId="4A082A5F" w14:textId="77777777" w:rsidTr="00767BAE">
              <w:trPr>
                <w:trHeight w:val="271"/>
                <w:jc w:val="center"/>
              </w:trPr>
              <w:tc>
                <w:tcPr>
                  <w:tcW w:w="867" w:type="dxa"/>
                  <w:tcBorders>
                    <w:top w:val="nil"/>
                    <w:left w:val="nil"/>
                    <w:bottom w:val="nil"/>
                    <w:right w:val="nil"/>
                  </w:tcBorders>
                </w:tcPr>
                <w:p w14:paraId="41D36623" w14:textId="77777777" w:rsidR="00C93B4E" w:rsidRPr="00481831" w:rsidRDefault="00C93B4E" w:rsidP="00C93B4E">
                  <w:pPr>
                    <w:spacing w:after="0" w:line="240" w:lineRule="auto"/>
                    <w:rPr>
                      <w:rFonts w:ascii="Calibri" w:hAnsi="Calibri" w:cs="Calibri"/>
                      <w:sz w:val="12"/>
                      <w:szCs w:val="12"/>
                    </w:rPr>
                  </w:pPr>
                </w:p>
              </w:tc>
              <w:tc>
                <w:tcPr>
                  <w:tcW w:w="328" w:type="dxa"/>
                  <w:tcBorders>
                    <w:top w:val="nil"/>
                    <w:left w:val="nil"/>
                    <w:bottom w:val="nil"/>
                    <w:right w:val="single" w:sz="4" w:space="0" w:color="auto"/>
                  </w:tcBorders>
                </w:tcPr>
                <w:p w14:paraId="66021F0F" w14:textId="77777777" w:rsidR="00C93B4E" w:rsidRPr="00481831" w:rsidRDefault="00C93B4E" w:rsidP="00C93B4E">
                  <w:pPr>
                    <w:spacing w:after="0" w:line="240" w:lineRule="auto"/>
                    <w:jc w:val="center"/>
                    <w:rPr>
                      <w:rFonts w:ascii="Calibri" w:hAnsi="Calibri" w:cs="Calibri"/>
                      <w:sz w:val="12"/>
                      <w:szCs w:val="12"/>
                    </w:rPr>
                  </w:pPr>
                </w:p>
              </w:tc>
              <w:tc>
                <w:tcPr>
                  <w:tcW w:w="1093" w:type="dxa"/>
                  <w:tcBorders>
                    <w:left w:val="single" w:sz="4" w:space="0" w:color="auto"/>
                  </w:tcBorders>
                  <w:shd w:val="clear" w:color="auto" w:fill="FFFFFF" w:themeFill="background1"/>
                  <w:vAlign w:val="center"/>
                </w:tcPr>
                <w:p w14:paraId="7A6E7430" w14:textId="0D44F76A" w:rsidR="00C93B4E" w:rsidRPr="00CB02BA" w:rsidRDefault="00767BAE" w:rsidP="00C93B4E">
                  <w:pPr>
                    <w:spacing w:after="0" w:line="240" w:lineRule="auto"/>
                    <w:jc w:val="center"/>
                    <w:rPr>
                      <w:rFonts w:ascii="Calibri" w:hAnsi="Calibri" w:cs="Calibri"/>
                      <w:b/>
                      <w:bCs/>
                      <w:sz w:val="12"/>
                      <w:szCs w:val="12"/>
                    </w:rPr>
                  </w:pPr>
                  <w:r>
                    <w:rPr>
                      <w:rFonts w:ascii="Calibri" w:hAnsi="Calibri" w:cs="Calibri"/>
                      <w:b/>
                      <w:bCs/>
                      <w:sz w:val="12"/>
                      <w:szCs w:val="12"/>
                    </w:rPr>
                    <w:t>Country</w:t>
                  </w:r>
                  <w:r w:rsidR="00C93B4E" w:rsidRPr="00CB02BA">
                    <w:rPr>
                      <w:rFonts w:ascii="Calibri" w:hAnsi="Calibri" w:cs="Calibri"/>
                      <w:b/>
                      <w:bCs/>
                      <w:sz w:val="12"/>
                      <w:szCs w:val="12"/>
                    </w:rPr>
                    <w:t xml:space="preserve"> A</w:t>
                  </w:r>
                </w:p>
              </w:tc>
              <w:tc>
                <w:tcPr>
                  <w:tcW w:w="561" w:type="dxa"/>
                  <w:shd w:val="clear" w:color="auto" w:fill="FFFFFF" w:themeFill="background1"/>
                  <w:vAlign w:val="center"/>
                </w:tcPr>
                <w:p w14:paraId="7A6C4B4C" w14:textId="77777777" w:rsidR="00C93B4E" w:rsidRPr="00CB02BA" w:rsidRDefault="00C93B4E" w:rsidP="00C93B4E">
                  <w:pPr>
                    <w:spacing w:after="0" w:line="240" w:lineRule="auto"/>
                    <w:jc w:val="center"/>
                    <w:rPr>
                      <w:rFonts w:ascii="Calibri" w:hAnsi="Calibri" w:cs="Calibri"/>
                      <w:b/>
                      <w:bCs/>
                      <w:sz w:val="12"/>
                      <w:szCs w:val="12"/>
                    </w:rPr>
                  </w:pPr>
                  <m:oMathPara>
                    <m:oMath>
                      <m:r>
                        <m:rPr>
                          <m:sty m:val="bi"/>
                        </m:rPr>
                        <w:rPr>
                          <w:rFonts w:ascii="Cambria Math" w:hAnsi="Cambria Math" w:cs="Calibri"/>
                          <w:sz w:val="12"/>
                          <w:szCs w:val="12"/>
                        </w:rPr>
                        <m:t>⋯</m:t>
                      </m:r>
                    </m:oMath>
                  </m:oMathPara>
                </w:p>
              </w:tc>
              <w:tc>
                <w:tcPr>
                  <w:tcW w:w="1097" w:type="dxa"/>
                  <w:shd w:val="clear" w:color="auto" w:fill="FFFFFF" w:themeFill="background1"/>
                  <w:vAlign w:val="center"/>
                </w:tcPr>
                <w:p w14:paraId="2791982C" w14:textId="77777777" w:rsidR="00C93B4E" w:rsidRPr="00CB02BA" w:rsidRDefault="00C93B4E" w:rsidP="00C93B4E">
                  <w:pPr>
                    <w:spacing w:after="0" w:line="240" w:lineRule="auto"/>
                    <w:jc w:val="center"/>
                    <w:rPr>
                      <w:rFonts w:ascii="Calibri" w:hAnsi="Calibri" w:cs="Calibri"/>
                      <w:b/>
                      <w:bCs/>
                      <w:sz w:val="12"/>
                      <w:szCs w:val="12"/>
                    </w:rPr>
                  </w:pPr>
                  <w:r w:rsidRPr="00CB02BA">
                    <w:rPr>
                      <w:rFonts w:ascii="Calibri" w:hAnsi="Calibri" w:cs="Calibri"/>
                      <w:b/>
                      <w:bCs/>
                      <w:sz w:val="12"/>
                      <w:szCs w:val="12"/>
                    </w:rPr>
                    <w:t>Rest of the world</w:t>
                  </w:r>
                </w:p>
              </w:tc>
              <w:tc>
                <w:tcPr>
                  <w:tcW w:w="1051" w:type="dxa"/>
                  <w:shd w:val="clear" w:color="auto" w:fill="FFFFFF" w:themeFill="background1"/>
                  <w:vAlign w:val="center"/>
                </w:tcPr>
                <w:p w14:paraId="1787A9AD" w14:textId="5DEA4128" w:rsidR="00C93B4E" w:rsidRPr="00CB02BA" w:rsidRDefault="00767BAE" w:rsidP="00C93B4E">
                  <w:pPr>
                    <w:spacing w:after="0" w:line="240" w:lineRule="auto"/>
                    <w:jc w:val="center"/>
                    <w:rPr>
                      <w:rFonts w:ascii="Calibri" w:hAnsi="Calibri" w:cs="Calibri"/>
                      <w:b/>
                      <w:bCs/>
                      <w:sz w:val="12"/>
                      <w:szCs w:val="12"/>
                    </w:rPr>
                  </w:pPr>
                  <w:r>
                    <w:rPr>
                      <w:rFonts w:ascii="Calibri" w:hAnsi="Calibri" w:cs="Calibri"/>
                      <w:b/>
                      <w:bCs/>
                      <w:sz w:val="12"/>
                      <w:szCs w:val="12"/>
                    </w:rPr>
                    <w:t>Country</w:t>
                  </w:r>
                  <w:r w:rsidRPr="00CB02BA">
                    <w:rPr>
                      <w:rFonts w:ascii="Calibri" w:hAnsi="Calibri" w:cs="Calibri"/>
                      <w:b/>
                      <w:bCs/>
                      <w:sz w:val="12"/>
                      <w:szCs w:val="12"/>
                    </w:rPr>
                    <w:t xml:space="preserve"> </w:t>
                  </w:r>
                  <w:r w:rsidR="00C93B4E" w:rsidRPr="00CB02BA">
                    <w:rPr>
                      <w:rFonts w:ascii="Calibri" w:hAnsi="Calibri" w:cs="Calibri"/>
                      <w:b/>
                      <w:bCs/>
                      <w:sz w:val="12"/>
                      <w:szCs w:val="12"/>
                    </w:rPr>
                    <w:t>A</w:t>
                  </w:r>
                </w:p>
              </w:tc>
              <w:tc>
                <w:tcPr>
                  <w:tcW w:w="567" w:type="dxa"/>
                  <w:shd w:val="clear" w:color="auto" w:fill="FFFFFF" w:themeFill="background1"/>
                  <w:vAlign w:val="center"/>
                </w:tcPr>
                <w:p w14:paraId="4A851595" w14:textId="77777777" w:rsidR="00C93B4E" w:rsidRPr="00CB02BA" w:rsidRDefault="00C93B4E" w:rsidP="00C93B4E">
                  <w:pPr>
                    <w:spacing w:after="0" w:line="240" w:lineRule="auto"/>
                    <w:jc w:val="center"/>
                    <w:rPr>
                      <w:rFonts w:ascii="Calibri" w:hAnsi="Calibri" w:cs="Calibri"/>
                      <w:b/>
                      <w:bCs/>
                      <w:sz w:val="12"/>
                      <w:szCs w:val="12"/>
                    </w:rPr>
                  </w:pPr>
                  <m:oMathPara>
                    <m:oMath>
                      <m:r>
                        <m:rPr>
                          <m:sty m:val="bi"/>
                        </m:rPr>
                        <w:rPr>
                          <w:rFonts w:ascii="Cambria Math" w:hAnsi="Cambria Math" w:cs="Calibri"/>
                          <w:sz w:val="12"/>
                          <w:szCs w:val="12"/>
                        </w:rPr>
                        <m:t>⋯</m:t>
                      </m:r>
                    </m:oMath>
                  </m:oMathPara>
                </w:p>
              </w:tc>
              <w:tc>
                <w:tcPr>
                  <w:tcW w:w="1134" w:type="dxa"/>
                  <w:shd w:val="clear" w:color="auto" w:fill="FFFFFF" w:themeFill="background1"/>
                  <w:vAlign w:val="center"/>
                </w:tcPr>
                <w:p w14:paraId="6E99D6C2" w14:textId="77777777" w:rsidR="00C93B4E" w:rsidRPr="00CB02BA" w:rsidRDefault="00C93B4E" w:rsidP="00C93B4E">
                  <w:pPr>
                    <w:spacing w:after="0" w:line="240" w:lineRule="auto"/>
                    <w:jc w:val="center"/>
                    <w:rPr>
                      <w:rFonts w:ascii="Calibri" w:hAnsi="Calibri" w:cs="Calibri"/>
                      <w:b/>
                      <w:bCs/>
                      <w:sz w:val="12"/>
                      <w:szCs w:val="12"/>
                    </w:rPr>
                  </w:pPr>
                  <w:r w:rsidRPr="00CB02BA">
                    <w:rPr>
                      <w:rFonts w:ascii="Calibri" w:hAnsi="Calibri" w:cs="Calibri"/>
                      <w:b/>
                      <w:bCs/>
                      <w:sz w:val="12"/>
                      <w:szCs w:val="12"/>
                    </w:rPr>
                    <w:t>Rest of the world</w:t>
                  </w:r>
                </w:p>
              </w:tc>
              <w:tc>
                <w:tcPr>
                  <w:tcW w:w="567" w:type="dxa"/>
                  <w:vMerge w:val="restart"/>
                  <w:shd w:val="clear" w:color="auto" w:fill="FFFFFF" w:themeFill="background1"/>
                  <w:vAlign w:val="center"/>
                </w:tcPr>
                <w:p w14:paraId="1ED0C451" w14:textId="77777777" w:rsidR="00C93B4E" w:rsidRPr="00CB02BA" w:rsidRDefault="00C93B4E" w:rsidP="00C93B4E">
                  <w:pPr>
                    <w:spacing w:after="0" w:line="240" w:lineRule="auto"/>
                    <w:jc w:val="center"/>
                    <w:rPr>
                      <w:rFonts w:ascii="Calibri" w:hAnsi="Calibri" w:cs="Calibri"/>
                      <w:b/>
                      <w:bCs/>
                      <w:sz w:val="12"/>
                      <w:szCs w:val="12"/>
                    </w:rPr>
                  </w:pPr>
                  <w:r w:rsidRPr="00CB02BA">
                    <w:rPr>
                      <w:rFonts w:ascii="Calibri" w:hAnsi="Calibri" w:cs="Calibri"/>
                      <w:b/>
                      <w:bCs/>
                      <w:sz w:val="12"/>
                      <w:szCs w:val="12"/>
                    </w:rPr>
                    <w:t>Total output</w:t>
                  </w:r>
                </w:p>
              </w:tc>
            </w:tr>
            <w:tr w:rsidR="00C93B4E" w:rsidRPr="00481831" w14:paraId="46AF1D89" w14:textId="77777777" w:rsidTr="00767BAE">
              <w:trPr>
                <w:trHeight w:val="261"/>
                <w:jc w:val="center"/>
              </w:trPr>
              <w:tc>
                <w:tcPr>
                  <w:tcW w:w="867" w:type="dxa"/>
                  <w:tcBorders>
                    <w:top w:val="nil"/>
                    <w:left w:val="nil"/>
                    <w:bottom w:val="single" w:sz="4" w:space="0" w:color="auto"/>
                    <w:right w:val="nil"/>
                  </w:tcBorders>
                  <w:vAlign w:val="center"/>
                </w:tcPr>
                <w:p w14:paraId="364E5B46" w14:textId="77777777" w:rsidR="00C93B4E" w:rsidRPr="00481831" w:rsidRDefault="00C93B4E" w:rsidP="00C93B4E">
                  <w:pPr>
                    <w:spacing w:after="0" w:line="240" w:lineRule="auto"/>
                    <w:jc w:val="center"/>
                    <w:rPr>
                      <w:rFonts w:ascii="Calibri" w:hAnsi="Calibri" w:cs="Calibri"/>
                      <w:sz w:val="12"/>
                      <w:szCs w:val="12"/>
                    </w:rPr>
                  </w:pPr>
                </w:p>
              </w:tc>
              <w:tc>
                <w:tcPr>
                  <w:tcW w:w="328" w:type="dxa"/>
                  <w:tcBorders>
                    <w:top w:val="nil"/>
                    <w:left w:val="nil"/>
                    <w:bottom w:val="single" w:sz="4" w:space="0" w:color="auto"/>
                    <w:right w:val="single" w:sz="4" w:space="0" w:color="auto"/>
                  </w:tcBorders>
                  <w:vAlign w:val="center"/>
                </w:tcPr>
                <w:p w14:paraId="77106152" w14:textId="77777777" w:rsidR="00C93B4E" w:rsidRPr="00481831" w:rsidRDefault="00C93B4E" w:rsidP="00C93B4E">
                  <w:pPr>
                    <w:spacing w:after="0" w:line="240" w:lineRule="auto"/>
                    <w:jc w:val="center"/>
                    <w:rPr>
                      <w:rFonts w:ascii="Calibri" w:hAnsi="Calibri" w:cs="Calibri"/>
                      <w:sz w:val="12"/>
                      <w:szCs w:val="12"/>
                    </w:rPr>
                  </w:pPr>
                </w:p>
              </w:tc>
              <w:tc>
                <w:tcPr>
                  <w:tcW w:w="1093" w:type="dxa"/>
                  <w:tcBorders>
                    <w:left w:val="single" w:sz="4" w:space="0" w:color="auto"/>
                  </w:tcBorders>
                  <w:shd w:val="clear" w:color="auto" w:fill="FFFFFF" w:themeFill="background1"/>
                  <w:vAlign w:val="center"/>
                </w:tcPr>
                <w:p w14:paraId="4A727F46" w14:textId="77777777"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 xml:space="preserve">c1 </w:t>
                  </w:r>
                  <m:oMath>
                    <m:r>
                      <w:rPr>
                        <w:rFonts w:ascii="Cambria Math" w:hAnsi="Cambria Math" w:cs="Calibri"/>
                        <w:sz w:val="12"/>
                        <w:szCs w:val="12"/>
                      </w:rPr>
                      <m:t>⋯</m:t>
                    </m:r>
                  </m:oMath>
                  <w:r w:rsidRPr="00481831">
                    <w:rPr>
                      <w:rFonts w:ascii="Calibri" w:hAnsi="Calibri" w:cs="Calibri"/>
                      <w:sz w:val="12"/>
                      <w:szCs w:val="12"/>
                    </w:rPr>
                    <w:t xml:space="preserve"> c35</w:t>
                  </w:r>
                </w:p>
              </w:tc>
              <w:tc>
                <w:tcPr>
                  <w:tcW w:w="561" w:type="dxa"/>
                  <w:shd w:val="clear" w:color="auto" w:fill="FFFFFF" w:themeFill="background1"/>
                  <w:vAlign w:val="center"/>
                </w:tcPr>
                <w:p w14:paraId="25897D45" w14:textId="77777777" w:rsidR="00C93B4E" w:rsidRPr="00481831" w:rsidRDefault="00C93B4E" w:rsidP="00C93B4E">
                  <w:pPr>
                    <w:spacing w:after="0" w:line="240" w:lineRule="auto"/>
                    <w:jc w:val="center"/>
                    <w:rPr>
                      <w:rFonts w:ascii="Calibri" w:hAnsi="Calibri" w:cs="Calibri"/>
                      <w:sz w:val="12"/>
                      <w:szCs w:val="12"/>
                    </w:rPr>
                  </w:pPr>
                  <m:oMathPara>
                    <m:oMath>
                      <m:r>
                        <w:rPr>
                          <w:rFonts w:ascii="Cambria Math" w:hAnsi="Cambria Math" w:cs="Calibri"/>
                          <w:sz w:val="12"/>
                          <w:szCs w:val="12"/>
                        </w:rPr>
                        <m:t>⋯</m:t>
                      </m:r>
                    </m:oMath>
                  </m:oMathPara>
                </w:p>
              </w:tc>
              <w:tc>
                <w:tcPr>
                  <w:tcW w:w="1097" w:type="dxa"/>
                  <w:shd w:val="clear" w:color="auto" w:fill="FFFFFF" w:themeFill="background1"/>
                  <w:vAlign w:val="center"/>
                </w:tcPr>
                <w:p w14:paraId="26977591" w14:textId="77777777"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 xml:space="preserve">c1 </w:t>
                  </w:r>
                  <m:oMath>
                    <m:r>
                      <w:rPr>
                        <w:rFonts w:ascii="Cambria Math" w:hAnsi="Cambria Math" w:cs="Calibri"/>
                        <w:sz w:val="12"/>
                        <w:szCs w:val="12"/>
                      </w:rPr>
                      <m:t>⋯</m:t>
                    </m:r>
                  </m:oMath>
                  <w:r w:rsidRPr="00481831">
                    <w:rPr>
                      <w:rFonts w:ascii="Calibri" w:hAnsi="Calibri" w:cs="Calibri"/>
                      <w:sz w:val="12"/>
                      <w:szCs w:val="12"/>
                    </w:rPr>
                    <w:t xml:space="preserve"> c35</w:t>
                  </w:r>
                </w:p>
              </w:tc>
              <w:tc>
                <w:tcPr>
                  <w:tcW w:w="1051" w:type="dxa"/>
                  <w:shd w:val="clear" w:color="auto" w:fill="FFFFFF" w:themeFill="background1"/>
                  <w:vAlign w:val="center"/>
                </w:tcPr>
                <w:p w14:paraId="1B8609AE" w14:textId="77777777"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 xml:space="preserve">f1 </w:t>
                  </w:r>
                  <m:oMath>
                    <m:r>
                      <w:rPr>
                        <w:rFonts w:ascii="Cambria Math" w:hAnsi="Cambria Math" w:cs="Calibri"/>
                        <w:sz w:val="12"/>
                        <w:szCs w:val="12"/>
                      </w:rPr>
                      <m:t>⋯</m:t>
                    </m:r>
                  </m:oMath>
                  <w:r w:rsidRPr="00481831">
                    <w:rPr>
                      <w:rFonts w:ascii="Calibri" w:hAnsi="Calibri" w:cs="Calibri"/>
                      <w:sz w:val="12"/>
                      <w:szCs w:val="12"/>
                    </w:rPr>
                    <w:t xml:space="preserve"> f5</w:t>
                  </w:r>
                </w:p>
              </w:tc>
              <w:tc>
                <w:tcPr>
                  <w:tcW w:w="567" w:type="dxa"/>
                  <w:shd w:val="clear" w:color="auto" w:fill="FFFFFF" w:themeFill="background1"/>
                  <w:vAlign w:val="center"/>
                </w:tcPr>
                <w:p w14:paraId="002E0F10" w14:textId="77777777" w:rsidR="00C93B4E" w:rsidRPr="00481831" w:rsidRDefault="00C93B4E" w:rsidP="00C93B4E">
                  <w:pPr>
                    <w:spacing w:after="0" w:line="240" w:lineRule="auto"/>
                    <w:jc w:val="center"/>
                    <w:rPr>
                      <w:rFonts w:ascii="Calibri" w:hAnsi="Calibri" w:cs="Calibri"/>
                      <w:sz w:val="12"/>
                      <w:szCs w:val="12"/>
                    </w:rPr>
                  </w:pPr>
                  <m:oMathPara>
                    <m:oMath>
                      <m:r>
                        <w:rPr>
                          <w:rFonts w:ascii="Cambria Math" w:hAnsi="Cambria Math" w:cs="Calibri"/>
                          <w:sz w:val="12"/>
                          <w:szCs w:val="12"/>
                        </w:rPr>
                        <m:t>⋯</m:t>
                      </m:r>
                    </m:oMath>
                  </m:oMathPara>
                </w:p>
              </w:tc>
              <w:tc>
                <w:tcPr>
                  <w:tcW w:w="1134" w:type="dxa"/>
                  <w:shd w:val="clear" w:color="auto" w:fill="FFFFFF" w:themeFill="background1"/>
                  <w:vAlign w:val="center"/>
                </w:tcPr>
                <w:p w14:paraId="02048ACB" w14:textId="77777777"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 xml:space="preserve">f1 </w:t>
                  </w:r>
                  <m:oMath>
                    <m:r>
                      <w:rPr>
                        <w:rFonts w:ascii="Cambria Math" w:hAnsi="Cambria Math" w:cs="Calibri"/>
                        <w:sz w:val="12"/>
                        <w:szCs w:val="12"/>
                      </w:rPr>
                      <m:t>⋯</m:t>
                    </m:r>
                  </m:oMath>
                  <w:r w:rsidRPr="00481831">
                    <w:rPr>
                      <w:rFonts w:ascii="Calibri" w:hAnsi="Calibri" w:cs="Calibri"/>
                      <w:sz w:val="12"/>
                      <w:szCs w:val="12"/>
                    </w:rPr>
                    <w:t xml:space="preserve"> f5</w:t>
                  </w:r>
                </w:p>
              </w:tc>
              <w:tc>
                <w:tcPr>
                  <w:tcW w:w="567" w:type="dxa"/>
                  <w:vMerge/>
                </w:tcPr>
                <w:p w14:paraId="034D4726" w14:textId="77777777" w:rsidR="00C93B4E" w:rsidRPr="00481831" w:rsidRDefault="00C93B4E" w:rsidP="00C93B4E">
                  <w:pPr>
                    <w:spacing w:after="0" w:line="240" w:lineRule="auto"/>
                    <w:jc w:val="center"/>
                    <w:rPr>
                      <w:rFonts w:ascii="Calibri" w:hAnsi="Calibri" w:cs="Calibri"/>
                      <w:sz w:val="12"/>
                      <w:szCs w:val="12"/>
                    </w:rPr>
                  </w:pPr>
                </w:p>
              </w:tc>
            </w:tr>
            <w:tr w:rsidR="00C93B4E" w:rsidRPr="00481831" w14:paraId="7E4411AA" w14:textId="77777777" w:rsidTr="00767BAE">
              <w:trPr>
                <w:trHeight w:val="578"/>
                <w:jc w:val="center"/>
              </w:trPr>
              <w:tc>
                <w:tcPr>
                  <w:tcW w:w="867" w:type="dxa"/>
                  <w:tcBorders>
                    <w:top w:val="single" w:sz="4" w:space="0" w:color="auto"/>
                  </w:tcBorders>
                  <w:shd w:val="clear" w:color="auto" w:fill="FFFFFF" w:themeFill="background1"/>
                  <w:vAlign w:val="center"/>
                </w:tcPr>
                <w:p w14:paraId="470CF92F" w14:textId="6E3AA929" w:rsidR="00C93B4E" w:rsidRPr="00CB02BA" w:rsidRDefault="00767BAE" w:rsidP="00C93B4E">
                  <w:pPr>
                    <w:spacing w:after="0" w:line="240" w:lineRule="auto"/>
                    <w:rPr>
                      <w:rFonts w:ascii="Calibri" w:hAnsi="Calibri" w:cs="Calibri"/>
                      <w:b/>
                      <w:bCs/>
                      <w:sz w:val="12"/>
                      <w:szCs w:val="12"/>
                    </w:rPr>
                  </w:pPr>
                  <w:r>
                    <w:rPr>
                      <w:rFonts w:ascii="Calibri" w:hAnsi="Calibri" w:cs="Calibri"/>
                      <w:b/>
                      <w:bCs/>
                      <w:sz w:val="12"/>
                      <w:szCs w:val="12"/>
                    </w:rPr>
                    <w:t>Country</w:t>
                  </w:r>
                  <w:r w:rsidRPr="00CB02BA">
                    <w:rPr>
                      <w:rFonts w:ascii="Calibri" w:hAnsi="Calibri" w:cs="Calibri"/>
                      <w:b/>
                      <w:bCs/>
                      <w:sz w:val="12"/>
                      <w:szCs w:val="12"/>
                    </w:rPr>
                    <w:t xml:space="preserve"> </w:t>
                  </w:r>
                  <w:r w:rsidR="00C93B4E" w:rsidRPr="00CB02BA">
                    <w:rPr>
                      <w:rFonts w:ascii="Calibri" w:hAnsi="Calibri" w:cs="Calibri"/>
                      <w:b/>
                      <w:bCs/>
                      <w:sz w:val="12"/>
                      <w:szCs w:val="12"/>
                    </w:rPr>
                    <w:t>A</w:t>
                  </w:r>
                </w:p>
              </w:tc>
              <w:tc>
                <w:tcPr>
                  <w:tcW w:w="328" w:type="dxa"/>
                  <w:tcBorders>
                    <w:top w:val="single" w:sz="4" w:space="0" w:color="auto"/>
                  </w:tcBorders>
                  <w:shd w:val="clear" w:color="auto" w:fill="FFFFFF" w:themeFill="background1"/>
                  <w:vAlign w:val="center"/>
                </w:tcPr>
                <w:p w14:paraId="57C04B27" w14:textId="77777777"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c1</w:t>
                  </w:r>
                </w:p>
                <w:p w14:paraId="070FF129" w14:textId="77777777" w:rsidR="00C93B4E" w:rsidRPr="00481831" w:rsidRDefault="00C93B4E" w:rsidP="00C93B4E">
                  <w:pPr>
                    <w:spacing w:after="0" w:line="240" w:lineRule="auto"/>
                    <w:jc w:val="center"/>
                    <w:rPr>
                      <w:rFonts w:ascii="Calibri" w:hAnsi="Calibri" w:cs="Calibri"/>
                      <w:sz w:val="12"/>
                      <w:szCs w:val="12"/>
                    </w:rPr>
                  </w:pPr>
                  <m:oMathPara>
                    <m:oMath>
                      <m:r>
                        <w:rPr>
                          <w:rFonts w:ascii="Cambria Math" w:hAnsi="Cambria Math" w:cs="Calibri"/>
                          <w:sz w:val="12"/>
                          <w:szCs w:val="12"/>
                        </w:rPr>
                        <m:t>⋮</m:t>
                      </m:r>
                    </m:oMath>
                  </m:oMathPara>
                </w:p>
                <w:p w14:paraId="09A36B25" w14:textId="327D0C9F"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c</w:t>
                  </w:r>
                  <w:r w:rsidR="00CF2D35">
                    <w:rPr>
                      <w:rFonts w:ascii="Calibri" w:hAnsi="Calibri" w:cs="Calibri"/>
                      <w:sz w:val="12"/>
                      <w:szCs w:val="12"/>
                    </w:rPr>
                    <w:t>3</w:t>
                  </w:r>
                  <w:r w:rsidRPr="00481831">
                    <w:rPr>
                      <w:rFonts w:ascii="Calibri" w:hAnsi="Calibri" w:cs="Calibri"/>
                      <w:sz w:val="12"/>
                      <w:szCs w:val="12"/>
                    </w:rPr>
                    <w:t>5</w:t>
                  </w:r>
                </w:p>
              </w:tc>
              <w:tc>
                <w:tcPr>
                  <w:tcW w:w="2751" w:type="dxa"/>
                  <w:gridSpan w:val="3"/>
                  <w:vMerge w:val="restart"/>
                  <w:shd w:val="clear" w:color="auto" w:fill="B4C6E7" w:themeFill="accent1" w:themeFillTint="66"/>
                  <w:vAlign w:val="center"/>
                </w:tcPr>
                <w:p w14:paraId="5D521539" w14:textId="77777777" w:rsidR="00C93B4E" w:rsidRPr="00481831" w:rsidRDefault="00C93B4E" w:rsidP="00C93B4E">
                  <w:pPr>
                    <w:spacing w:after="0" w:line="240" w:lineRule="auto"/>
                    <w:jc w:val="center"/>
                    <w:rPr>
                      <w:rFonts w:ascii="Calibri" w:hAnsi="Calibri" w:cs="Calibri"/>
                      <w:b/>
                      <w:bCs/>
                      <w:sz w:val="12"/>
                      <w:szCs w:val="12"/>
                    </w:rPr>
                  </w:pPr>
                  <w:r w:rsidRPr="00481831">
                    <w:rPr>
                      <w:rFonts w:ascii="Calibri" w:hAnsi="Calibri" w:cs="Calibri"/>
                      <w:b/>
                      <w:bCs/>
                      <w:sz w:val="12"/>
                      <w:szCs w:val="12"/>
                    </w:rPr>
                    <w:t>Z</w:t>
                  </w:r>
                </w:p>
              </w:tc>
              <w:tc>
                <w:tcPr>
                  <w:tcW w:w="2752" w:type="dxa"/>
                  <w:gridSpan w:val="3"/>
                  <w:vMerge w:val="restart"/>
                  <w:shd w:val="clear" w:color="auto" w:fill="F7CAAC" w:themeFill="accent2" w:themeFillTint="66"/>
                  <w:vAlign w:val="center"/>
                </w:tcPr>
                <w:p w14:paraId="3105210C" w14:textId="0FCCBAF3" w:rsidR="00C93B4E" w:rsidRPr="00481831" w:rsidRDefault="00C93B4E" w:rsidP="00C93B4E">
                  <w:pPr>
                    <w:spacing w:after="0" w:line="240" w:lineRule="auto"/>
                    <w:jc w:val="center"/>
                    <w:rPr>
                      <w:rFonts w:ascii="Calibri" w:hAnsi="Calibri" w:cs="Calibri"/>
                      <w:b/>
                      <w:bCs/>
                      <w:sz w:val="12"/>
                      <w:szCs w:val="12"/>
                    </w:rPr>
                  </w:pPr>
                  <w:r>
                    <w:rPr>
                      <w:rFonts w:ascii="Calibri" w:hAnsi="Calibri" w:cs="Calibri"/>
                      <w:b/>
                      <w:bCs/>
                      <w:sz w:val="12"/>
                      <w:szCs w:val="12"/>
                    </w:rPr>
                    <w:t>Y</w:t>
                  </w:r>
                </w:p>
              </w:tc>
              <w:tc>
                <w:tcPr>
                  <w:tcW w:w="567" w:type="dxa"/>
                  <w:vMerge w:val="restart"/>
                  <w:shd w:val="clear" w:color="auto" w:fill="C5E0B3" w:themeFill="accent6" w:themeFillTint="66"/>
                  <w:vAlign w:val="center"/>
                </w:tcPr>
                <w:p w14:paraId="2CD18E12" w14:textId="77777777" w:rsidR="00C93B4E" w:rsidRPr="00481831" w:rsidRDefault="00C93B4E" w:rsidP="00C93B4E">
                  <w:pPr>
                    <w:spacing w:after="0" w:line="240" w:lineRule="auto"/>
                    <w:jc w:val="center"/>
                    <w:rPr>
                      <w:rFonts w:ascii="Calibri" w:hAnsi="Calibri" w:cs="Calibri"/>
                      <w:b/>
                      <w:bCs/>
                      <w:sz w:val="12"/>
                      <w:szCs w:val="12"/>
                    </w:rPr>
                  </w:pPr>
                  <w:r>
                    <w:rPr>
                      <w:rFonts w:ascii="Calibri" w:hAnsi="Calibri" w:cs="Calibri"/>
                      <w:b/>
                      <w:bCs/>
                      <w:sz w:val="12"/>
                      <w:szCs w:val="12"/>
                    </w:rPr>
                    <w:t>x</w:t>
                  </w:r>
                </w:p>
              </w:tc>
            </w:tr>
            <w:tr w:rsidR="00C93B4E" w:rsidRPr="00481831" w14:paraId="545BA8A4" w14:textId="77777777" w:rsidTr="00767BAE">
              <w:trPr>
                <w:trHeight w:val="253"/>
                <w:jc w:val="center"/>
              </w:trPr>
              <w:tc>
                <w:tcPr>
                  <w:tcW w:w="867" w:type="dxa"/>
                  <w:shd w:val="clear" w:color="auto" w:fill="FFFFFF" w:themeFill="background1"/>
                  <w:vAlign w:val="center"/>
                </w:tcPr>
                <w:p w14:paraId="1466B1C1" w14:textId="77777777" w:rsidR="00C93B4E" w:rsidRPr="00CB02BA" w:rsidRDefault="00C93B4E" w:rsidP="00C93B4E">
                  <w:pPr>
                    <w:spacing w:after="0" w:line="240" w:lineRule="auto"/>
                    <w:rPr>
                      <w:rFonts w:ascii="Calibri" w:hAnsi="Calibri" w:cs="Calibri"/>
                      <w:b/>
                      <w:bCs/>
                      <w:sz w:val="12"/>
                      <w:szCs w:val="12"/>
                    </w:rPr>
                  </w:pPr>
                  <m:oMathPara>
                    <m:oMath>
                      <m:r>
                        <m:rPr>
                          <m:sty m:val="bi"/>
                        </m:rPr>
                        <w:rPr>
                          <w:rFonts w:ascii="Cambria Math" w:hAnsi="Cambria Math" w:cs="Calibri"/>
                          <w:sz w:val="12"/>
                          <w:szCs w:val="12"/>
                        </w:rPr>
                        <m:t>⋮</m:t>
                      </m:r>
                    </m:oMath>
                  </m:oMathPara>
                </w:p>
              </w:tc>
              <w:tc>
                <w:tcPr>
                  <w:tcW w:w="328" w:type="dxa"/>
                  <w:shd w:val="clear" w:color="auto" w:fill="FFFFFF" w:themeFill="background1"/>
                  <w:vAlign w:val="center"/>
                </w:tcPr>
                <w:p w14:paraId="42BDEA7E" w14:textId="77777777" w:rsidR="00C93B4E" w:rsidRPr="00481831" w:rsidRDefault="00C93B4E" w:rsidP="00C93B4E">
                  <w:pPr>
                    <w:spacing w:after="0" w:line="240" w:lineRule="auto"/>
                    <w:jc w:val="center"/>
                    <w:rPr>
                      <w:rFonts w:ascii="Calibri" w:hAnsi="Calibri" w:cs="Calibri"/>
                      <w:sz w:val="12"/>
                      <w:szCs w:val="12"/>
                    </w:rPr>
                  </w:pPr>
                  <m:oMathPara>
                    <m:oMath>
                      <m:r>
                        <w:rPr>
                          <w:rFonts w:ascii="Cambria Math" w:hAnsi="Cambria Math" w:cs="Calibri"/>
                          <w:sz w:val="12"/>
                          <w:szCs w:val="12"/>
                        </w:rPr>
                        <m:t>⋮</m:t>
                      </m:r>
                    </m:oMath>
                  </m:oMathPara>
                </w:p>
              </w:tc>
              <w:tc>
                <w:tcPr>
                  <w:tcW w:w="2751" w:type="dxa"/>
                  <w:gridSpan w:val="3"/>
                  <w:vMerge/>
                  <w:shd w:val="clear" w:color="auto" w:fill="B4C6E7" w:themeFill="accent1" w:themeFillTint="66"/>
                  <w:vAlign w:val="center"/>
                </w:tcPr>
                <w:p w14:paraId="0AD9B227" w14:textId="77777777" w:rsidR="00C93B4E" w:rsidRPr="00481831" w:rsidRDefault="00C93B4E" w:rsidP="00C93B4E">
                  <w:pPr>
                    <w:spacing w:after="0" w:line="240" w:lineRule="auto"/>
                    <w:jc w:val="center"/>
                    <w:rPr>
                      <w:rFonts w:ascii="Calibri" w:hAnsi="Calibri" w:cs="Calibri"/>
                      <w:sz w:val="12"/>
                      <w:szCs w:val="12"/>
                    </w:rPr>
                  </w:pPr>
                </w:p>
              </w:tc>
              <w:tc>
                <w:tcPr>
                  <w:tcW w:w="2752" w:type="dxa"/>
                  <w:gridSpan w:val="3"/>
                  <w:vMerge/>
                  <w:shd w:val="clear" w:color="auto" w:fill="F7CAAC" w:themeFill="accent2" w:themeFillTint="66"/>
                  <w:vAlign w:val="center"/>
                </w:tcPr>
                <w:p w14:paraId="5C94357E" w14:textId="77777777" w:rsidR="00C93B4E" w:rsidRPr="00481831" w:rsidRDefault="00C93B4E" w:rsidP="00C93B4E">
                  <w:pPr>
                    <w:spacing w:after="0" w:line="240" w:lineRule="auto"/>
                    <w:jc w:val="center"/>
                    <w:rPr>
                      <w:rFonts w:ascii="Calibri" w:hAnsi="Calibri" w:cs="Calibri"/>
                      <w:sz w:val="12"/>
                      <w:szCs w:val="12"/>
                    </w:rPr>
                  </w:pPr>
                </w:p>
              </w:tc>
              <w:tc>
                <w:tcPr>
                  <w:tcW w:w="567" w:type="dxa"/>
                  <w:vMerge/>
                  <w:shd w:val="clear" w:color="auto" w:fill="C5E0B3" w:themeFill="accent6" w:themeFillTint="66"/>
                  <w:vAlign w:val="center"/>
                </w:tcPr>
                <w:p w14:paraId="3CD50CDF" w14:textId="77777777" w:rsidR="00C93B4E" w:rsidRPr="00481831" w:rsidRDefault="00C93B4E" w:rsidP="00C93B4E">
                  <w:pPr>
                    <w:spacing w:after="0" w:line="240" w:lineRule="auto"/>
                    <w:jc w:val="center"/>
                    <w:rPr>
                      <w:rFonts w:ascii="Calibri" w:hAnsi="Calibri" w:cs="Calibri"/>
                      <w:sz w:val="12"/>
                      <w:szCs w:val="12"/>
                    </w:rPr>
                  </w:pPr>
                </w:p>
              </w:tc>
            </w:tr>
            <w:tr w:rsidR="00C93B4E" w:rsidRPr="00481831" w14:paraId="02EA3881" w14:textId="77777777" w:rsidTr="00767BAE">
              <w:trPr>
                <w:trHeight w:val="563"/>
                <w:jc w:val="center"/>
              </w:trPr>
              <w:tc>
                <w:tcPr>
                  <w:tcW w:w="867" w:type="dxa"/>
                  <w:shd w:val="clear" w:color="auto" w:fill="FFFFFF" w:themeFill="background1"/>
                  <w:vAlign w:val="center"/>
                </w:tcPr>
                <w:p w14:paraId="5B618F6A" w14:textId="77777777" w:rsidR="00C93B4E" w:rsidRPr="00CB02BA" w:rsidRDefault="00C93B4E" w:rsidP="00C93B4E">
                  <w:pPr>
                    <w:spacing w:after="0" w:line="240" w:lineRule="auto"/>
                    <w:rPr>
                      <w:rFonts w:ascii="Calibri" w:hAnsi="Calibri" w:cs="Calibri"/>
                      <w:b/>
                      <w:bCs/>
                      <w:sz w:val="12"/>
                      <w:szCs w:val="12"/>
                    </w:rPr>
                  </w:pPr>
                  <w:r w:rsidRPr="00CB02BA">
                    <w:rPr>
                      <w:rFonts w:ascii="Calibri" w:hAnsi="Calibri" w:cs="Calibri"/>
                      <w:b/>
                      <w:bCs/>
                      <w:sz w:val="12"/>
                      <w:szCs w:val="12"/>
                    </w:rPr>
                    <w:t>Rest of the world</w:t>
                  </w:r>
                </w:p>
              </w:tc>
              <w:tc>
                <w:tcPr>
                  <w:tcW w:w="328" w:type="dxa"/>
                  <w:shd w:val="clear" w:color="auto" w:fill="FFFFFF" w:themeFill="background1"/>
                  <w:vAlign w:val="center"/>
                </w:tcPr>
                <w:p w14:paraId="48C7CEAB" w14:textId="77777777"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c1</w:t>
                  </w:r>
                </w:p>
                <w:p w14:paraId="345044F2" w14:textId="77777777" w:rsidR="00C93B4E" w:rsidRPr="00481831" w:rsidRDefault="00C93B4E" w:rsidP="00C93B4E">
                  <w:pPr>
                    <w:spacing w:after="0" w:line="240" w:lineRule="auto"/>
                    <w:jc w:val="center"/>
                    <w:rPr>
                      <w:rFonts w:ascii="Calibri" w:hAnsi="Calibri" w:cs="Calibri"/>
                      <w:sz w:val="12"/>
                      <w:szCs w:val="12"/>
                    </w:rPr>
                  </w:pPr>
                  <m:oMathPara>
                    <m:oMath>
                      <m:r>
                        <w:rPr>
                          <w:rFonts w:ascii="Cambria Math" w:hAnsi="Cambria Math" w:cs="Calibri"/>
                          <w:sz w:val="12"/>
                          <w:szCs w:val="12"/>
                        </w:rPr>
                        <m:t>⋮</m:t>
                      </m:r>
                    </m:oMath>
                  </m:oMathPara>
                </w:p>
                <w:p w14:paraId="0671D50E" w14:textId="0259F094"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c</w:t>
                  </w:r>
                  <w:r w:rsidR="00CF2D35">
                    <w:rPr>
                      <w:rFonts w:ascii="Calibri" w:hAnsi="Calibri" w:cs="Calibri"/>
                      <w:sz w:val="12"/>
                      <w:szCs w:val="12"/>
                    </w:rPr>
                    <w:t>3</w:t>
                  </w:r>
                  <w:r w:rsidRPr="00481831">
                    <w:rPr>
                      <w:rFonts w:ascii="Calibri" w:hAnsi="Calibri" w:cs="Calibri"/>
                      <w:sz w:val="12"/>
                      <w:szCs w:val="12"/>
                    </w:rPr>
                    <w:t>5</w:t>
                  </w:r>
                </w:p>
              </w:tc>
              <w:tc>
                <w:tcPr>
                  <w:tcW w:w="2751" w:type="dxa"/>
                  <w:gridSpan w:val="3"/>
                  <w:vMerge/>
                  <w:shd w:val="clear" w:color="auto" w:fill="B4C6E7" w:themeFill="accent1" w:themeFillTint="66"/>
                  <w:vAlign w:val="center"/>
                </w:tcPr>
                <w:p w14:paraId="58072518" w14:textId="77777777" w:rsidR="00C93B4E" w:rsidRPr="00481831" w:rsidRDefault="00C93B4E" w:rsidP="00C93B4E">
                  <w:pPr>
                    <w:spacing w:after="0" w:line="240" w:lineRule="auto"/>
                    <w:jc w:val="center"/>
                    <w:rPr>
                      <w:rFonts w:ascii="Calibri" w:hAnsi="Calibri" w:cs="Calibri"/>
                      <w:sz w:val="12"/>
                      <w:szCs w:val="12"/>
                    </w:rPr>
                  </w:pPr>
                </w:p>
              </w:tc>
              <w:tc>
                <w:tcPr>
                  <w:tcW w:w="2752" w:type="dxa"/>
                  <w:gridSpan w:val="3"/>
                  <w:vMerge/>
                  <w:tcBorders>
                    <w:bottom w:val="single" w:sz="4" w:space="0" w:color="auto"/>
                  </w:tcBorders>
                  <w:shd w:val="clear" w:color="auto" w:fill="F7CAAC" w:themeFill="accent2" w:themeFillTint="66"/>
                  <w:vAlign w:val="center"/>
                </w:tcPr>
                <w:p w14:paraId="2526ED9A" w14:textId="77777777" w:rsidR="00C93B4E" w:rsidRPr="00481831" w:rsidRDefault="00C93B4E" w:rsidP="00C93B4E">
                  <w:pPr>
                    <w:spacing w:after="0" w:line="240" w:lineRule="auto"/>
                    <w:jc w:val="center"/>
                    <w:rPr>
                      <w:rFonts w:ascii="Calibri" w:hAnsi="Calibri" w:cs="Calibri"/>
                      <w:sz w:val="12"/>
                      <w:szCs w:val="12"/>
                    </w:rPr>
                  </w:pPr>
                </w:p>
              </w:tc>
              <w:tc>
                <w:tcPr>
                  <w:tcW w:w="567" w:type="dxa"/>
                  <w:vMerge/>
                  <w:tcBorders>
                    <w:bottom w:val="single" w:sz="4" w:space="0" w:color="auto"/>
                  </w:tcBorders>
                  <w:shd w:val="clear" w:color="auto" w:fill="C5E0B3" w:themeFill="accent6" w:themeFillTint="66"/>
                  <w:vAlign w:val="center"/>
                </w:tcPr>
                <w:p w14:paraId="6175E54A" w14:textId="77777777" w:rsidR="00C93B4E" w:rsidRPr="00481831" w:rsidRDefault="00C93B4E" w:rsidP="00C93B4E">
                  <w:pPr>
                    <w:spacing w:after="0" w:line="240" w:lineRule="auto"/>
                    <w:jc w:val="center"/>
                    <w:rPr>
                      <w:rFonts w:ascii="Calibri" w:hAnsi="Calibri" w:cs="Calibri"/>
                      <w:sz w:val="12"/>
                      <w:szCs w:val="12"/>
                    </w:rPr>
                  </w:pPr>
                </w:p>
              </w:tc>
            </w:tr>
            <w:tr w:rsidR="00C93B4E" w:rsidRPr="00481831" w14:paraId="6A8CBE7D" w14:textId="77777777" w:rsidTr="00767BAE">
              <w:trPr>
                <w:trHeight w:val="283"/>
                <w:jc w:val="center"/>
              </w:trPr>
              <w:tc>
                <w:tcPr>
                  <w:tcW w:w="1195" w:type="dxa"/>
                  <w:gridSpan w:val="2"/>
                  <w:shd w:val="clear" w:color="auto" w:fill="FFFFFF" w:themeFill="background1"/>
                  <w:vAlign w:val="center"/>
                </w:tcPr>
                <w:p w14:paraId="6E866090" w14:textId="77777777" w:rsidR="00C93B4E" w:rsidRPr="00CB02BA" w:rsidRDefault="00C93B4E" w:rsidP="00C93B4E">
                  <w:pPr>
                    <w:spacing w:after="0" w:line="240" w:lineRule="auto"/>
                    <w:rPr>
                      <w:rFonts w:ascii="Calibri" w:hAnsi="Calibri" w:cs="Calibri"/>
                      <w:b/>
                      <w:bCs/>
                      <w:sz w:val="12"/>
                      <w:szCs w:val="12"/>
                    </w:rPr>
                  </w:pPr>
                  <w:r>
                    <w:rPr>
                      <w:rFonts w:ascii="Calibri" w:hAnsi="Calibri" w:cs="Calibri"/>
                      <w:b/>
                      <w:bCs/>
                      <w:sz w:val="12"/>
                      <w:szCs w:val="12"/>
                    </w:rPr>
                    <w:t>V</w:t>
                  </w:r>
                  <w:r w:rsidRPr="00CB02BA">
                    <w:rPr>
                      <w:rFonts w:ascii="Calibri" w:hAnsi="Calibri" w:cs="Calibri"/>
                      <w:b/>
                      <w:bCs/>
                      <w:sz w:val="12"/>
                      <w:szCs w:val="12"/>
                    </w:rPr>
                    <w:t>alue added</w:t>
                  </w:r>
                </w:p>
              </w:tc>
              <w:tc>
                <w:tcPr>
                  <w:tcW w:w="2751" w:type="dxa"/>
                  <w:gridSpan w:val="3"/>
                  <w:tcBorders>
                    <w:right w:val="single" w:sz="4" w:space="0" w:color="auto"/>
                  </w:tcBorders>
                  <w:shd w:val="clear" w:color="auto" w:fill="FFD966" w:themeFill="accent4" w:themeFillTint="99"/>
                  <w:vAlign w:val="center"/>
                </w:tcPr>
                <w:p w14:paraId="34335AE5" w14:textId="3C2CAF87" w:rsidR="00C93B4E" w:rsidRPr="00481831" w:rsidRDefault="00C93B4E" w:rsidP="00C93B4E">
                  <w:pPr>
                    <w:spacing w:after="0" w:line="240" w:lineRule="auto"/>
                    <w:jc w:val="center"/>
                    <w:rPr>
                      <w:rFonts w:ascii="Calibri" w:hAnsi="Calibri" w:cs="Calibri"/>
                      <w:b/>
                      <w:bCs/>
                      <w:sz w:val="12"/>
                      <w:szCs w:val="12"/>
                    </w:rPr>
                  </w:pPr>
                  <w:r>
                    <w:rPr>
                      <w:rFonts w:ascii="Calibri" w:hAnsi="Calibri" w:cs="Calibri"/>
                      <w:b/>
                      <w:bCs/>
                      <w:sz w:val="12"/>
                      <w:szCs w:val="12"/>
                    </w:rPr>
                    <w:t>v</w:t>
                  </w:r>
                  <w:r w:rsidRPr="00481831">
                    <w:rPr>
                      <w:rFonts w:ascii="Calibri" w:hAnsi="Calibri" w:cs="Calibri"/>
                      <w:b/>
                      <w:bCs/>
                      <w:sz w:val="12"/>
                      <w:szCs w:val="12"/>
                    </w:rPr>
                    <w:t>a</w:t>
                  </w:r>
                </w:p>
              </w:tc>
              <w:tc>
                <w:tcPr>
                  <w:tcW w:w="1051" w:type="dxa"/>
                  <w:tcBorders>
                    <w:top w:val="single" w:sz="4" w:space="0" w:color="auto"/>
                    <w:left w:val="single" w:sz="4" w:space="0" w:color="auto"/>
                    <w:bottom w:val="nil"/>
                    <w:right w:val="nil"/>
                  </w:tcBorders>
                  <w:vAlign w:val="center"/>
                </w:tcPr>
                <w:p w14:paraId="3132C0DC" w14:textId="77777777" w:rsidR="00C93B4E" w:rsidRPr="00481831" w:rsidRDefault="00C93B4E" w:rsidP="00C93B4E">
                  <w:pPr>
                    <w:spacing w:after="0" w:line="240" w:lineRule="auto"/>
                    <w:jc w:val="center"/>
                    <w:rPr>
                      <w:rFonts w:ascii="Calibri" w:hAnsi="Calibri" w:cs="Calibri"/>
                      <w:sz w:val="12"/>
                      <w:szCs w:val="12"/>
                    </w:rPr>
                  </w:pPr>
                </w:p>
              </w:tc>
              <w:tc>
                <w:tcPr>
                  <w:tcW w:w="567" w:type="dxa"/>
                  <w:tcBorders>
                    <w:top w:val="single" w:sz="4" w:space="0" w:color="auto"/>
                    <w:left w:val="nil"/>
                    <w:bottom w:val="nil"/>
                    <w:right w:val="nil"/>
                  </w:tcBorders>
                  <w:vAlign w:val="center"/>
                </w:tcPr>
                <w:p w14:paraId="031D7E35" w14:textId="77777777" w:rsidR="00C93B4E" w:rsidRPr="00481831" w:rsidRDefault="00C93B4E" w:rsidP="00C93B4E">
                  <w:pPr>
                    <w:spacing w:after="0" w:line="240" w:lineRule="auto"/>
                    <w:jc w:val="center"/>
                    <w:rPr>
                      <w:rFonts w:ascii="Calibri" w:hAnsi="Calibri" w:cs="Calibri"/>
                      <w:sz w:val="12"/>
                      <w:szCs w:val="12"/>
                    </w:rPr>
                  </w:pPr>
                </w:p>
              </w:tc>
              <w:tc>
                <w:tcPr>
                  <w:tcW w:w="1134" w:type="dxa"/>
                  <w:tcBorders>
                    <w:top w:val="single" w:sz="4" w:space="0" w:color="auto"/>
                    <w:left w:val="nil"/>
                    <w:bottom w:val="nil"/>
                    <w:right w:val="nil"/>
                  </w:tcBorders>
                  <w:vAlign w:val="center"/>
                </w:tcPr>
                <w:p w14:paraId="1D7F7945" w14:textId="77777777" w:rsidR="00C93B4E" w:rsidRPr="00481831" w:rsidRDefault="00C93B4E" w:rsidP="00C93B4E">
                  <w:pPr>
                    <w:spacing w:after="0" w:line="240" w:lineRule="auto"/>
                    <w:jc w:val="center"/>
                    <w:rPr>
                      <w:rFonts w:ascii="Calibri" w:hAnsi="Calibri" w:cs="Calibri"/>
                      <w:sz w:val="12"/>
                      <w:szCs w:val="12"/>
                    </w:rPr>
                  </w:pPr>
                </w:p>
              </w:tc>
              <w:tc>
                <w:tcPr>
                  <w:tcW w:w="567" w:type="dxa"/>
                  <w:tcBorders>
                    <w:top w:val="single" w:sz="4" w:space="0" w:color="auto"/>
                    <w:left w:val="nil"/>
                    <w:bottom w:val="nil"/>
                    <w:right w:val="nil"/>
                  </w:tcBorders>
                  <w:vAlign w:val="center"/>
                </w:tcPr>
                <w:p w14:paraId="3E5C0085" w14:textId="77777777" w:rsidR="00C93B4E" w:rsidRPr="00481831" w:rsidRDefault="00C93B4E" w:rsidP="00C93B4E">
                  <w:pPr>
                    <w:spacing w:after="0" w:line="240" w:lineRule="auto"/>
                    <w:jc w:val="center"/>
                    <w:rPr>
                      <w:rFonts w:ascii="Calibri" w:hAnsi="Calibri" w:cs="Calibri"/>
                      <w:sz w:val="12"/>
                      <w:szCs w:val="12"/>
                    </w:rPr>
                  </w:pPr>
                </w:p>
              </w:tc>
            </w:tr>
            <w:tr w:rsidR="00C93B4E" w:rsidRPr="00481831" w14:paraId="35A71DCF" w14:textId="77777777" w:rsidTr="00767BAE">
              <w:trPr>
                <w:trHeight w:val="259"/>
                <w:jc w:val="center"/>
              </w:trPr>
              <w:tc>
                <w:tcPr>
                  <w:tcW w:w="1195" w:type="dxa"/>
                  <w:gridSpan w:val="2"/>
                  <w:shd w:val="clear" w:color="auto" w:fill="FFFFFF" w:themeFill="background1"/>
                  <w:vAlign w:val="center"/>
                </w:tcPr>
                <w:p w14:paraId="3474A8E3" w14:textId="77777777" w:rsidR="00C93B4E" w:rsidRPr="00CB02BA" w:rsidRDefault="00C93B4E" w:rsidP="00C93B4E">
                  <w:pPr>
                    <w:spacing w:after="0" w:line="240" w:lineRule="auto"/>
                    <w:rPr>
                      <w:rFonts w:ascii="Calibri" w:hAnsi="Calibri" w:cs="Calibri"/>
                      <w:b/>
                      <w:bCs/>
                      <w:sz w:val="12"/>
                      <w:szCs w:val="12"/>
                    </w:rPr>
                  </w:pPr>
                  <w:r w:rsidRPr="00CB02BA">
                    <w:rPr>
                      <w:rFonts w:ascii="Calibri" w:hAnsi="Calibri" w:cs="Calibri"/>
                      <w:b/>
                      <w:bCs/>
                      <w:sz w:val="12"/>
                      <w:szCs w:val="12"/>
                    </w:rPr>
                    <w:t>Total output</w:t>
                  </w:r>
                </w:p>
              </w:tc>
              <w:tc>
                <w:tcPr>
                  <w:tcW w:w="2751" w:type="dxa"/>
                  <w:gridSpan w:val="3"/>
                  <w:tcBorders>
                    <w:right w:val="single" w:sz="4" w:space="0" w:color="auto"/>
                  </w:tcBorders>
                  <w:shd w:val="clear" w:color="auto" w:fill="C5E0B3" w:themeFill="accent6" w:themeFillTint="66"/>
                  <w:vAlign w:val="center"/>
                </w:tcPr>
                <w:p w14:paraId="7A7FE062" w14:textId="1956B12D" w:rsidR="00C93B4E" w:rsidRPr="00481831" w:rsidRDefault="00C93B4E" w:rsidP="00C93B4E">
                  <w:pPr>
                    <w:spacing w:after="0" w:line="240" w:lineRule="auto"/>
                    <w:jc w:val="center"/>
                    <w:rPr>
                      <w:rFonts w:ascii="Calibri" w:hAnsi="Calibri" w:cs="Calibri"/>
                      <w:b/>
                      <w:bCs/>
                      <w:sz w:val="12"/>
                      <w:szCs w:val="12"/>
                    </w:rPr>
                  </w:pPr>
                  <w:r>
                    <w:rPr>
                      <w:rFonts w:ascii="Calibri" w:hAnsi="Calibri" w:cs="Calibri"/>
                      <w:b/>
                      <w:bCs/>
                      <w:sz w:val="12"/>
                      <w:szCs w:val="12"/>
                    </w:rPr>
                    <w:t>x</w:t>
                  </w:r>
                </w:p>
              </w:tc>
              <w:tc>
                <w:tcPr>
                  <w:tcW w:w="1051" w:type="dxa"/>
                  <w:tcBorders>
                    <w:top w:val="nil"/>
                    <w:left w:val="single" w:sz="4" w:space="0" w:color="auto"/>
                    <w:bottom w:val="single" w:sz="4" w:space="0" w:color="FFF2CC" w:themeColor="accent4" w:themeTint="33"/>
                    <w:right w:val="nil"/>
                  </w:tcBorders>
                  <w:vAlign w:val="center"/>
                </w:tcPr>
                <w:p w14:paraId="16CFFA3A" w14:textId="77777777" w:rsidR="00C93B4E" w:rsidRPr="00481831" w:rsidRDefault="00C93B4E" w:rsidP="00C93B4E">
                  <w:pPr>
                    <w:spacing w:after="0" w:line="240" w:lineRule="auto"/>
                    <w:jc w:val="center"/>
                    <w:rPr>
                      <w:rFonts w:ascii="Calibri" w:hAnsi="Calibri" w:cs="Calibri"/>
                      <w:sz w:val="12"/>
                      <w:szCs w:val="12"/>
                    </w:rPr>
                  </w:pPr>
                </w:p>
              </w:tc>
              <w:tc>
                <w:tcPr>
                  <w:tcW w:w="567" w:type="dxa"/>
                  <w:tcBorders>
                    <w:top w:val="nil"/>
                    <w:left w:val="nil"/>
                    <w:bottom w:val="single" w:sz="4" w:space="0" w:color="FFF2CC" w:themeColor="accent4" w:themeTint="33"/>
                    <w:right w:val="nil"/>
                  </w:tcBorders>
                  <w:vAlign w:val="center"/>
                </w:tcPr>
                <w:p w14:paraId="43BF48D4" w14:textId="77777777" w:rsidR="00C93B4E" w:rsidRPr="00481831" w:rsidRDefault="00C93B4E" w:rsidP="00C93B4E">
                  <w:pPr>
                    <w:spacing w:after="0" w:line="240" w:lineRule="auto"/>
                    <w:jc w:val="center"/>
                    <w:rPr>
                      <w:rFonts w:ascii="Calibri" w:hAnsi="Calibri" w:cs="Calibri"/>
                      <w:sz w:val="12"/>
                      <w:szCs w:val="12"/>
                    </w:rPr>
                  </w:pPr>
                </w:p>
              </w:tc>
              <w:tc>
                <w:tcPr>
                  <w:tcW w:w="1134" w:type="dxa"/>
                  <w:tcBorders>
                    <w:top w:val="nil"/>
                    <w:left w:val="nil"/>
                    <w:bottom w:val="single" w:sz="4" w:space="0" w:color="FFF2CC" w:themeColor="accent4" w:themeTint="33"/>
                    <w:right w:val="nil"/>
                  </w:tcBorders>
                  <w:vAlign w:val="center"/>
                </w:tcPr>
                <w:p w14:paraId="1C59CAFA" w14:textId="77777777" w:rsidR="00C93B4E" w:rsidRPr="00481831" w:rsidRDefault="00C93B4E" w:rsidP="00C93B4E">
                  <w:pPr>
                    <w:spacing w:after="0" w:line="240" w:lineRule="auto"/>
                    <w:jc w:val="center"/>
                    <w:rPr>
                      <w:rFonts w:ascii="Calibri" w:hAnsi="Calibri" w:cs="Calibri"/>
                      <w:sz w:val="12"/>
                      <w:szCs w:val="12"/>
                    </w:rPr>
                  </w:pPr>
                </w:p>
              </w:tc>
              <w:tc>
                <w:tcPr>
                  <w:tcW w:w="567" w:type="dxa"/>
                  <w:tcBorders>
                    <w:top w:val="nil"/>
                    <w:left w:val="nil"/>
                    <w:bottom w:val="single" w:sz="4" w:space="0" w:color="FFF2CC" w:themeColor="accent4" w:themeTint="33"/>
                    <w:right w:val="nil"/>
                  </w:tcBorders>
                  <w:vAlign w:val="center"/>
                </w:tcPr>
                <w:p w14:paraId="3BCCAA1E" w14:textId="77777777" w:rsidR="00C93B4E" w:rsidRPr="00481831" w:rsidRDefault="00C93B4E" w:rsidP="00C93B4E">
                  <w:pPr>
                    <w:spacing w:after="0" w:line="240" w:lineRule="auto"/>
                    <w:jc w:val="center"/>
                    <w:rPr>
                      <w:rFonts w:ascii="Calibri" w:hAnsi="Calibri" w:cs="Calibri"/>
                      <w:sz w:val="12"/>
                      <w:szCs w:val="12"/>
                    </w:rPr>
                  </w:pPr>
                </w:p>
              </w:tc>
            </w:tr>
          </w:tbl>
          <w:p w14:paraId="74ABF724" w14:textId="77777777" w:rsidR="00767BAE" w:rsidRDefault="00767BAE" w:rsidP="00767BAE">
            <w:pPr>
              <w:pStyle w:val="NotesAbbreviations"/>
            </w:pPr>
          </w:p>
          <w:p w14:paraId="434B8695" w14:textId="34783780" w:rsidR="00DC0383" w:rsidRDefault="00C93B4E" w:rsidP="002F6BD3">
            <w:pPr>
              <w:pStyle w:val="NotesBottom"/>
            </w:pPr>
            <w:r>
              <w:t>Source:</w:t>
            </w:r>
            <w:r>
              <w:tab/>
              <w:t>Asian Development Bank. Multiregional Input–Output Database.</w:t>
            </w:r>
          </w:p>
          <w:p w14:paraId="63DF3638" w14:textId="1997E21A" w:rsidR="00DC0383" w:rsidRPr="00DC0383" w:rsidRDefault="00DC0383" w:rsidP="00DC0383">
            <w:pPr>
              <w:pStyle w:val="Box"/>
              <w:rPr>
                <w:b/>
                <w:bCs/>
              </w:rPr>
            </w:pPr>
            <w:r w:rsidRPr="00DC0383">
              <w:rPr>
                <w:b/>
                <w:bCs/>
              </w:rPr>
              <w:t>References</w:t>
            </w:r>
          </w:p>
          <w:p w14:paraId="674D9854" w14:textId="32B500C3" w:rsidR="00806E9A" w:rsidRDefault="00806E9A" w:rsidP="00806E9A">
            <w:pPr>
              <w:pStyle w:val="BoxReferences"/>
            </w:pPr>
            <w:r>
              <w:t xml:space="preserve">European Commission. 2008. </w:t>
            </w:r>
            <w:r w:rsidRPr="00806E9A">
              <w:rPr>
                <w:i/>
                <w:iCs/>
              </w:rPr>
              <w:t>Eurostat Manual of Supply, Use and Input-Output Tables</w:t>
            </w:r>
            <w:r>
              <w:t>. Luxembourg: European Commission. Retrieved from https://ec.europa.eu/eurostat/web/products-manuals-and-guidelines/-/KS-RA-07-013.</w:t>
            </w:r>
          </w:p>
          <w:p w14:paraId="4649C327" w14:textId="64CB5375" w:rsidR="00DC0383" w:rsidRPr="00DC0383" w:rsidRDefault="00DC0383" w:rsidP="00DC0383">
            <w:pPr>
              <w:pStyle w:val="BoxReferences"/>
            </w:pPr>
            <w:r w:rsidRPr="00DC0383">
              <w:t xml:space="preserve">M. P. Timmer, E. </w:t>
            </w:r>
            <w:proofErr w:type="spellStart"/>
            <w:r w:rsidRPr="00DC0383">
              <w:t>Dietzenbacher</w:t>
            </w:r>
            <w:proofErr w:type="spellEnd"/>
            <w:r w:rsidRPr="00DC0383">
              <w:t xml:space="preserve">, B. Los, R. </w:t>
            </w:r>
            <w:proofErr w:type="spellStart"/>
            <w:r w:rsidRPr="00DC0383">
              <w:t>Stehrer</w:t>
            </w:r>
            <w:proofErr w:type="spellEnd"/>
            <w:r w:rsidRPr="00DC0383">
              <w:t xml:space="preserve">, and G. J. de Vries. 2015. An Illustrated User Guide to the World Input-Output Database: The Case of Global Automotive Production. </w:t>
            </w:r>
            <w:r w:rsidRPr="00C4761F">
              <w:rPr>
                <w:i/>
                <w:iCs/>
              </w:rPr>
              <w:t>Review of International Economics</w:t>
            </w:r>
            <w:r w:rsidR="00C4761F" w:rsidRPr="00C4761F">
              <w:t>.</w:t>
            </w:r>
            <w:r w:rsidRPr="00DC0383">
              <w:t xml:space="preserve"> 23(3)</w:t>
            </w:r>
            <w:r w:rsidR="00C4761F">
              <w:t>.</w:t>
            </w:r>
            <w:r w:rsidRPr="00DC0383">
              <w:t xml:space="preserve"> pp. 575–605.</w:t>
            </w:r>
          </w:p>
        </w:tc>
      </w:tr>
    </w:tbl>
    <w:p w14:paraId="3D8DC105" w14:textId="77777777" w:rsidR="00FD1BD1" w:rsidRDefault="00FD1BD1" w:rsidP="00DA0175"/>
    <w:p w14:paraId="60B5E00D" w14:textId="77777777" w:rsidR="00C30027" w:rsidRDefault="00C30027" w:rsidP="00C30027">
      <w:r>
        <w:t xml:space="preserve">Kazakhstan is a vast, land-locked country that sits at the heart of the Eurasian landmass. Migrants, traders, armies, and pastoral nomads have crossed its steppes for centuries. Historians date the emergence of a distinct Kazakh identity in the 16th century, when tribes sharing a common culture formed a loose federation known as the Kazakh Khanate. It fell under increasing Russian influence in the 18th century, culminating in its incorporation into the Union of Soviet Socialist Republics in the 20th century. Upon the dissolution of that body in 1991, the modern state of Kazakhstan was born (Pavlović 2003). </w:t>
      </w:r>
    </w:p>
    <w:p w14:paraId="3C614B6F" w14:textId="77777777" w:rsidR="00C30027" w:rsidRDefault="00C30027" w:rsidP="00C30027">
      <w:r>
        <w:t>Following independence, the exploitation of Kazakhstan's sizable oil reserves led to rapid growth, particularly during the 2000s boom in oil prices. It transitioned from lower-middle to upper-middle income status by 2006 according to the World Bank.</w:t>
      </w:r>
      <w:r>
        <w:rPr>
          <w:rStyle w:val="FootnoteReference"/>
        </w:rPr>
        <w:footnoteReference w:id="2"/>
      </w:r>
      <w:r>
        <w:t xml:space="preserve"> It has the highest Human Development Index among the states of the former Soviet Union.</w:t>
      </w:r>
      <w:r>
        <w:rPr>
          <w:rStyle w:val="FootnoteReference"/>
        </w:rPr>
        <w:footnoteReference w:id="3"/>
      </w:r>
      <w:r>
        <w:t xml:space="preserve"> However, overdependence on an extractive resource sector naturally poses risks, making </w:t>
      </w:r>
      <w:r>
        <w:lastRenderedPageBreak/>
        <w:t>diversification crucial to Kazakhstan's long-term economic health (</w:t>
      </w:r>
      <w:proofErr w:type="spellStart"/>
      <w:r>
        <w:t>Azretbergenova</w:t>
      </w:r>
      <w:proofErr w:type="spellEnd"/>
      <w:r>
        <w:t xml:space="preserve"> and </w:t>
      </w:r>
      <w:proofErr w:type="spellStart"/>
      <w:r>
        <w:t>Syzdykova</w:t>
      </w:r>
      <w:proofErr w:type="spellEnd"/>
      <w:r>
        <w:t xml:space="preserve"> 2020).</w:t>
      </w:r>
    </w:p>
    <w:p w14:paraId="18BAF79B" w14:textId="7B97ACB3" w:rsidR="00C2222F" w:rsidRDefault="00C30027" w:rsidP="00C30027">
      <w:r>
        <w:t>The next chapter</w:t>
      </w:r>
      <w:r w:rsidRPr="00935841">
        <w:t xml:space="preserve"> </w:t>
      </w:r>
      <w:r>
        <w:t xml:space="preserve">examines Kazakhstan's economy and trade in more detail. </w:t>
      </w:r>
      <w:r w:rsidRPr="004F3505">
        <w:rPr>
          <w:color w:val="FF0000"/>
        </w:rPr>
        <w:t>Chapter 3 introduces an array of indicators obtained from the literature that characterizes Pakistan’s place in international production sharing. Chapter 4 draws further insights into its specialization and competitiveness by refining two classic trade indicators to account for GVCs. A number of special topics are discussed in chapter 5, including its membership in the South Asian Association for Regional Cooperation, its patterns of domestic agglomeration, and its economic performance under the coronavirus pandemic of 2020. Chapter 6 concludes with recommendations for maximizing the benefits of GVCs and minimizing their risks.</w:t>
      </w:r>
      <w:r w:rsidR="00C2222F">
        <w:br w:type="page"/>
      </w:r>
    </w:p>
    <w:p w14:paraId="1412CD6E" w14:textId="6681B9F9" w:rsidR="00C2222F" w:rsidRPr="00017EDF" w:rsidRDefault="00C2222F" w:rsidP="00C2222F">
      <w:pPr>
        <w:pStyle w:val="Heading1"/>
      </w:pPr>
      <w:bookmarkStart w:id="8" w:name="_Toc83849787"/>
      <w:r>
        <w:lastRenderedPageBreak/>
        <w:t>Overview</w:t>
      </w:r>
      <w:r w:rsidR="00E55159">
        <w:t xml:space="preserve"> of Economy and Trade</w:t>
      </w:r>
      <w:bookmarkEnd w:id="8"/>
    </w:p>
    <w:p w14:paraId="305FA7EA" w14:textId="02BDCA57" w:rsidR="00C2222F" w:rsidRDefault="00F96A74" w:rsidP="00C2222F">
      <w:r>
        <w:t xml:space="preserve">Kazakhstan is a country rich in extractive resources, namely oil, gas, and ores. The export of these, particularly that of crude oil, has been the defining characteristic of its economic development since attaining independence from the Soviet Union in 1991. This chapter documents how this has contributed to double-digit growth rates while at the same time putting the economy at risk of the resource curse. It shows that over the last two decades, crude oil and a handful of other minerals have dominated its exports—with few signs of change anytime soon. Major destinations of these extractive resources are Europe for crude oil, the Russian Federation for mineral ores, and the People's Republic of China (PRC) for both. The chapter ends by quantifying the degree of concentration in Kazakhstan's exports, finding that while progress has been made over the </w:t>
      </w:r>
      <w:r w:rsidR="004F317C">
        <w:t>last</w:t>
      </w:r>
      <w:r>
        <w:t xml:space="preserve"> decade, much still needs to be done. </w:t>
      </w:r>
      <w:r w:rsidR="004F317C">
        <w:t xml:space="preserve">The findings here set the stage for analyses in succeeding chapters, where input–output data and novel accounting methods are used to provide a deeper understanding of Kazakhstan's trade in the age of global value chains. </w:t>
      </w:r>
    </w:p>
    <w:p w14:paraId="2B56D3EE" w14:textId="64B97866" w:rsidR="00C30027" w:rsidRDefault="00C30027" w:rsidP="00C30027">
      <w:pPr>
        <w:rPr>
          <w:rFonts w:eastAsia="Calibri" w:cstheme="minorHAnsi"/>
          <w:color w:val="000000" w:themeColor="text1"/>
          <w:szCs w:val="22"/>
        </w:rPr>
      </w:pPr>
      <w:bookmarkStart w:id="9" w:name="_Ref77593630"/>
      <w:bookmarkStart w:id="10" w:name="_Ref81223415"/>
      <w:bookmarkStart w:id="11" w:name="_Toc83849799"/>
      <w:r>
        <w:rPr>
          <w:rFonts w:eastAsia="Calibri" w:cstheme="minorHAnsi"/>
          <w:color w:val="000000" w:themeColor="text1"/>
          <w:szCs w:val="22"/>
        </w:rPr>
        <w:t>Throughout the 1990s, Kazakhstan, along with the other states of the former Soviet Union, faced severe economic dislocation as they transitioned into independent, market-based economies. Hyperinflation struck the region after price controls were lifted in January 1992. Though Kazakhstan replaced the Russian ruble with its own currency, the tenge, in 1993, it was not until 1996 when monthly inflation fell below 50%. Some 1 million people, mostly ethnic Russians, would go on to emigrate (Pomfret 2019). Coal production, once a major industry, fell from 138 million tons in 1989 to 58 million tons in 1999.</w:t>
      </w:r>
      <w:r>
        <w:rPr>
          <w:rStyle w:val="FootnoteReference"/>
          <w:rFonts w:eastAsia="Calibri" w:cstheme="minorHAnsi"/>
          <w:color w:val="000000" w:themeColor="text1"/>
          <w:szCs w:val="22"/>
        </w:rPr>
        <w:footnoteReference w:id="4"/>
      </w:r>
      <w:r>
        <w:rPr>
          <w:rFonts w:eastAsia="Calibri" w:cstheme="minorHAnsi"/>
          <w:color w:val="000000" w:themeColor="text1"/>
          <w:szCs w:val="22"/>
        </w:rPr>
        <w:t xml:space="preserve"> In real terms, the economy in 1999 was just 63% of its size in 1990.</w:t>
      </w:r>
      <w:r>
        <w:rPr>
          <w:rStyle w:val="FootnoteReference"/>
          <w:rFonts w:eastAsia="Calibri" w:cstheme="minorHAnsi"/>
          <w:color w:val="000000" w:themeColor="text1"/>
          <w:szCs w:val="22"/>
        </w:rPr>
        <w:footnoteReference w:id="5"/>
      </w:r>
      <w:r>
        <w:rPr>
          <w:rFonts w:eastAsia="Calibri" w:cstheme="minorHAnsi"/>
          <w:color w:val="000000" w:themeColor="text1"/>
          <w:szCs w:val="22"/>
        </w:rPr>
        <w:t xml:space="preserve"> </w:t>
      </w:r>
    </w:p>
    <w:p w14:paraId="6987A51E" w14:textId="185B901C" w:rsidR="00C30027" w:rsidRDefault="00C30027" w:rsidP="00C30027">
      <w:pPr>
        <w:rPr>
          <w:rFonts w:eastAsia="Calibri" w:cstheme="minorHAnsi"/>
          <w:color w:val="000000" w:themeColor="text1"/>
          <w:szCs w:val="22"/>
        </w:rPr>
      </w:pPr>
      <w:r>
        <w:rPr>
          <w:rFonts w:eastAsia="Calibri" w:cstheme="minorHAnsi"/>
          <w:color w:val="000000" w:themeColor="text1"/>
          <w:szCs w:val="22"/>
        </w:rPr>
        <w:t>The economy eventually stabilized and then thrived by 1999, due mainly to a prolonged period of rising oil prices. This enticed foreign capital to invest in the exploitation of Kazakhstan's vast oil reserves, which at 30 billion barrels per day is among the world's largest.</w:t>
      </w:r>
      <w:r>
        <w:rPr>
          <w:rStyle w:val="FootnoteReference"/>
          <w:rFonts w:eastAsia="Calibri" w:cstheme="minorHAnsi"/>
          <w:color w:val="000000" w:themeColor="text1"/>
          <w:szCs w:val="22"/>
        </w:rPr>
        <w:footnoteReference w:id="6"/>
      </w:r>
      <w:r>
        <w:rPr>
          <w:rFonts w:eastAsia="Calibri" w:cstheme="minorHAnsi"/>
          <w:color w:val="000000" w:themeColor="text1"/>
          <w:szCs w:val="22"/>
        </w:rPr>
        <w:t xml:space="preserve"> For instance, t</w:t>
      </w:r>
      <w:r w:rsidRPr="003B049C">
        <w:rPr>
          <w:rFonts w:eastAsia="Calibri" w:cstheme="minorHAnsi"/>
          <w:color w:val="000000" w:themeColor="text1"/>
          <w:szCs w:val="22"/>
        </w:rPr>
        <w:t>he offshore Kashagan oil field,</w:t>
      </w:r>
      <w:r>
        <w:rPr>
          <w:rFonts w:eastAsia="Calibri" w:cstheme="minorHAnsi"/>
          <w:color w:val="000000" w:themeColor="text1"/>
          <w:szCs w:val="22"/>
        </w:rPr>
        <w:t xml:space="preserve"> discovered in 2000,</w:t>
      </w:r>
      <w:r w:rsidRPr="003B049C">
        <w:rPr>
          <w:rFonts w:eastAsia="Calibri" w:cstheme="minorHAnsi"/>
          <w:color w:val="000000" w:themeColor="text1"/>
          <w:szCs w:val="22"/>
        </w:rPr>
        <w:t xml:space="preserve"> was developed by a consortium of European, American, Chinese, and Japanese firms. </w:t>
      </w:r>
      <w:r>
        <w:rPr>
          <w:rFonts w:eastAsia="Calibri" w:cstheme="minorHAnsi"/>
          <w:color w:val="000000" w:themeColor="text1"/>
          <w:szCs w:val="22"/>
        </w:rPr>
        <w:t xml:space="preserve">New modes of transport were also constructed to complement the Russian state-owned </w:t>
      </w:r>
      <w:proofErr w:type="spellStart"/>
      <w:r>
        <w:rPr>
          <w:rFonts w:eastAsia="Calibri" w:cstheme="minorHAnsi"/>
          <w:color w:val="000000" w:themeColor="text1"/>
          <w:szCs w:val="22"/>
        </w:rPr>
        <w:t>Transneft</w:t>
      </w:r>
      <w:proofErr w:type="spellEnd"/>
      <w:r>
        <w:rPr>
          <w:rFonts w:eastAsia="Calibri" w:cstheme="minorHAnsi"/>
          <w:color w:val="000000" w:themeColor="text1"/>
          <w:szCs w:val="22"/>
        </w:rPr>
        <w:t xml:space="preserve"> pipeline, connecting Kazakhstan to broader markets (Pomfret 2019). Consequently, oil production rose steadily from 558,000 barrels per day in 1998 to a peak of 1.7 million barrels per day by </w:t>
      </w:r>
      <w:r>
        <w:rPr>
          <w:rFonts w:eastAsia="Calibri" w:cstheme="minorHAnsi"/>
          <w:color w:val="000000" w:themeColor="text1"/>
          <w:szCs w:val="22"/>
        </w:rPr>
        <w:lastRenderedPageBreak/>
        <w:t>2013.</w:t>
      </w:r>
      <w:r>
        <w:rPr>
          <w:rStyle w:val="FootnoteReference"/>
          <w:rFonts w:eastAsia="Calibri" w:cstheme="minorHAnsi"/>
          <w:color w:val="000000" w:themeColor="text1"/>
          <w:szCs w:val="22"/>
        </w:rPr>
        <w:footnoteReference w:id="7"/>
      </w:r>
      <w:r>
        <w:rPr>
          <w:rFonts w:eastAsia="Calibri" w:cstheme="minorHAnsi"/>
          <w:color w:val="000000" w:themeColor="text1"/>
          <w:szCs w:val="22"/>
        </w:rPr>
        <w:t xml:space="preserve"> At the height of the boom years in 2000–2007, average annual GDP growth was at 10% (see </w:t>
      </w:r>
      <w:r>
        <w:rPr>
          <w:rFonts w:eastAsia="Calibri" w:cstheme="minorHAnsi"/>
          <w:color w:val="000000" w:themeColor="text1"/>
          <w:szCs w:val="22"/>
        </w:rPr>
        <w:fldChar w:fldCharType="begin"/>
      </w:r>
      <w:r>
        <w:rPr>
          <w:rFonts w:eastAsia="Calibri" w:cstheme="minorHAnsi"/>
          <w:color w:val="000000" w:themeColor="text1"/>
          <w:szCs w:val="22"/>
        </w:rPr>
        <w:instrText xml:space="preserve"> REF _Ref81223415 </w:instrText>
      </w:r>
      <w:r>
        <w:rPr>
          <w:rFonts w:eastAsia="Calibri" w:cstheme="minorHAnsi"/>
          <w:color w:val="000000" w:themeColor="text1"/>
          <w:szCs w:val="22"/>
        </w:rPr>
        <w:fldChar w:fldCharType="separate"/>
      </w:r>
      <w:r>
        <w:t xml:space="preserve">Figure </w:t>
      </w:r>
      <w:r>
        <w:rPr>
          <w:noProof/>
          <w:cs/>
        </w:rPr>
        <w:t>‎</w:t>
      </w:r>
      <w:r>
        <w:rPr>
          <w:noProof/>
        </w:rPr>
        <w:t>2</w:t>
      </w:r>
      <w:r>
        <w:t>.</w:t>
      </w:r>
      <w:r>
        <w:rPr>
          <w:noProof/>
        </w:rPr>
        <w:t>1</w:t>
      </w:r>
      <w:r>
        <w:rPr>
          <w:rFonts w:eastAsia="Calibri" w:cstheme="minorHAnsi"/>
          <w:color w:val="000000" w:themeColor="text1"/>
          <w:szCs w:val="22"/>
        </w:rPr>
        <w:fldChar w:fldCharType="end"/>
      </w:r>
      <w:r>
        <w:rPr>
          <w:rFonts w:eastAsia="Calibri" w:cstheme="minorHAnsi"/>
          <w:color w:val="000000" w:themeColor="text1"/>
          <w:szCs w:val="22"/>
        </w:rPr>
        <w:t xml:space="preserve">). </w:t>
      </w:r>
    </w:p>
    <w:p w14:paraId="47ED9794" w14:textId="067B8E00" w:rsidR="00C2222F" w:rsidRDefault="00C30027" w:rsidP="005B72B7">
      <w:pPr>
        <w:pStyle w:val="Caption"/>
        <w:rPr>
          <w:rFonts w:eastAsia="Calibri" w:cstheme="minorHAnsi"/>
          <w:szCs w:val="22"/>
        </w:rPr>
      </w:pPr>
      <w:bookmarkStart w:id="12" w:name="_Ref140049265"/>
      <w:bookmarkEnd w:id="9"/>
      <w:r>
        <w:rPr>
          <w:rFonts w:eastAsia="Calibri" w:cstheme="minorHAnsi"/>
          <w:noProof/>
          <w:szCs w:val="22"/>
        </w:rPr>
        <w:drawing>
          <wp:anchor distT="0" distB="0" distL="114300" distR="114300" simplePos="0" relativeHeight="251737088" behindDoc="0" locked="0" layoutInCell="1" allowOverlap="1" wp14:anchorId="2E6129BB" wp14:editId="7F63BEF3">
            <wp:simplePos x="0" y="0"/>
            <wp:positionH relativeFrom="column">
              <wp:posOffset>-81915</wp:posOffset>
            </wp:positionH>
            <wp:positionV relativeFrom="paragraph">
              <wp:posOffset>186169</wp:posOffset>
            </wp:positionV>
            <wp:extent cx="5731510" cy="3580765"/>
            <wp:effectExtent l="0" t="0" r="0" b="635"/>
            <wp:wrapSquare wrapText="bothSides"/>
            <wp:docPr id="191236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68805" name="Picture 1912368805"/>
                    <pic:cNvPicPr/>
                  </pic:nvPicPr>
                  <pic:blipFill>
                    <a:blip r:embed="rId8">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5B72B7">
        <w:t xml:space="preserve">Figure </w:t>
      </w:r>
      <w:fldSimple w:instr=" STYLEREF 1 \s ">
        <w:r w:rsidR="00D57A44">
          <w:rPr>
            <w:noProof/>
            <w:cs/>
          </w:rPr>
          <w:t>‎</w:t>
        </w:r>
        <w:r w:rsidR="00D57A44">
          <w:rPr>
            <w:noProof/>
          </w:rPr>
          <w:t>2</w:t>
        </w:r>
      </w:fldSimple>
      <w:r w:rsidR="003F26C2">
        <w:t>.</w:t>
      </w:r>
      <w:fldSimple w:instr=" SEQ Figure \* ARABIC \s 1 ">
        <w:r w:rsidR="00D57A44">
          <w:rPr>
            <w:noProof/>
          </w:rPr>
          <w:t>1</w:t>
        </w:r>
      </w:fldSimple>
      <w:bookmarkEnd w:id="10"/>
      <w:bookmarkEnd w:id="12"/>
      <w:r w:rsidR="005B72B7">
        <w:t>:</w:t>
      </w:r>
      <w:r w:rsidR="00AE73B7">
        <w:t xml:space="preserve"> </w:t>
      </w:r>
      <w:bookmarkEnd w:id="11"/>
      <w:r>
        <w:t>Real Gross Domestic Product Growth Rate and Brent Crude Prices, 1990–2028</w:t>
      </w:r>
    </w:p>
    <w:p w14:paraId="74AF7D76" w14:textId="4DA51065" w:rsidR="00C30027" w:rsidRDefault="00C30027" w:rsidP="00C30027">
      <w:pPr>
        <w:pStyle w:val="Notes"/>
      </w:pPr>
      <w:r w:rsidRPr="00D3295D">
        <w:t xml:space="preserve">GDP = gross domestic product </w:t>
      </w:r>
    </w:p>
    <w:p w14:paraId="1AE9E963" w14:textId="3961B6D3" w:rsidR="00C30027" w:rsidRDefault="00C30027" w:rsidP="00C30027">
      <w:pPr>
        <w:pStyle w:val="Notes"/>
      </w:pPr>
      <w:r>
        <w:t xml:space="preserve">Notes: </w:t>
      </w:r>
      <w:r>
        <w:tab/>
        <w:t>Forecasts are by the International Monetary Fund as of April 2023.</w:t>
      </w:r>
    </w:p>
    <w:p w14:paraId="1AAB442C" w14:textId="77777777" w:rsidR="00C30027" w:rsidRPr="002F176A" w:rsidRDefault="00C30027" w:rsidP="00C30027">
      <w:pPr>
        <w:pStyle w:val="NotesBottom"/>
      </w:pPr>
      <w:r>
        <w:t xml:space="preserve">Sources: </w:t>
      </w:r>
      <w:r>
        <w:tab/>
        <w:t xml:space="preserve">International Monetary Fund. </w:t>
      </w:r>
      <w:r w:rsidRPr="00B3428A">
        <w:t>World Economic Outlook</w:t>
      </w:r>
      <w:r>
        <w:t xml:space="preserve"> Database (April 2023). </w:t>
      </w:r>
      <w:r w:rsidRPr="006C21D2">
        <w:t>https://www.imf.org/en/Publications/WEO/weo-database/202</w:t>
      </w:r>
      <w:r>
        <w:t>3</w:t>
      </w:r>
      <w:r w:rsidRPr="006C21D2">
        <w:t>/April</w:t>
      </w:r>
      <w:r>
        <w:t xml:space="preserve"> (accessed 19 June 2023); U.S. Energy Information Administration. </w:t>
      </w:r>
      <w:r w:rsidRPr="00A829A6">
        <w:t>https://www.eia.gov/dnav/pet/hist/LeafHandler.ashx?n=PET&amp;s=RBRTE&amp;f=M</w:t>
      </w:r>
      <w:r>
        <w:t xml:space="preserve"> (accessed 19 June 2023).</w:t>
      </w:r>
    </w:p>
    <w:p w14:paraId="4397DC00" w14:textId="6B3C2911" w:rsidR="00C30027" w:rsidRDefault="00CF3F3D" w:rsidP="00C30027">
      <w:pPr>
        <w:rPr>
          <w:rFonts w:eastAsia="Calibri" w:cstheme="minorHAnsi"/>
          <w:color w:val="000000" w:themeColor="text1"/>
          <w:szCs w:val="22"/>
        </w:rPr>
      </w:pPr>
      <w:r>
        <w:rPr>
          <w:rFonts w:eastAsia="Calibri" w:cstheme="minorHAnsi"/>
          <w:color w:val="000000" w:themeColor="text1"/>
          <w:szCs w:val="22"/>
        </w:rPr>
        <w:t xml:space="preserve">However, this was not to last. </w:t>
      </w:r>
      <w:r w:rsidR="00C30027">
        <w:rPr>
          <w:rFonts w:eastAsia="Calibri" w:cstheme="minorHAnsi"/>
          <w:color w:val="000000" w:themeColor="text1"/>
          <w:szCs w:val="22"/>
        </w:rPr>
        <w:t>Oil prices retreated in 2014 and remained relatively subdued until 2022. Kazakhstan saw more moderate GDP growth during this time—an average of 3.1% in 2013–2019. It weathered the COVID-19 pandemic fairly well, suffering a 2.6% contraction before bouncing back in 2021 with a 4.1% growth rate.</w:t>
      </w:r>
      <w:r w:rsidR="00CD5874">
        <w:rPr>
          <w:rFonts w:eastAsia="Calibri" w:cstheme="minorHAnsi"/>
          <w:color w:val="000000" w:themeColor="text1"/>
          <w:szCs w:val="22"/>
        </w:rPr>
        <w:t xml:space="preserve"> Kazakhstan </w:t>
      </w:r>
      <w:r>
        <w:rPr>
          <w:rFonts w:eastAsia="Calibri" w:cstheme="minorHAnsi"/>
          <w:color w:val="000000" w:themeColor="text1"/>
          <w:szCs w:val="22"/>
        </w:rPr>
        <w:t xml:space="preserve">then </w:t>
      </w:r>
      <w:r w:rsidR="00CD5874">
        <w:rPr>
          <w:rFonts w:eastAsia="Calibri" w:cstheme="minorHAnsi"/>
          <w:color w:val="000000" w:themeColor="text1"/>
          <w:szCs w:val="22"/>
        </w:rPr>
        <w:t xml:space="preserve">grew by a modest 3.2% in 2022 in spite of the oil price spike that should have benefited its economy. One possible explanation why it did not stems from the relative ephemerality of the spike, lasting just a few months </w:t>
      </w:r>
      <w:r>
        <w:rPr>
          <w:rFonts w:eastAsia="Calibri" w:cstheme="minorHAnsi"/>
          <w:color w:val="000000" w:themeColor="text1"/>
          <w:szCs w:val="22"/>
        </w:rPr>
        <w:t>as global market</w:t>
      </w:r>
      <w:r w:rsidR="004F317C">
        <w:rPr>
          <w:rFonts w:eastAsia="Calibri" w:cstheme="minorHAnsi"/>
          <w:color w:val="000000" w:themeColor="text1"/>
          <w:szCs w:val="22"/>
        </w:rPr>
        <w:t>s</w:t>
      </w:r>
      <w:r>
        <w:rPr>
          <w:rFonts w:eastAsia="Calibri" w:cstheme="minorHAnsi"/>
          <w:color w:val="000000" w:themeColor="text1"/>
          <w:szCs w:val="22"/>
        </w:rPr>
        <w:t xml:space="preserve"> adjusted to the Russian invasion of Ukraine </w:t>
      </w:r>
      <w:r w:rsidR="00CD5874">
        <w:rPr>
          <w:rFonts w:eastAsia="Calibri" w:cstheme="minorHAnsi"/>
          <w:color w:val="000000" w:themeColor="text1"/>
          <w:szCs w:val="22"/>
        </w:rPr>
        <w:t>rather than the years-long mid-2000s boom</w:t>
      </w:r>
      <w:r>
        <w:rPr>
          <w:rFonts w:eastAsia="Calibri" w:cstheme="minorHAnsi"/>
          <w:color w:val="000000" w:themeColor="text1"/>
          <w:szCs w:val="22"/>
        </w:rPr>
        <w:t xml:space="preserve"> that was driven by more wide-ranging factors</w:t>
      </w:r>
      <w:r w:rsidR="00CD5874">
        <w:rPr>
          <w:rFonts w:eastAsia="Calibri" w:cstheme="minorHAnsi"/>
          <w:color w:val="000000" w:themeColor="text1"/>
          <w:szCs w:val="22"/>
        </w:rPr>
        <w:t xml:space="preserve">. </w:t>
      </w:r>
      <w:r w:rsidR="00C30027">
        <w:rPr>
          <w:rFonts w:eastAsia="Calibri" w:cstheme="minorHAnsi"/>
          <w:color w:val="000000" w:themeColor="text1"/>
          <w:szCs w:val="22"/>
        </w:rPr>
        <w:t xml:space="preserve">The International Monetary Fund forecasts </w:t>
      </w:r>
      <w:r w:rsidR="00CD5874">
        <w:rPr>
          <w:rFonts w:eastAsia="Calibri" w:cstheme="minorHAnsi"/>
          <w:color w:val="000000" w:themeColor="text1"/>
          <w:szCs w:val="22"/>
        </w:rPr>
        <w:t>Kazakhstan's</w:t>
      </w:r>
      <w:r w:rsidR="00C30027">
        <w:rPr>
          <w:rFonts w:eastAsia="Calibri" w:cstheme="minorHAnsi"/>
          <w:color w:val="000000" w:themeColor="text1"/>
          <w:szCs w:val="22"/>
        </w:rPr>
        <w:t xml:space="preserve"> growth to </w:t>
      </w:r>
      <w:r w:rsidR="00CD5874">
        <w:rPr>
          <w:rFonts w:eastAsia="Calibri" w:cstheme="minorHAnsi"/>
          <w:color w:val="000000" w:themeColor="text1"/>
          <w:szCs w:val="22"/>
        </w:rPr>
        <w:t xml:space="preserve">hold steady at an average of </w:t>
      </w:r>
      <w:r w:rsidR="00C30027">
        <w:rPr>
          <w:rFonts w:eastAsia="Calibri" w:cstheme="minorHAnsi"/>
          <w:color w:val="000000" w:themeColor="text1"/>
          <w:szCs w:val="22"/>
        </w:rPr>
        <w:t>3.3% until 2028.</w:t>
      </w:r>
    </w:p>
    <w:p w14:paraId="33DFB9ED" w14:textId="5DEFC7C0" w:rsidR="00C30027" w:rsidRDefault="00C30027" w:rsidP="00C30027">
      <w:pPr>
        <w:rPr>
          <w:rFonts w:eastAsia="Calibri" w:cstheme="minorHAnsi"/>
          <w:color w:val="000000" w:themeColor="text1"/>
          <w:szCs w:val="22"/>
        </w:rPr>
      </w:pPr>
      <w:r>
        <w:rPr>
          <w:rFonts w:eastAsia="Calibri" w:cstheme="minorHAnsi"/>
          <w:color w:val="000000" w:themeColor="text1"/>
          <w:szCs w:val="22"/>
        </w:rPr>
        <w:lastRenderedPageBreak/>
        <w:t xml:space="preserve">Kazakhstan's reliance on oil puts it in danger of adverse economic outcomes (ADB 2018). As </w:t>
      </w:r>
      <w:r>
        <w:rPr>
          <w:rFonts w:eastAsia="Calibri" w:cstheme="minorHAnsi"/>
          <w:color w:val="000000" w:themeColor="text1"/>
          <w:szCs w:val="22"/>
        </w:rPr>
        <w:fldChar w:fldCharType="begin"/>
      </w:r>
      <w:r>
        <w:rPr>
          <w:rFonts w:eastAsia="Calibri" w:cstheme="minorHAnsi"/>
          <w:color w:val="000000" w:themeColor="text1"/>
          <w:szCs w:val="22"/>
        </w:rPr>
        <w:instrText xml:space="preserve"> REF _Ref139901231 \h </w:instrText>
      </w:r>
      <w:r>
        <w:rPr>
          <w:rFonts w:eastAsia="Calibri" w:cstheme="minorHAnsi"/>
          <w:color w:val="000000" w:themeColor="text1"/>
          <w:szCs w:val="22"/>
        </w:rPr>
      </w:r>
      <w:r>
        <w:rPr>
          <w:rFonts w:eastAsia="Calibri" w:cstheme="minorHAnsi"/>
          <w:color w:val="000000" w:themeColor="text1"/>
          <w:szCs w:val="22"/>
        </w:rPr>
        <w:fldChar w:fldCharType="separate"/>
      </w:r>
      <w:r w:rsidRPr="00C30027">
        <w:t>Box 2</w:t>
      </w:r>
      <w:r>
        <w:rPr>
          <w:rFonts w:eastAsia="Calibri" w:cstheme="minorHAnsi"/>
          <w:color w:val="000000" w:themeColor="text1"/>
          <w:szCs w:val="22"/>
        </w:rPr>
        <w:fldChar w:fldCharType="end"/>
      </w:r>
      <w:r>
        <w:rPr>
          <w:rFonts w:eastAsia="Calibri" w:cstheme="minorHAnsi"/>
          <w:color w:val="000000" w:themeColor="text1"/>
          <w:szCs w:val="22"/>
        </w:rPr>
        <w:t xml:space="preserve"> explains, the resource curse refers to how countries with rich resource endowments tend to grow slower than their resource-scarce counterparts. Dutch disease may be one cause, where the resource sector crowds out investments in the non-resource sectors that hold the key to long-run sustainable growth. </w:t>
      </w:r>
      <w:r w:rsidR="000E29FC">
        <w:rPr>
          <w:rFonts w:eastAsia="Calibri" w:cstheme="minorHAnsi"/>
          <w:color w:val="000000" w:themeColor="text1"/>
          <w:szCs w:val="22"/>
        </w:rPr>
        <w:t xml:space="preserve">It is important to note that the very nature of extractive resource wealth is its finite supply; </w:t>
      </w:r>
      <w:r>
        <w:rPr>
          <w:rFonts w:eastAsia="Calibri" w:cstheme="minorHAnsi"/>
          <w:color w:val="000000" w:themeColor="text1"/>
          <w:szCs w:val="22"/>
        </w:rPr>
        <w:t>estimates suggest that Kazakhstan's oil reserves will be depleted in 45 years</w:t>
      </w:r>
      <w:r>
        <w:rPr>
          <w:rStyle w:val="FootnoteReference"/>
          <w:rFonts w:eastAsia="Calibri" w:cstheme="minorHAnsi"/>
          <w:color w:val="000000" w:themeColor="text1"/>
          <w:szCs w:val="22"/>
        </w:rPr>
        <w:footnoteReference w:id="8"/>
      </w:r>
      <w:r w:rsidR="000E29FC">
        <w:rPr>
          <w:rFonts w:eastAsia="Calibri" w:cstheme="minorHAnsi"/>
          <w:color w:val="000000" w:themeColor="text1"/>
          <w:szCs w:val="22"/>
        </w:rPr>
        <w:t xml:space="preserve">. But even </w:t>
      </w:r>
      <w:r w:rsidR="000E29FC">
        <w:rPr>
          <w:rFonts w:eastAsia="Calibri" w:cstheme="minorHAnsi"/>
          <w:color w:val="000000" w:themeColor="text1"/>
          <w:szCs w:val="22"/>
        </w:rPr>
        <w:t>before that</w:t>
      </w:r>
      <w:r w:rsidR="000E29FC">
        <w:rPr>
          <w:rFonts w:eastAsia="Calibri" w:cstheme="minorHAnsi"/>
          <w:color w:val="000000" w:themeColor="text1"/>
          <w:szCs w:val="22"/>
        </w:rPr>
        <w:t xml:space="preserve">, analysts are expecting </w:t>
      </w:r>
      <w:r>
        <w:rPr>
          <w:rFonts w:eastAsia="Calibri" w:cstheme="minorHAnsi"/>
          <w:color w:val="000000" w:themeColor="text1"/>
          <w:szCs w:val="22"/>
        </w:rPr>
        <w:t xml:space="preserve">world demand for oil </w:t>
      </w:r>
      <w:r w:rsidR="000E29FC">
        <w:rPr>
          <w:rFonts w:eastAsia="Calibri" w:cstheme="minorHAnsi"/>
          <w:color w:val="000000" w:themeColor="text1"/>
          <w:szCs w:val="22"/>
        </w:rPr>
        <w:t xml:space="preserve">to </w:t>
      </w:r>
      <w:r>
        <w:rPr>
          <w:rFonts w:eastAsia="Calibri" w:cstheme="minorHAnsi"/>
          <w:color w:val="000000" w:themeColor="text1"/>
          <w:szCs w:val="22"/>
        </w:rPr>
        <w:t xml:space="preserve">peak </w:t>
      </w:r>
      <w:r w:rsidR="000E29FC">
        <w:rPr>
          <w:rFonts w:eastAsia="Calibri" w:cstheme="minorHAnsi"/>
          <w:color w:val="000000" w:themeColor="text1"/>
          <w:szCs w:val="22"/>
        </w:rPr>
        <w:t>and then decline</w:t>
      </w:r>
      <w:r>
        <w:rPr>
          <w:rFonts w:eastAsia="Calibri" w:cstheme="minorHAnsi"/>
          <w:color w:val="000000" w:themeColor="text1"/>
          <w:szCs w:val="22"/>
        </w:rPr>
        <w:t>, resulting in a plunge in prices (</w:t>
      </w:r>
      <w:proofErr w:type="spellStart"/>
      <w:r>
        <w:rPr>
          <w:rFonts w:eastAsia="Calibri" w:cstheme="minorHAnsi"/>
          <w:color w:val="000000" w:themeColor="text1"/>
          <w:szCs w:val="22"/>
        </w:rPr>
        <w:t>Fickling</w:t>
      </w:r>
      <w:proofErr w:type="spellEnd"/>
      <w:r>
        <w:rPr>
          <w:rFonts w:eastAsia="Calibri" w:cstheme="minorHAnsi"/>
          <w:color w:val="000000" w:themeColor="text1"/>
          <w:szCs w:val="22"/>
        </w:rPr>
        <w:t xml:space="preserve"> 2022). </w:t>
      </w:r>
      <w:r w:rsidR="000E29FC">
        <w:rPr>
          <w:rFonts w:eastAsia="Calibri" w:cstheme="minorHAnsi"/>
          <w:color w:val="000000" w:themeColor="text1"/>
          <w:szCs w:val="22"/>
        </w:rPr>
        <w:t xml:space="preserve">All these make it </w:t>
      </w:r>
      <w:r>
        <w:rPr>
          <w:rFonts w:eastAsia="Calibri" w:cstheme="minorHAnsi"/>
          <w:color w:val="000000" w:themeColor="text1"/>
          <w:szCs w:val="22"/>
        </w:rPr>
        <w:t xml:space="preserve">crucial for Kazakhstan to </w:t>
      </w:r>
      <w:r w:rsidR="00CD51D7">
        <w:rPr>
          <w:rFonts w:eastAsia="Calibri" w:cstheme="minorHAnsi"/>
          <w:color w:val="000000" w:themeColor="text1"/>
          <w:szCs w:val="22"/>
        </w:rPr>
        <w:t xml:space="preserve">diversify </w:t>
      </w:r>
      <w:r>
        <w:rPr>
          <w:rFonts w:eastAsia="Calibri" w:cstheme="minorHAnsi"/>
          <w:color w:val="000000" w:themeColor="text1"/>
          <w:szCs w:val="22"/>
        </w:rPr>
        <w:t xml:space="preserve">its </w:t>
      </w:r>
      <w:r w:rsidR="00CD51D7">
        <w:rPr>
          <w:rFonts w:eastAsia="Calibri" w:cstheme="minorHAnsi"/>
          <w:color w:val="000000" w:themeColor="text1"/>
          <w:szCs w:val="22"/>
        </w:rPr>
        <w:t xml:space="preserve">economy away from its </w:t>
      </w:r>
      <w:r>
        <w:rPr>
          <w:rFonts w:eastAsia="Calibri" w:cstheme="minorHAnsi"/>
          <w:color w:val="000000" w:themeColor="text1"/>
          <w:szCs w:val="22"/>
        </w:rPr>
        <w:t>oil sector.</w:t>
      </w:r>
    </w:p>
    <w:tbl>
      <w:tblPr>
        <w:tblStyle w:val="TableGrid"/>
        <w:tblW w:w="0" w:type="auto"/>
        <w:tblLook w:val="04A0" w:firstRow="1" w:lastRow="0" w:firstColumn="1" w:lastColumn="0" w:noHBand="0" w:noVBand="1"/>
      </w:tblPr>
      <w:tblGrid>
        <w:gridCol w:w="9016"/>
      </w:tblGrid>
      <w:tr w:rsidR="00C30027" w14:paraId="4843C873" w14:textId="77777777" w:rsidTr="00C30027">
        <w:tc>
          <w:tcPr>
            <w:tcW w:w="9016" w:type="dxa"/>
          </w:tcPr>
          <w:p w14:paraId="4A36E7AD" w14:textId="7152C9C2" w:rsidR="00C30027" w:rsidRPr="00C30027" w:rsidRDefault="00C30027" w:rsidP="00C30027">
            <w:pPr>
              <w:pStyle w:val="Caption"/>
            </w:pPr>
            <w:bookmarkStart w:id="13" w:name="_Ref139901231"/>
            <w:bookmarkStart w:id="14" w:name="_Toc139902360"/>
            <w:r w:rsidRPr="00C30027">
              <w:t xml:space="preserve">Box </w:t>
            </w:r>
            <w:fldSimple w:instr=" SEQ Box \* ARABIC ">
              <w:r w:rsidRPr="00C30027">
                <w:t>2</w:t>
              </w:r>
            </w:fldSimple>
            <w:bookmarkEnd w:id="13"/>
            <w:r w:rsidRPr="00C30027">
              <w:t xml:space="preserve">: </w:t>
            </w:r>
            <w:r w:rsidR="00D9006C">
              <w:t xml:space="preserve">The </w:t>
            </w:r>
            <w:r w:rsidRPr="00C30027">
              <w:t>Resource Curse</w:t>
            </w:r>
            <w:bookmarkEnd w:id="14"/>
          </w:p>
          <w:p w14:paraId="3762C1B9" w14:textId="77777777" w:rsidR="00C30027" w:rsidRDefault="00C30027" w:rsidP="00C30027">
            <w:pPr>
              <w:pStyle w:val="Box"/>
            </w:pPr>
            <w:r>
              <w:t xml:space="preserve">Intuition might hold that a country blessed with abundant natural resources is well positioned for rapid growth. But this is not always the case: some studies actually point to </w:t>
            </w:r>
            <w:r w:rsidRPr="00906B83">
              <w:rPr>
                <w:i/>
                <w:iCs/>
              </w:rPr>
              <w:t>slower</w:t>
            </w:r>
            <w:r>
              <w:t xml:space="preserve"> growth for resource-rich countries (Sachs and Warner 2001). Rather than a blessing, there may in fact be a "resource curse" (</w:t>
            </w:r>
            <w:proofErr w:type="spellStart"/>
            <w:r>
              <w:t>Auty</w:t>
            </w:r>
            <w:proofErr w:type="spellEnd"/>
            <w:r>
              <w:t xml:space="preserve"> 1993), especially when the resource is of the extractive type—minerals, petroleum</w:t>
            </w:r>
          </w:p>
          <w:p w14:paraId="62AEA2EF" w14:textId="63596017" w:rsidR="00C30027" w:rsidRDefault="00C30027" w:rsidP="00C30027">
            <w:pPr>
              <w:pStyle w:val="Box"/>
            </w:pPr>
            <w:r>
              <w:t>What causes this? One set of explanations revolve around the Dutch disease hypothesis, which states that a booming resource sector causes the non-resource export sector (e.g. manufacturing) to shrink due to two effects. First, by making the real exchange rate appreciate, it makes non-resource exports less competitive. Second, it draws labor and capital away from the non-resource sector (Corden and Neary 1982). Since manufacturing is associated with learning by doing and other positive externalities, its demise may hamper long-run growth. Moreover, since the global prices of natural resources tend to be volatile, an economy specialized in it will also experience much volatility, hampering growth (van der Ploeg 2011).</w:t>
            </w:r>
          </w:p>
          <w:p w14:paraId="60AD84A9" w14:textId="77777777" w:rsidR="00C30027" w:rsidRDefault="00C30027" w:rsidP="00C30027">
            <w:pPr>
              <w:pStyle w:val="Box"/>
            </w:pPr>
            <w:r>
              <w:t>Another set of explanations focus on the quality of a country's institutions. The wealth generated by natural resources may facilitate more corruption, rent-seeking, and civil conflict. Governments may be less inclined to invest in non-resource sectors or in building up physical and human capital (van der Ploeg 2011). In these analyses, oil wealth appears to be particularly associated with institutional erosion (Ross 2015).</w:t>
            </w:r>
          </w:p>
          <w:p w14:paraId="7BC73F6D" w14:textId="77777777" w:rsidR="00C30027" w:rsidRDefault="00C30027" w:rsidP="00C30027">
            <w:pPr>
              <w:pStyle w:val="Box"/>
            </w:pPr>
            <w:r>
              <w:t>Because econometrically measuring the impact of natural resources on growth is plagued by measurement and identification issues, the existence of a resource curse is still debated. Resource-rich countries can therefore take heart that the curse is "</w:t>
            </w:r>
            <w:r w:rsidRPr="009B481D">
              <w:t>not cast in stone</w:t>
            </w:r>
            <w:r>
              <w:t xml:space="preserve">" (van der Ploeg 2011, p. 385). </w:t>
            </w:r>
          </w:p>
          <w:p w14:paraId="25D9385A" w14:textId="77777777" w:rsidR="00C30027" w:rsidRPr="00A035EA" w:rsidRDefault="00C30027" w:rsidP="00C30027">
            <w:pPr>
              <w:pStyle w:val="BoxReferences"/>
              <w:rPr>
                <w:b/>
                <w:bCs/>
              </w:rPr>
            </w:pPr>
            <w:r w:rsidRPr="00A035EA">
              <w:rPr>
                <w:b/>
                <w:bCs/>
              </w:rPr>
              <w:t>Reference</w:t>
            </w:r>
            <w:r>
              <w:rPr>
                <w:b/>
                <w:bCs/>
              </w:rPr>
              <w:t>s</w:t>
            </w:r>
          </w:p>
          <w:p w14:paraId="1953A300" w14:textId="77777777" w:rsidR="00C30027" w:rsidRDefault="00C30027" w:rsidP="00C30027">
            <w:pPr>
              <w:pStyle w:val="BoxReferences"/>
            </w:pPr>
            <w:r>
              <w:t xml:space="preserve">R. M. </w:t>
            </w:r>
            <w:proofErr w:type="spellStart"/>
            <w:r w:rsidRPr="00465FCD">
              <w:t>Auty</w:t>
            </w:r>
            <w:proofErr w:type="spellEnd"/>
            <w:r>
              <w:t>.</w:t>
            </w:r>
            <w:r w:rsidRPr="00465FCD">
              <w:t xml:space="preserve"> 1993. </w:t>
            </w:r>
            <w:r w:rsidRPr="00465FCD">
              <w:rPr>
                <w:i/>
                <w:iCs/>
              </w:rPr>
              <w:t xml:space="preserve">Sustaining Development in Mineral Economies: </w:t>
            </w:r>
            <w:r>
              <w:rPr>
                <w:i/>
                <w:iCs/>
              </w:rPr>
              <w:t>T</w:t>
            </w:r>
            <w:r w:rsidRPr="00465FCD">
              <w:rPr>
                <w:i/>
                <w:iCs/>
              </w:rPr>
              <w:t>he Resource Curse Thesis</w:t>
            </w:r>
            <w:r w:rsidRPr="00465FCD">
              <w:t>. Routledge</w:t>
            </w:r>
            <w:r>
              <w:t>:</w:t>
            </w:r>
            <w:r w:rsidRPr="00465FCD">
              <w:t xml:space="preserve"> London</w:t>
            </w:r>
            <w:r>
              <w:t>, UK</w:t>
            </w:r>
            <w:r w:rsidRPr="00465FCD">
              <w:t>.</w:t>
            </w:r>
          </w:p>
          <w:p w14:paraId="38A0E35C" w14:textId="77777777" w:rsidR="00C30027" w:rsidRDefault="00C30027" w:rsidP="00C30027">
            <w:pPr>
              <w:pStyle w:val="BoxReferences"/>
            </w:pPr>
            <w:r>
              <w:t>W. M. Corden and J. P. Neary.</w:t>
            </w:r>
            <w:r w:rsidRPr="00601F5B">
              <w:t xml:space="preserve"> </w:t>
            </w:r>
            <w:r>
              <w:t>1982. Booming Sector and De-</w:t>
            </w:r>
            <w:proofErr w:type="spellStart"/>
            <w:r>
              <w:t>Industrialisation</w:t>
            </w:r>
            <w:proofErr w:type="spellEnd"/>
            <w:r>
              <w:t xml:space="preserve"> in a Small Open Economy. </w:t>
            </w:r>
            <w:r w:rsidRPr="00937E53">
              <w:rPr>
                <w:i/>
                <w:iCs/>
              </w:rPr>
              <w:t>Economic Journal</w:t>
            </w:r>
            <w:r>
              <w:t>. 92. pp. 825–848</w:t>
            </w:r>
            <w:r w:rsidRPr="003B1B51">
              <w:t>.</w:t>
            </w:r>
          </w:p>
          <w:p w14:paraId="0F3F0848" w14:textId="77777777" w:rsidR="00C30027" w:rsidRDefault="00C30027" w:rsidP="00C30027">
            <w:pPr>
              <w:pStyle w:val="BoxReferences"/>
            </w:pPr>
            <w:r>
              <w:t xml:space="preserve">M. L. Ross. 2015. The Politics of the Resource Curse: A Review. In C. Lancaster and N. van de </w:t>
            </w:r>
            <w:proofErr w:type="spellStart"/>
            <w:r>
              <w:t>Walle</w:t>
            </w:r>
            <w:proofErr w:type="spellEnd"/>
            <w:r>
              <w:t xml:space="preserve"> (eds.), </w:t>
            </w:r>
            <w:r w:rsidRPr="009B481D">
              <w:rPr>
                <w:i/>
                <w:iCs/>
              </w:rPr>
              <w:t>The Oxford Handbook of the Politics of Development</w:t>
            </w:r>
            <w:r>
              <w:t>, pp. 200–223. Oxford University Press: Oxford, UK.</w:t>
            </w:r>
          </w:p>
          <w:p w14:paraId="002D6D0E" w14:textId="77777777" w:rsidR="00C30027" w:rsidRDefault="00C30027" w:rsidP="00C30027">
            <w:pPr>
              <w:pStyle w:val="BoxReferences"/>
            </w:pPr>
            <w:r>
              <w:lastRenderedPageBreak/>
              <w:t xml:space="preserve">J. D. Sachs and A. M. Warner. 2001. The Curse of Natural Resources. </w:t>
            </w:r>
            <w:r w:rsidRPr="00465FCD">
              <w:rPr>
                <w:i/>
                <w:iCs/>
              </w:rPr>
              <w:t>European Economic Review</w:t>
            </w:r>
            <w:r>
              <w:t>. 45. pp. 827–838.</w:t>
            </w:r>
          </w:p>
          <w:p w14:paraId="676C7EA7" w14:textId="00C7E7FE" w:rsidR="00C30027" w:rsidRDefault="00C30027" w:rsidP="00C30027">
            <w:pPr>
              <w:pStyle w:val="BoxReferences"/>
            </w:pPr>
            <w:r>
              <w:t xml:space="preserve">F. van der Ploeg. 2011. Natural Resources: Curse or Blessing? </w:t>
            </w:r>
            <w:r w:rsidRPr="009B481D">
              <w:rPr>
                <w:i/>
                <w:iCs/>
              </w:rPr>
              <w:t>Journal of Economic Literature</w:t>
            </w:r>
            <w:r>
              <w:t>. 49(2). pp. 366–420.</w:t>
            </w:r>
          </w:p>
        </w:tc>
      </w:tr>
    </w:tbl>
    <w:p w14:paraId="454B5837" w14:textId="77777777" w:rsidR="00C30027" w:rsidRDefault="00C30027" w:rsidP="00C30027"/>
    <w:p w14:paraId="6877E442" w14:textId="2B3EE922" w:rsidR="00CF3F3D" w:rsidRDefault="00C30027" w:rsidP="00C30027">
      <w:r>
        <w:fldChar w:fldCharType="begin"/>
      </w:r>
      <w:r>
        <w:instrText xml:space="preserve"> REF _Ref77597736 \h </w:instrText>
      </w:r>
      <w:r>
        <w:fldChar w:fldCharType="separate"/>
      </w:r>
      <w:r>
        <w:t xml:space="preserve">Figure </w:t>
      </w:r>
      <w:r>
        <w:rPr>
          <w:noProof/>
          <w:cs/>
        </w:rPr>
        <w:t>‎</w:t>
      </w:r>
      <w:r>
        <w:rPr>
          <w:noProof/>
        </w:rPr>
        <w:t>2</w:t>
      </w:r>
      <w:r>
        <w:t>.</w:t>
      </w:r>
      <w:r>
        <w:rPr>
          <w:noProof/>
        </w:rPr>
        <w:t>2</w:t>
      </w:r>
      <w:r>
        <w:fldChar w:fldCharType="end"/>
      </w:r>
      <w:r>
        <w:t xml:space="preserve"> shows that it has some ways to go. </w:t>
      </w:r>
      <w:r w:rsidR="00D7135F">
        <w:t xml:space="preserve">The plot </w:t>
      </w:r>
      <w:r w:rsidR="004F317C">
        <w:t xml:space="preserve">shows trade openness at various levels of economic size, providing a rough metric by which one can gauge whether a country is relatively more trade-oriented or not. Trade is naturally a smaller part of the economy for larger countries like the PRC and India and vice versa for smaller countries like Singapore and the Kyrgyz Republic. Taking this relationship into account, how important </w:t>
      </w:r>
      <w:r w:rsidR="004F317C">
        <w:t xml:space="preserve">is trade </w:t>
      </w:r>
      <w:r w:rsidR="004F317C">
        <w:t xml:space="preserve">for Kazakhstan given its size? For its </w:t>
      </w:r>
      <w:r w:rsidR="00D7135F">
        <w:t>trade as a whole, it does appear to be fairly open</w:t>
      </w:r>
      <w:r w:rsidR="00C65C13">
        <w:t>:</w:t>
      </w:r>
      <w:r w:rsidR="00D7135F">
        <w:t xml:space="preserve"> </w:t>
      </w:r>
      <w:r w:rsidR="00C65C13">
        <w:t>o</w:t>
      </w:r>
      <w:r w:rsidR="00D7135F">
        <w:t>f its $545 billion GDP, exports and imports account</w:t>
      </w:r>
      <w:r w:rsidR="00C65C13">
        <w:t>ed</w:t>
      </w:r>
      <w:r w:rsidR="00D7135F">
        <w:t xml:space="preserve"> for 57.5%</w:t>
      </w:r>
      <w:r w:rsidR="00C65C13">
        <w:t xml:space="preserve"> in 2021</w:t>
      </w:r>
      <w:r w:rsidR="0029259F">
        <w:t xml:space="preserve">, </w:t>
      </w:r>
      <w:r w:rsidR="00C54D0D">
        <w:t xml:space="preserve">below </w:t>
      </w:r>
      <w:r w:rsidR="0029259F">
        <w:t>Saudi Arabia's 59.1% and Uzbekistan's 63.9%</w:t>
      </w:r>
      <w:r w:rsidR="00C54D0D">
        <w:t xml:space="preserve"> but ahead of </w:t>
      </w:r>
      <w:r w:rsidR="00C54D0D">
        <w:t>the Russian Federation's 52.2%</w:t>
      </w:r>
      <w:r w:rsidR="00C54D0D">
        <w:t xml:space="preserve"> and even the United Kingdom's 56.7%</w:t>
      </w:r>
      <w:r w:rsidR="00D7135F">
        <w:t xml:space="preserve">. </w:t>
      </w:r>
    </w:p>
    <w:p w14:paraId="21C27538" w14:textId="3D6E8D5B" w:rsidR="00C2222F" w:rsidRDefault="00C54D0D" w:rsidP="00C2222F">
      <w:pPr>
        <w:pStyle w:val="Caption"/>
      </w:pPr>
      <w:bookmarkStart w:id="15" w:name="_Ref77597736"/>
      <w:bookmarkStart w:id="16" w:name="_Toc83849800"/>
      <w:r>
        <w:rPr>
          <w:noProof/>
        </w:rPr>
        <w:drawing>
          <wp:anchor distT="0" distB="0" distL="114300" distR="114300" simplePos="0" relativeHeight="251759616" behindDoc="0" locked="0" layoutInCell="1" allowOverlap="1" wp14:anchorId="6C16F1D0" wp14:editId="085F96D2">
            <wp:simplePos x="0" y="0"/>
            <wp:positionH relativeFrom="column">
              <wp:posOffset>0</wp:posOffset>
            </wp:positionH>
            <wp:positionV relativeFrom="paragraph">
              <wp:posOffset>191868</wp:posOffset>
            </wp:positionV>
            <wp:extent cx="5731510" cy="3580765"/>
            <wp:effectExtent l="0" t="0" r="0" b="635"/>
            <wp:wrapSquare wrapText="bothSides"/>
            <wp:docPr id="83163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33863" name="Picture 831633863"/>
                    <pic:cNvPicPr/>
                  </pic:nvPicPr>
                  <pic:blipFill>
                    <a:blip r:embed="rId9">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C2222F">
        <w:t xml:space="preserve">Figure </w:t>
      </w:r>
      <w:fldSimple w:instr=" STYLEREF 1 \s ">
        <w:r w:rsidR="00D57A44">
          <w:rPr>
            <w:noProof/>
            <w:cs/>
          </w:rPr>
          <w:t>‎</w:t>
        </w:r>
        <w:r w:rsidR="00D57A44">
          <w:rPr>
            <w:noProof/>
          </w:rPr>
          <w:t>2</w:t>
        </w:r>
      </w:fldSimple>
      <w:r w:rsidR="003F26C2">
        <w:t>.</w:t>
      </w:r>
      <w:fldSimple w:instr=" SEQ Figure \* ARABIC \s 1 ">
        <w:r w:rsidR="00D57A44">
          <w:rPr>
            <w:noProof/>
          </w:rPr>
          <w:t>2</w:t>
        </w:r>
      </w:fldSimple>
      <w:bookmarkEnd w:id="15"/>
      <w:r w:rsidR="00C2222F">
        <w:t xml:space="preserve">: </w:t>
      </w:r>
      <w:bookmarkEnd w:id="16"/>
      <w:r w:rsidR="00C30027">
        <w:t xml:space="preserve">Trade Openness at Various Levels of Economic </w:t>
      </w:r>
      <w:r w:rsidR="00D7135F">
        <w:t>Size</w:t>
      </w:r>
      <w:r w:rsidR="00C30027">
        <w:t>, 2021</w:t>
      </w:r>
    </w:p>
    <w:p w14:paraId="01DAD593" w14:textId="77777777" w:rsidR="00C30027" w:rsidRPr="00D3295D" w:rsidRDefault="00C30027" w:rsidP="00C30027">
      <w:pPr>
        <w:pStyle w:val="NotesAbbreviations"/>
      </w:pPr>
      <w:r w:rsidRPr="00D3295D">
        <w:t>GDP = gross domestic product, PPP = purchasing power parity, PRC = People’s Republic of China</w:t>
      </w:r>
      <w:r>
        <w:t>.</w:t>
      </w:r>
    </w:p>
    <w:p w14:paraId="43402A6A" w14:textId="77777777" w:rsidR="00C30027" w:rsidRDefault="00C30027" w:rsidP="00C30027">
      <w:pPr>
        <w:pStyle w:val="Notes"/>
      </w:pPr>
      <w:r>
        <w:t xml:space="preserve">Notes: </w:t>
      </w:r>
      <w:r>
        <w:tab/>
        <w:t xml:space="preserve">Horizontal axis is </w:t>
      </w:r>
      <w:r w:rsidRPr="00A03315">
        <w:t xml:space="preserve">gross domestic product in current international dollars </w:t>
      </w:r>
      <w:r>
        <w:t>at</w:t>
      </w:r>
      <w:r w:rsidRPr="00A03315">
        <w:t xml:space="preserve"> purchasing power parity</w:t>
      </w:r>
      <w:r>
        <w:t xml:space="preserve">. Vertical axis is </w:t>
      </w:r>
      <w:r w:rsidRPr="0096442F">
        <w:t>the sum of exports and imports of goods and services as a share of gross domestic product</w:t>
      </w:r>
      <w:r>
        <w:t>.</w:t>
      </w:r>
    </w:p>
    <w:p w14:paraId="0FA7FF54" w14:textId="77777777" w:rsidR="00C30027" w:rsidRDefault="00C30027" w:rsidP="00C30027">
      <w:pPr>
        <w:pStyle w:val="NotesBottom"/>
      </w:pPr>
      <w:r>
        <w:t xml:space="preserve">Source: </w:t>
      </w:r>
      <w:r>
        <w:tab/>
        <w:t xml:space="preserve">World Bank. World Development Indicators. </w:t>
      </w:r>
      <w:r w:rsidRPr="00621D7C">
        <w:t>https://data.worldbank.org/indicator</w:t>
      </w:r>
      <w:r>
        <w:t xml:space="preserve"> (accessed 19 June 2023). </w:t>
      </w:r>
    </w:p>
    <w:p w14:paraId="5A4F0339" w14:textId="5F6D5EA2" w:rsidR="00CF3F3D" w:rsidRPr="00465FCD" w:rsidRDefault="00CF3F3D" w:rsidP="00CF3F3D">
      <w:r>
        <w:t xml:space="preserve">However, it is reasonable to wonder whether Kazakhstan's very large oil sector is inflating this ratio. Many studies, including the classic paper by Jeffrey A. Frankel and David Romer (1999), have affirmed that countries who trade more tend to grow faster. The four Asian Tigers—Hong Kong, China; the Republic of Korea; Singapore; and </w:t>
      </w:r>
      <w:proofErr w:type="spellStart"/>
      <w:r>
        <w:t>Taipei,China</w:t>
      </w:r>
      <w:proofErr w:type="spellEnd"/>
      <w:r>
        <w:t xml:space="preserve">—had </w:t>
      </w:r>
      <w:r>
        <w:lastRenderedPageBreak/>
        <w:t xml:space="preserve">famously used an export-oriented development strategy to become advanced economies by the 1990s (Stiglitz 1996), an approach that is now being followed by Viet Nam and Cambodia, among others. But all these cases involve export baskets that lean heavily towards manufactures, not natural resources. Indeed, </w:t>
      </w:r>
      <w:r>
        <w:t>excluding oil from Kazakhstan's trade lowers its trade-to-GDP ratio to just 18.3%. This back-of-the-envelope calculation strongly suggests that Kazakhstan is not as trade-oriented as its statistics may paint it to be</w:t>
      </w:r>
      <w:r w:rsidR="00CD51D7">
        <w:t>, further highlighting its need for diversification</w:t>
      </w:r>
      <w:r>
        <w:t>.</w:t>
      </w:r>
      <w:r>
        <w:rPr>
          <w:rFonts w:eastAsia="Calibri" w:cstheme="minorHAnsi"/>
          <w:color w:val="000000" w:themeColor="text1"/>
          <w:szCs w:val="22"/>
        </w:rPr>
        <w:fldChar w:fldCharType="begin"/>
      </w:r>
      <w:r>
        <w:rPr>
          <w:rFonts w:eastAsia="Calibri" w:cstheme="minorHAnsi"/>
          <w:color w:val="000000" w:themeColor="text1"/>
          <w:szCs w:val="22"/>
        </w:rPr>
        <w:instrText xml:space="preserve"> REF _Ref77593630 </w:instrText>
      </w:r>
      <w:r>
        <w:rPr>
          <w:rFonts w:eastAsia="Calibri" w:cstheme="minorHAnsi"/>
          <w:color w:val="000000" w:themeColor="text1"/>
          <w:szCs w:val="22"/>
        </w:rPr>
        <w:fldChar w:fldCharType="end"/>
      </w:r>
    </w:p>
    <w:p w14:paraId="29D39948" w14:textId="7881DDF7" w:rsidR="00C2222F" w:rsidRDefault="00000000" w:rsidP="00C2222F">
      <w:fldSimple w:instr=" REF _Ref77602758 ">
        <w:r w:rsidR="00D57A44">
          <w:t xml:space="preserve">Figure </w:t>
        </w:r>
        <w:r w:rsidR="00D57A44">
          <w:rPr>
            <w:noProof/>
            <w:cs/>
          </w:rPr>
          <w:t>‎</w:t>
        </w:r>
        <w:r w:rsidR="00D57A44">
          <w:rPr>
            <w:noProof/>
          </w:rPr>
          <w:t>2</w:t>
        </w:r>
        <w:r w:rsidR="00D57A44">
          <w:t>.</w:t>
        </w:r>
        <w:r w:rsidR="00D57A44">
          <w:rPr>
            <w:noProof/>
          </w:rPr>
          <w:t>3</w:t>
        </w:r>
      </w:fldSimple>
      <w:r w:rsidR="00C2222F">
        <w:t xml:space="preserve"> visualizes international trading networks as of 20</w:t>
      </w:r>
      <w:r w:rsidR="00CD51D7">
        <w:t>21</w:t>
      </w:r>
      <w:r w:rsidR="00C2222F">
        <w:t xml:space="preserve"> and </w:t>
      </w:r>
      <w:r w:rsidR="00CD51D7">
        <w:t>Kazakhstan's</w:t>
      </w:r>
      <w:r w:rsidR="00C2222F">
        <w:t xml:space="preserve"> place in them. As it utilizes the United Nations COMTRADE Database (as processed by CEPII’s BACI International Trade Database), only merchandise trade is included. Each node is a </w:t>
      </w:r>
      <w:r w:rsidR="00A11901">
        <w:t>country or economy</w:t>
      </w:r>
      <w:r w:rsidR="00C2222F">
        <w:t xml:space="preserve">, positioned so as to group together those with significant mutual trade. For visual clarity, the figure only draws a trading link if the importing </w:t>
      </w:r>
      <w:r w:rsidR="00A11901">
        <w:t>country</w:t>
      </w:r>
      <w:r w:rsidR="00C2222F">
        <w:t xml:space="preserve"> is among the three largest importers of the exporting </w:t>
      </w:r>
      <w:r w:rsidR="00A11901">
        <w:t>country</w:t>
      </w:r>
      <w:r w:rsidR="00C2222F">
        <w:t xml:space="preserve">. Node sizes are proportional to the number of such links a </w:t>
      </w:r>
      <w:r w:rsidR="00A11901">
        <w:t xml:space="preserve">country </w:t>
      </w:r>
      <w:r w:rsidR="00C2222F">
        <w:t xml:space="preserve">is connected to. Thus, the fact that the largest nodes are the United States and the People’s Republic of China (PRC) means they appear among the top three importers of other </w:t>
      </w:r>
      <w:r w:rsidR="00A11901">
        <w:t>countries</w:t>
      </w:r>
      <w:r w:rsidR="00C2222F">
        <w:t xml:space="preserve"> the most. The thickness of a link, meanwhile, is proportional to the value of trade it is representing. Again, the thickest link is that between the United States and the PRC, indicating that it is the most </w:t>
      </w:r>
      <w:r w:rsidR="00803D35">
        <w:t>significant</w:t>
      </w:r>
      <w:r w:rsidR="00C2222F">
        <w:t xml:space="preserve"> bilateral relationship in the world. </w:t>
      </w:r>
    </w:p>
    <w:p w14:paraId="746CEF8C" w14:textId="253AA0AF" w:rsidR="00C2222F" w:rsidRDefault="00C6601B" w:rsidP="00C2222F">
      <w:pPr>
        <w:pStyle w:val="Caption"/>
      </w:pPr>
      <w:bookmarkStart w:id="17" w:name="_Ref77602758"/>
      <w:bookmarkStart w:id="18" w:name="_Toc83849801"/>
      <w:r>
        <w:rPr>
          <w:noProof/>
        </w:rPr>
        <w:lastRenderedPageBreak/>
        <w:drawing>
          <wp:anchor distT="0" distB="0" distL="114300" distR="114300" simplePos="0" relativeHeight="251739136" behindDoc="0" locked="0" layoutInCell="1" allowOverlap="1" wp14:anchorId="229C12B9" wp14:editId="6D45FD05">
            <wp:simplePos x="0" y="0"/>
            <wp:positionH relativeFrom="column">
              <wp:posOffset>0</wp:posOffset>
            </wp:positionH>
            <wp:positionV relativeFrom="paragraph">
              <wp:posOffset>191021</wp:posOffset>
            </wp:positionV>
            <wp:extent cx="5731510" cy="4301490"/>
            <wp:effectExtent l="0" t="0" r="0" b="3810"/>
            <wp:wrapSquare wrapText="bothSides"/>
            <wp:docPr id="9098189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18985" name="Picture 909818985"/>
                    <pic:cNvPicPr/>
                  </pic:nvPicPr>
                  <pic:blipFill>
                    <a:blip r:embed="rId10">
                      <a:extLst>
                        <a:ext uri="{28A0092B-C50C-407E-A947-70E740481C1C}">
                          <a14:useLocalDpi xmlns:a14="http://schemas.microsoft.com/office/drawing/2010/main" val="0"/>
                        </a:ext>
                      </a:extLst>
                    </a:blip>
                    <a:stretch>
                      <a:fillRect/>
                    </a:stretch>
                  </pic:blipFill>
                  <pic:spPr>
                    <a:xfrm>
                      <a:off x="0" y="0"/>
                      <a:ext cx="5731510" cy="4301490"/>
                    </a:xfrm>
                    <a:prstGeom prst="rect">
                      <a:avLst/>
                    </a:prstGeom>
                  </pic:spPr>
                </pic:pic>
              </a:graphicData>
            </a:graphic>
            <wp14:sizeRelH relativeFrom="page">
              <wp14:pctWidth>0</wp14:pctWidth>
            </wp14:sizeRelH>
            <wp14:sizeRelV relativeFrom="page">
              <wp14:pctHeight>0</wp14:pctHeight>
            </wp14:sizeRelV>
          </wp:anchor>
        </w:drawing>
      </w:r>
      <w:r w:rsidR="00C2222F">
        <w:t xml:space="preserve">Figure </w:t>
      </w:r>
      <w:fldSimple w:instr=" STYLEREF 1 \s ">
        <w:r w:rsidR="00D57A44">
          <w:rPr>
            <w:noProof/>
            <w:cs/>
          </w:rPr>
          <w:t>‎</w:t>
        </w:r>
        <w:r w:rsidR="00D57A44">
          <w:rPr>
            <w:noProof/>
          </w:rPr>
          <w:t>2</w:t>
        </w:r>
      </w:fldSimple>
      <w:r w:rsidR="003F26C2">
        <w:t>.</w:t>
      </w:r>
      <w:fldSimple w:instr=" SEQ Figure \* ARABIC \s 1 ">
        <w:r w:rsidR="00D57A44">
          <w:rPr>
            <w:noProof/>
          </w:rPr>
          <w:t>3</w:t>
        </w:r>
      </w:fldSimple>
      <w:bookmarkEnd w:id="17"/>
      <w:r w:rsidR="00C2222F">
        <w:t xml:space="preserve">: </w:t>
      </w:r>
      <w:bookmarkEnd w:id="18"/>
      <w:r>
        <w:t>Network Diagram of Global Merchandise Trade, 2021</w:t>
      </w:r>
    </w:p>
    <w:p w14:paraId="3F870944" w14:textId="77777777" w:rsidR="00C6601B" w:rsidRDefault="00C6601B" w:rsidP="00C6601B">
      <w:pPr>
        <w:pStyle w:val="NotesAbbreviations"/>
      </w:pPr>
      <w:r>
        <w:t>ARE = United Arab Emirates, BEL = Belgium, FRA = France, GER = Germany, IND = India, ITA = Italy, JPN = Japan, KOR = Republic of Korea, NET = Netherlands, POL = Poland, PRC = People’s Republic of China, RUS = Russia, SAU = Saudi Arabia, SIN = Singapore, SPA = Spain, SWI = Switzerland, THA = Thailand, UKG = United Kingdom, USA = United States, ZAF = South Africa.</w:t>
      </w:r>
    </w:p>
    <w:p w14:paraId="3A7B3F95" w14:textId="77777777" w:rsidR="00C6601B" w:rsidRDefault="00C6601B" w:rsidP="00C6601B">
      <w:pPr>
        <w:pStyle w:val="Notes"/>
      </w:pPr>
      <w:r>
        <w:t xml:space="preserve">Notes: </w:t>
      </w:r>
      <w:r>
        <w:tab/>
        <w:t xml:space="preserve">Each node represents a country or economy. Nodes appear only if they meet a threshold of connectedness, defined as being among the three largest importers of some country. Node sizes reflect the number of such links connected to the node, while edge thickness reflect the dollar value of the trade flow. Nodes are arranged using the </w:t>
      </w:r>
      <w:r w:rsidRPr="00FE25AA">
        <w:t xml:space="preserve">Davidson and </w:t>
      </w:r>
      <w:proofErr w:type="spellStart"/>
      <w:r w:rsidRPr="00FE25AA">
        <w:t>Harel</w:t>
      </w:r>
      <w:proofErr w:type="spellEnd"/>
      <w:r w:rsidRPr="00FE25AA">
        <w:t xml:space="preserve"> (1996)</w:t>
      </w:r>
      <w:r>
        <w:t xml:space="preserve"> layout algorithm. Regional groupings are from the World Bank. </w:t>
      </w:r>
      <w:proofErr w:type="spellStart"/>
      <w:r>
        <w:t>Taipei,China</w:t>
      </w:r>
      <w:proofErr w:type="spellEnd"/>
      <w:r>
        <w:t xml:space="preserve"> is proxied by “</w:t>
      </w:r>
      <w:r w:rsidRPr="001345C3">
        <w:t>Other Asia, not elsewhere specified</w:t>
      </w:r>
      <w:r>
        <w:t>”.</w:t>
      </w:r>
    </w:p>
    <w:p w14:paraId="254314B7" w14:textId="77777777" w:rsidR="00C6601B" w:rsidRDefault="00C6601B" w:rsidP="00C6601B">
      <w:pPr>
        <w:pStyle w:val="NotesBottom"/>
      </w:pPr>
      <w:r>
        <w:t xml:space="preserve">Source: </w:t>
      </w:r>
      <w:r>
        <w:tab/>
        <w:t xml:space="preserve">CEPII. </w:t>
      </w:r>
      <w:r w:rsidRPr="005D5E0C">
        <w:t>BACI</w:t>
      </w:r>
      <w:r>
        <w:t xml:space="preserve"> International Trade Database (January 2023). </w:t>
      </w:r>
      <w:r w:rsidRPr="00F36FCF">
        <w:t>http://www.cepii.fr/cepii/en/bdd_modele/presentation.asp?id=37</w:t>
      </w:r>
      <w:r>
        <w:t xml:space="preserve"> (accessed 19 June 2023).</w:t>
      </w:r>
    </w:p>
    <w:p w14:paraId="61E74A07" w14:textId="5C58552C" w:rsidR="00A11901" w:rsidRDefault="00A11901" w:rsidP="00A11901">
      <w:r>
        <w:t>Color-coding by geographic region reveals a gravity-type clustering of nodes, in that countries that are physically near each other on the map tend to trade more with each other</w:t>
      </w:r>
      <w:r w:rsidRPr="00103C0F">
        <w:t xml:space="preserve">. </w:t>
      </w:r>
      <w:r w:rsidR="00103C0F" w:rsidRPr="00103C0F">
        <w:t xml:space="preserve">This is the case for Kazakhstan, </w:t>
      </w:r>
      <w:r w:rsidR="001B0442">
        <w:t>for whom</w:t>
      </w:r>
      <w:r w:rsidR="00103C0F" w:rsidRPr="00103C0F">
        <w:t xml:space="preserve"> its large neighbors the People's Republic of China and the R</w:t>
      </w:r>
      <w:r w:rsidR="00103C0F">
        <w:t>u</w:t>
      </w:r>
      <w:r w:rsidR="00103C0F" w:rsidRPr="00103C0F">
        <w:t>ssian Federation</w:t>
      </w:r>
      <w:r w:rsidR="001B0442">
        <w:t xml:space="preserve"> are also its largest trading partners</w:t>
      </w:r>
      <w:r w:rsidR="00103C0F" w:rsidRPr="00103C0F">
        <w:t xml:space="preserve">. </w:t>
      </w:r>
      <w:r w:rsidR="001B0442">
        <w:t>Its exports lean more towards Europe than Asia, with Greece, the United Kingdom, and Germany rounding out its top five export destinations in 2021.</w:t>
      </w:r>
    </w:p>
    <w:p w14:paraId="010FD6FF" w14:textId="50BDE80D" w:rsidR="00A11901" w:rsidRPr="00DF2384" w:rsidRDefault="00A11901" w:rsidP="00A11901">
      <w:pPr>
        <w:rPr>
          <w:color w:val="FF0000"/>
        </w:rPr>
      </w:pPr>
      <w:r>
        <w:t xml:space="preserve">The advantage of COMTRADE/BACI data is its granularity, reporting exports of products at the 6-digit level of the Harmonized </w:t>
      </w:r>
      <w:r w:rsidRPr="0076232C">
        <w:t>System (HS). It is possible to establish, therefore, that in 20</w:t>
      </w:r>
      <w:r w:rsidR="00745DA6" w:rsidRPr="0076232C">
        <w:t>21</w:t>
      </w:r>
      <w:r w:rsidRPr="0076232C">
        <w:t xml:space="preserve">, </w:t>
      </w:r>
      <w:r w:rsidR="00745DA6" w:rsidRPr="0076232C">
        <w:t>Kazakhstan</w:t>
      </w:r>
      <w:r w:rsidRPr="0076232C">
        <w:t xml:space="preserve">’s </w:t>
      </w:r>
      <w:r w:rsidR="00745DA6" w:rsidRPr="0076232C">
        <w:t>second-largest</w:t>
      </w:r>
      <w:r w:rsidRPr="0076232C">
        <w:t xml:space="preserve"> goods export </w:t>
      </w:r>
      <w:r w:rsidR="00745DA6" w:rsidRPr="0076232C">
        <w:t xml:space="preserve">after </w:t>
      </w:r>
      <w:r w:rsidR="001B0442">
        <w:t xml:space="preserve">crude </w:t>
      </w:r>
      <w:r w:rsidR="00745DA6" w:rsidRPr="0076232C">
        <w:t xml:space="preserve">oil </w:t>
      </w:r>
      <w:r w:rsidRPr="0076232C">
        <w:t>was “</w:t>
      </w:r>
      <w:r w:rsidR="00745DA6" w:rsidRPr="0076232C">
        <w:t>Metals: gold, semi-manufactured</w:t>
      </w:r>
      <w:r w:rsidRPr="0076232C">
        <w:t xml:space="preserve">” (HS code </w:t>
      </w:r>
      <w:r w:rsidR="00745DA6" w:rsidRPr="0076232C">
        <w:t>7108</w:t>
      </w:r>
      <w:r w:rsidR="00745DA6" w:rsidRPr="0076232C">
        <w:t>.</w:t>
      </w:r>
      <w:r w:rsidR="00745DA6" w:rsidRPr="0076232C">
        <w:t>13</w:t>
      </w:r>
      <w:r w:rsidRPr="0076232C">
        <w:t>), valued at $</w:t>
      </w:r>
      <w:r w:rsidR="00745DA6" w:rsidRPr="0076232C">
        <w:t>3.9</w:t>
      </w:r>
      <w:r w:rsidRPr="0076232C">
        <w:t xml:space="preserve"> billion. Product categories may be aggregated into broader categories if needed. The “chapter” of </w:t>
      </w:r>
      <w:r w:rsidR="00EC70BC" w:rsidRPr="0076232C">
        <w:t>7108.13</w:t>
      </w:r>
      <w:r w:rsidRPr="0076232C">
        <w:t xml:space="preserve">, for example, is </w:t>
      </w:r>
      <w:r w:rsidR="00EC70BC" w:rsidRPr="0076232C">
        <w:t>71</w:t>
      </w:r>
      <w:r w:rsidRPr="0076232C">
        <w:t xml:space="preserve">, </w:t>
      </w:r>
      <w:r w:rsidRPr="0076232C">
        <w:lastRenderedPageBreak/>
        <w:t>“</w:t>
      </w:r>
      <w:r w:rsidR="00EC70BC" w:rsidRPr="0076232C">
        <w:t xml:space="preserve">Natural or cultured pearls, precious or semi-precious stones, precious metals, metals clad with precious metal and articles thereof; imitation, </w:t>
      </w:r>
      <w:proofErr w:type="spellStart"/>
      <w:r w:rsidR="00EC70BC" w:rsidRPr="0076232C">
        <w:t>jewellery</w:t>
      </w:r>
      <w:proofErr w:type="spellEnd"/>
      <w:r w:rsidR="00EC70BC" w:rsidRPr="0076232C">
        <w:t>; coin</w:t>
      </w:r>
      <w:r w:rsidRPr="0076232C">
        <w:t>”.</w:t>
      </w:r>
    </w:p>
    <w:p w14:paraId="12D9EF6C" w14:textId="6F3F18D0" w:rsidR="00C2222F" w:rsidRDefault="00000000" w:rsidP="00C2222F">
      <w:fldSimple w:instr=" REF _Ref77604920 ">
        <w:r w:rsidR="00D57A44">
          <w:t xml:space="preserve">Figure </w:t>
        </w:r>
        <w:r w:rsidR="00D57A44">
          <w:rPr>
            <w:noProof/>
            <w:cs/>
          </w:rPr>
          <w:t>‎</w:t>
        </w:r>
        <w:r w:rsidR="00D57A44">
          <w:rPr>
            <w:noProof/>
          </w:rPr>
          <w:t>2</w:t>
        </w:r>
        <w:r w:rsidR="00D57A44">
          <w:t>.</w:t>
        </w:r>
        <w:r w:rsidR="00D57A44">
          <w:rPr>
            <w:noProof/>
          </w:rPr>
          <w:t>4</w:t>
        </w:r>
      </w:fldSimple>
      <w:r w:rsidR="00C2222F">
        <w:t xml:space="preserve"> examines the product make-up of </w:t>
      </w:r>
      <w:r w:rsidR="00DF2384">
        <w:t>Kazakhstan's</w:t>
      </w:r>
      <w:r w:rsidR="00C2222F">
        <w:t xml:space="preserve"> merchandise exports over 2002–20</w:t>
      </w:r>
      <w:r w:rsidR="00DF2384">
        <w:t>21</w:t>
      </w:r>
      <w:r w:rsidR="00C2222F">
        <w:t xml:space="preserve"> by aggregating HS codes into </w:t>
      </w:r>
      <w:r w:rsidR="00DF2384">
        <w:t>seven</w:t>
      </w:r>
      <w:r w:rsidR="00C2222F">
        <w:t xml:space="preserve"> broad groupings. Exports are overwhelmingly dominated by </w:t>
      </w:r>
      <w:r w:rsidR="00DF2384">
        <w:t>minerals</w:t>
      </w:r>
      <w:r w:rsidR="00C2222F">
        <w:t xml:space="preserve">, which in </w:t>
      </w:r>
      <w:r w:rsidR="00DF2384">
        <w:t>2021</w:t>
      </w:r>
      <w:r w:rsidR="00C2222F">
        <w:t xml:space="preserve"> accounted </w:t>
      </w:r>
      <w:r w:rsidR="00C2222F" w:rsidRPr="001B0442">
        <w:t>for 56</w:t>
      </w:r>
      <w:r w:rsidR="0076232C" w:rsidRPr="001B0442">
        <w:t>.4</w:t>
      </w:r>
      <w:r w:rsidR="00C2222F" w:rsidRPr="001B0442">
        <w:t>% of export value or $</w:t>
      </w:r>
      <w:r w:rsidR="0076232C" w:rsidRPr="001B0442">
        <w:t>30.</w:t>
      </w:r>
      <w:r w:rsidR="00C2222F" w:rsidRPr="001B0442">
        <w:t xml:space="preserve">5 billion. </w:t>
      </w:r>
      <w:r w:rsidR="00C2222F">
        <w:t xml:space="preserve">While down from its </w:t>
      </w:r>
      <w:r w:rsidR="00205C8B">
        <w:t>76.7%</w:t>
      </w:r>
      <w:r w:rsidR="00C2222F">
        <w:t xml:space="preserve"> share in 20</w:t>
      </w:r>
      <w:r w:rsidR="00205C8B">
        <w:t>13</w:t>
      </w:r>
      <w:r w:rsidR="00C2222F">
        <w:t xml:space="preserve">, it is still far larger than any other grouping. Within </w:t>
      </w:r>
      <w:r w:rsidR="00205C8B">
        <w:t>this group</w:t>
      </w:r>
      <w:r w:rsidR="00C2222F">
        <w:t xml:space="preserve">, </w:t>
      </w:r>
      <w:r w:rsidR="00205C8B">
        <w:t xml:space="preserve">the single largest product was of course crude oil (HS code </w:t>
      </w:r>
      <w:r w:rsidR="00205C8B" w:rsidRPr="00205C8B">
        <w:t>2709</w:t>
      </w:r>
      <w:r w:rsidR="00205C8B">
        <w:t>.</w:t>
      </w:r>
      <w:r w:rsidR="00205C8B" w:rsidRPr="00205C8B">
        <w:t>00</w:t>
      </w:r>
      <w:r w:rsidR="00205C8B">
        <w:t>)</w:t>
      </w:r>
      <w:r w:rsidR="003E3DA2">
        <w:t>, with a 40.4% share in 2021.</w:t>
      </w:r>
      <w:r w:rsidR="00205C8B">
        <w:t xml:space="preserve"> </w:t>
      </w:r>
      <w:r w:rsidR="00C2222F" w:rsidRPr="00142870">
        <w:t xml:space="preserve">This is largely oriented towards the European </w:t>
      </w:r>
      <w:r w:rsidR="00142870" w:rsidRPr="00142870">
        <w:t xml:space="preserve">market—particularly Greece and Germany—and the </w:t>
      </w:r>
      <w:proofErr w:type="spellStart"/>
      <w:r w:rsidR="00142870" w:rsidRPr="00142870">
        <w:t xml:space="preserve">PRC. </w:t>
      </w:r>
      <w:proofErr w:type="spellEnd"/>
      <w:r w:rsidR="00142870">
        <w:t>In 2021, Greece took 20.1% of Kazakhstan's crude oil exports while Germany took 16.1% and the PRC 10.0%. Other mining products like ores</w:t>
      </w:r>
      <w:r w:rsidR="00C855A0">
        <w:t xml:space="preserve"> are significant as well. In fact, while 20.4% of Kazakhstan's exports to the PRC comprise of crude oil, 21.8% comprise of iron, copper, and other crude ores. </w:t>
      </w:r>
    </w:p>
    <w:p w14:paraId="56D8B489" w14:textId="62A6B069" w:rsidR="00142870" w:rsidRPr="00142870" w:rsidRDefault="00142870" w:rsidP="00C2222F">
      <w:r>
        <w:t>Metals</w:t>
      </w:r>
      <w:r w:rsidR="00C5466C">
        <w:t xml:space="preserve"> is Kazakhstan's second-largest export. </w:t>
      </w:r>
      <w:r w:rsidR="00CD0796">
        <w:t>Using</w:t>
      </w:r>
      <w:r w:rsidR="00C5466C">
        <w:t xml:space="preserve"> the grouping defined in </w:t>
      </w:r>
      <w:r w:rsidR="00C5466C">
        <w:fldChar w:fldCharType="begin"/>
      </w:r>
      <w:r w:rsidR="00C5466C">
        <w:instrText xml:space="preserve"> REF _Ref77604920 \h </w:instrText>
      </w:r>
      <w:r w:rsidR="00C5466C">
        <w:fldChar w:fldCharType="separate"/>
      </w:r>
      <w:r w:rsidR="00C5466C">
        <w:t xml:space="preserve">Figure </w:t>
      </w:r>
      <w:r w:rsidR="00C5466C">
        <w:rPr>
          <w:noProof/>
          <w:cs/>
        </w:rPr>
        <w:t>‎</w:t>
      </w:r>
      <w:r w:rsidR="00C5466C">
        <w:rPr>
          <w:noProof/>
        </w:rPr>
        <w:t>2</w:t>
      </w:r>
      <w:r w:rsidR="00C5466C">
        <w:t>.</w:t>
      </w:r>
      <w:r w:rsidR="00C5466C">
        <w:rPr>
          <w:noProof/>
        </w:rPr>
        <w:t>4</w:t>
      </w:r>
      <w:r w:rsidR="00C5466C">
        <w:fldChar w:fldCharType="end"/>
      </w:r>
      <w:r w:rsidR="00C5466C">
        <w:t>, this accounted for 21.1% of exports in 2021</w:t>
      </w:r>
      <w:r w:rsidR="00CD0796">
        <w:t>, amounting to $11.4 billion</w:t>
      </w:r>
      <w:r w:rsidR="00C5466C">
        <w:t xml:space="preserve">. This </w:t>
      </w:r>
      <w:r w:rsidR="00CD0796">
        <w:t xml:space="preserve">share </w:t>
      </w:r>
      <w:r w:rsidR="00C5466C">
        <w:t xml:space="preserve">is double </w:t>
      </w:r>
      <w:r w:rsidR="00CD0796">
        <w:t xml:space="preserve">the trough of about 10% seen in 2013, when the share of oil was at its peak. </w:t>
      </w:r>
      <w:r w:rsidR="006E6719">
        <w:t>Europe is no longer Kazakhstan's primary market here: of its 2021 exports, 35.5% went to the PRC, 19.4% to the Russian Federation, and 10.0% to Turkey.</w:t>
      </w:r>
      <w:r w:rsidR="00CD0796">
        <w:t xml:space="preserve">  </w:t>
      </w:r>
    </w:p>
    <w:p w14:paraId="403AEA61" w14:textId="7AD3AF98" w:rsidR="00C2222F" w:rsidRDefault="00C6601B" w:rsidP="00C2222F">
      <w:pPr>
        <w:pStyle w:val="Caption"/>
      </w:pPr>
      <w:bookmarkStart w:id="19" w:name="_Ref77604920"/>
      <w:bookmarkStart w:id="20" w:name="_Toc83849802"/>
      <w:r>
        <w:rPr>
          <w:noProof/>
        </w:rPr>
        <w:drawing>
          <wp:anchor distT="0" distB="0" distL="114300" distR="114300" simplePos="0" relativeHeight="251740160" behindDoc="0" locked="0" layoutInCell="1" allowOverlap="1" wp14:anchorId="21DB474B" wp14:editId="1851DA8B">
            <wp:simplePos x="0" y="0"/>
            <wp:positionH relativeFrom="column">
              <wp:posOffset>0</wp:posOffset>
            </wp:positionH>
            <wp:positionV relativeFrom="paragraph">
              <wp:posOffset>200025</wp:posOffset>
            </wp:positionV>
            <wp:extent cx="5731510" cy="4301490"/>
            <wp:effectExtent l="0" t="0" r="0" b="3810"/>
            <wp:wrapSquare wrapText="bothSides"/>
            <wp:docPr id="1150330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30435" name="Picture 1150330435"/>
                    <pic:cNvPicPr/>
                  </pic:nvPicPr>
                  <pic:blipFill>
                    <a:blip r:embed="rId11">
                      <a:extLst>
                        <a:ext uri="{28A0092B-C50C-407E-A947-70E740481C1C}">
                          <a14:useLocalDpi xmlns:a14="http://schemas.microsoft.com/office/drawing/2010/main" val="0"/>
                        </a:ext>
                      </a:extLst>
                    </a:blip>
                    <a:stretch>
                      <a:fillRect/>
                    </a:stretch>
                  </pic:blipFill>
                  <pic:spPr>
                    <a:xfrm>
                      <a:off x="0" y="0"/>
                      <a:ext cx="5731510" cy="4301490"/>
                    </a:xfrm>
                    <a:prstGeom prst="rect">
                      <a:avLst/>
                    </a:prstGeom>
                  </pic:spPr>
                </pic:pic>
              </a:graphicData>
            </a:graphic>
            <wp14:sizeRelH relativeFrom="page">
              <wp14:pctWidth>0</wp14:pctWidth>
            </wp14:sizeRelH>
            <wp14:sizeRelV relativeFrom="page">
              <wp14:pctHeight>0</wp14:pctHeight>
            </wp14:sizeRelV>
          </wp:anchor>
        </w:drawing>
      </w:r>
      <w:r w:rsidR="00C2222F">
        <w:t xml:space="preserve">Figure </w:t>
      </w:r>
      <w:fldSimple w:instr=" STYLEREF 1 \s ">
        <w:r w:rsidR="00D57A44">
          <w:rPr>
            <w:noProof/>
            <w:cs/>
          </w:rPr>
          <w:t>‎</w:t>
        </w:r>
        <w:r w:rsidR="00D57A44">
          <w:rPr>
            <w:noProof/>
          </w:rPr>
          <w:t>2</w:t>
        </w:r>
      </w:fldSimple>
      <w:r w:rsidR="003F26C2">
        <w:t>.</w:t>
      </w:r>
      <w:fldSimple w:instr=" SEQ Figure \* ARABIC \s 1 ">
        <w:r w:rsidR="00D57A44">
          <w:rPr>
            <w:noProof/>
          </w:rPr>
          <w:t>4</w:t>
        </w:r>
      </w:fldSimple>
      <w:bookmarkEnd w:id="19"/>
      <w:r w:rsidR="00C2222F">
        <w:t xml:space="preserve">: </w:t>
      </w:r>
      <w:bookmarkEnd w:id="20"/>
      <w:r>
        <w:t>Merchandise Exports by Broad Product Groupings, 2002–2021</w:t>
      </w:r>
    </w:p>
    <w:p w14:paraId="6C763B5C" w14:textId="77777777" w:rsidR="00C6601B" w:rsidRDefault="00C6601B" w:rsidP="00C6601B">
      <w:pPr>
        <w:pStyle w:val="Notes"/>
      </w:pPr>
      <w:r>
        <w:t xml:space="preserve">Notes: </w:t>
      </w:r>
      <w:r>
        <w:tab/>
        <w:t>Broad product groupings are based on the chapters of the Harmonized System, 2002 edition. “Food” covers 01–24. “Minerals” covers 25–27, of which "crude oil" (</w:t>
      </w:r>
      <w:r w:rsidRPr="009A3864">
        <w:t>2709</w:t>
      </w:r>
      <w:r>
        <w:t>.</w:t>
      </w:r>
      <w:r w:rsidRPr="009A3864">
        <w:t>00</w:t>
      </w:r>
      <w:r>
        <w:t>), "natural gas" (</w:t>
      </w:r>
      <w:r w:rsidRPr="009A3864">
        <w:t>2711</w:t>
      </w:r>
      <w:r>
        <w:t>.</w:t>
      </w:r>
      <w:r w:rsidRPr="009A3864">
        <w:t>11</w:t>
      </w:r>
      <w:r>
        <w:t>,</w:t>
      </w:r>
      <w:r w:rsidRPr="009A3864">
        <w:t xml:space="preserve"> 2711</w:t>
      </w:r>
      <w:r>
        <w:t>.</w:t>
      </w:r>
      <w:r w:rsidRPr="009A3864">
        <w:t>21</w:t>
      </w:r>
      <w:r>
        <w:t>), and "ores" (</w:t>
      </w:r>
      <w:r w:rsidRPr="009A3864">
        <w:t>2601</w:t>
      </w:r>
      <w:r>
        <w:t>.</w:t>
      </w:r>
      <w:r w:rsidRPr="009A3864">
        <w:t>11</w:t>
      </w:r>
      <w:r>
        <w:t>–</w:t>
      </w:r>
      <w:r w:rsidRPr="009A3864">
        <w:t>2617</w:t>
      </w:r>
      <w:r>
        <w:t>.</w:t>
      </w:r>
      <w:r w:rsidRPr="009A3864">
        <w:t>90</w:t>
      </w:r>
      <w:r>
        <w:t>) are</w:t>
      </w:r>
      <w:r w:rsidRPr="00756D67">
        <w:t xml:space="preserve"> </w:t>
      </w:r>
      <w:r>
        <w:t xml:space="preserve">separately </w:t>
      </w:r>
      <w:r>
        <w:lastRenderedPageBreak/>
        <w:t>identified. “Chemicals” covers 28–38. "Metals" covers 72–83, of which "ferroalloys" (</w:t>
      </w:r>
      <w:r w:rsidRPr="00756D67">
        <w:t>7202</w:t>
      </w:r>
      <w:r>
        <w:t>.</w:t>
      </w:r>
      <w:r w:rsidRPr="00756D67">
        <w:t>11</w:t>
      </w:r>
      <w:r>
        <w:t>–</w:t>
      </w:r>
      <w:r w:rsidRPr="00756D67">
        <w:t>7202</w:t>
      </w:r>
      <w:r>
        <w:t>.</w:t>
      </w:r>
      <w:r w:rsidRPr="00756D67">
        <w:t>99</w:t>
      </w:r>
      <w:r>
        <w:t>) and "copper" (</w:t>
      </w:r>
      <w:r w:rsidRPr="00756D67">
        <w:t>7401</w:t>
      </w:r>
      <w:r>
        <w:t>.</w:t>
      </w:r>
      <w:r w:rsidRPr="00756D67">
        <w:t>10</w:t>
      </w:r>
      <w:r>
        <w:t>–</w:t>
      </w:r>
      <w:r w:rsidRPr="00756D67">
        <w:t>7419</w:t>
      </w:r>
      <w:r>
        <w:t>.</w:t>
      </w:r>
      <w:r w:rsidRPr="00756D67">
        <w:t>99</w:t>
      </w:r>
      <w:r>
        <w:t xml:space="preserve">) are separately identified. The remaining chapters are collected under "Others". </w:t>
      </w:r>
    </w:p>
    <w:p w14:paraId="0ED01AF5" w14:textId="77777777" w:rsidR="00C6601B" w:rsidRDefault="00C6601B" w:rsidP="00C6601B">
      <w:pPr>
        <w:pStyle w:val="NotesBottom"/>
      </w:pPr>
      <w:r>
        <w:t xml:space="preserve">Source: </w:t>
      </w:r>
      <w:r>
        <w:tab/>
        <w:t xml:space="preserve">CEPII. </w:t>
      </w:r>
      <w:r w:rsidRPr="005D5E0C">
        <w:t>BACI</w:t>
      </w:r>
      <w:r>
        <w:t xml:space="preserve"> International Trade Database (January 2023). </w:t>
      </w:r>
      <w:r w:rsidRPr="00F36FCF">
        <w:t>http://www.cepii.fr/cepii/en/bdd_modele/presentation.asp?id=37</w:t>
      </w:r>
      <w:r>
        <w:t xml:space="preserve"> (accessed 19 June 2023).</w:t>
      </w:r>
    </w:p>
    <w:p w14:paraId="19704B39" w14:textId="5A0019A5" w:rsidR="00C2222F" w:rsidRDefault="006E6719" w:rsidP="00C2222F">
      <w:r>
        <w:t xml:space="preserve">With mining and metals routinely taking up over 80% of Kazakhstan's annual exports, </w:t>
      </w:r>
      <w:r w:rsidR="00C2222F">
        <w:t>the issue of diversification</w:t>
      </w:r>
      <w:r>
        <w:t xml:space="preserve"> becomes salient</w:t>
      </w:r>
      <w:r w:rsidR="00C2222F">
        <w:t xml:space="preserve">. Concentrating too much on only a few sectors or products poses risks to an economy since shocks to the dominant sector can more easily cause an economy-wide recession. </w:t>
      </w:r>
      <w:r w:rsidR="005A59F4">
        <w:t xml:space="preserve">Compounding this in Kazakhstan's case is the possibility of resource curse-type adverse effects (see </w:t>
      </w:r>
      <w:r w:rsidR="005A59F4">
        <w:fldChar w:fldCharType="begin"/>
      </w:r>
      <w:r w:rsidR="005A59F4">
        <w:instrText xml:space="preserve"> REF _Ref139901231 \h </w:instrText>
      </w:r>
      <w:r w:rsidR="005A59F4">
        <w:fldChar w:fldCharType="separate"/>
      </w:r>
      <w:r w:rsidR="005A59F4" w:rsidRPr="00C30027">
        <w:t>Box 2</w:t>
      </w:r>
      <w:r w:rsidR="005A59F4">
        <w:fldChar w:fldCharType="end"/>
      </w:r>
      <w:r w:rsidR="005A59F4">
        <w:t>). To inform the discussion</w:t>
      </w:r>
      <w:r w:rsidR="00C2222F">
        <w:t xml:space="preserve">, </w:t>
      </w:r>
      <w:r w:rsidR="005A59F4">
        <w:t xml:space="preserve">some quantitative measure of concentration in Kazakhstan's exports basket is needed. This is served by </w:t>
      </w:r>
      <w:r w:rsidR="00C2222F">
        <w:t>the Herfindahl–Hirschman index (HHI)</w:t>
      </w:r>
      <w:r w:rsidR="005A59F4">
        <w:t xml:space="preserve">, </w:t>
      </w:r>
      <w:r w:rsidR="00C2222F">
        <w:t xml:space="preserve">computed </w:t>
      </w:r>
      <w:r w:rsidR="005A59F4">
        <w:t xml:space="preserve">here </w:t>
      </w:r>
      <w:r w:rsidR="00C2222F">
        <w:t>on the 2-digit level of HS product categories. See</w:t>
      </w:r>
      <w:r w:rsidR="00C2222F" w:rsidRPr="001508A2">
        <w:t xml:space="preserve"> </w:t>
      </w:r>
      <w:r w:rsidR="00C2222F" w:rsidRPr="001508A2">
        <w:fldChar w:fldCharType="begin"/>
      </w:r>
      <w:r w:rsidR="00C2222F" w:rsidRPr="001508A2">
        <w:instrText xml:space="preserve"> REF _Ref77687273 </w:instrText>
      </w:r>
      <w:r w:rsidR="001508A2" w:rsidRPr="001508A2">
        <w:instrText xml:space="preserve"> \* MERGEFORMAT </w:instrText>
      </w:r>
      <w:r w:rsidR="00C2222F" w:rsidRPr="001508A2">
        <w:fldChar w:fldCharType="separate"/>
      </w:r>
      <w:r w:rsidR="005A59F4" w:rsidRPr="001508A2">
        <w:t xml:space="preserve">Box </w:t>
      </w:r>
      <w:r w:rsidR="005A59F4">
        <w:rPr>
          <w:noProof/>
        </w:rPr>
        <w:t>3</w:t>
      </w:r>
      <w:r w:rsidR="00C2222F" w:rsidRPr="001508A2">
        <w:rPr>
          <w:noProof/>
        </w:rPr>
        <w:fldChar w:fldCharType="end"/>
      </w:r>
      <w:r w:rsidR="00C2222F">
        <w:t xml:space="preserve"> for more details on this methodology.</w:t>
      </w:r>
    </w:p>
    <w:tbl>
      <w:tblPr>
        <w:tblStyle w:val="TableGrid"/>
        <w:tblW w:w="0" w:type="auto"/>
        <w:tblLook w:val="04A0" w:firstRow="1" w:lastRow="0" w:firstColumn="1" w:lastColumn="0" w:noHBand="0" w:noVBand="1"/>
      </w:tblPr>
      <w:tblGrid>
        <w:gridCol w:w="9016"/>
      </w:tblGrid>
      <w:tr w:rsidR="00C2222F" w14:paraId="79DD6F65" w14:textId="77777777" w:rsidTr="00372C2E">
        <w:tc>
          <w:tcPr>
            <w:tcW w:w="9016" w:type="dxa"/>
          </w:tcPr>
          <w:p w14:paraId="04029204" w14:textId="38BFFA18" w:rsidR="00C2222F" w:rsidRPr="001508A2" w:rsidRDefault="00C2222F" w:rsidP="00372C2E">
            <w:pPr>
              <w:pStyle w:val="Caption"/>
            </w:pPr>
            <w:bookmarkStart w:id="21" w:name="_Ref77687273"/>
            <w:bookmarkStart w:id="22" w:name="_Toc139902361"/>
            <w:r w:rsidRPr="001508A2">
              <w:t xml:space="preserve">Box </w:t>
            </w:r>
            <w:fldSimple w:instr=" SEQ Box \* ARABIC ">
              <w:r w:rsidR="00C6601B">
                <w:rPr>
                  <w:noProof/>
                </w:rPr>
                <w:t>3</w:t>
              </w:r>
            </w:fldSimple>
            <w:bookmarkEnd w:id="21"/>
            <w:r w:rsidRPr="001508A2">
              <w:t>: Export Diversification</w:t>
            </w:r>
            <w:bookmarkEnd w:id="22"/>
          </w:p>
          <w:p w14:paraId="71A861CA" w14:textId="777CCD12" w:rsidR="00C2222F" w:rsidRDefault="00C2222F" w:rsidP="00A72769">
            <w:pPr>
              <w:pStyle w:val="Box"/>
            </w:pPr>
            <w:r>
              <w:t>Export diversification refers to the diversity in products exported by an economy. To quantify this, this report uses a widely accepted measure of concentration, the Herfindahl–Hirschman index (HHI), computed by summing the squared share of each entity in the population in question</w:t>
            </w:r>
            <w:r w:rsidR="00183834">
              <w:t xml:space="preserve"> (</w:t>
            </w:r>
            <w:proofErr w:type="spellStart"/>
            <w:r w:rsidR="00183834">
              <w:t>Shughart</w:t>
            </w:r>
            <w:proofErr w:type="spellEnd"/>
            <w:r w:rsidR="00183834">
              <w:t xml:space="preserve"> 2008)</w:t>
            </w:r>
            <w:r>
              <w:t>. Formally,</w:t>
            </w:r>
          </w:p>
          <w:p w14:paraId="63BC8761" w14:textId="2E1638FF" w:rsidR="00C2222F" w:rsidRDefault="00C2222F" w:rsidP="00A72769">
            <w:pPr>
              <w:pStyle w:val="Box"/>
            </w:pPr>
            <m:oMathPara>
              <m:oMath>
                <m:r>
                  <w:rPr>
                    <w:rFonts w:ascii="Cambria Math" w:hAnsi="Cambria Math"/>
                  </w:rPr>
                  <m:t>HHI=</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e>
                </m:nary>
                <m:r>
                  <w:rPr>
                    <w:rFonts w:ascii="Cambria Math" w:hAnsi="Cambria Math"/>
                  </w:rPr>
                  <m:t>,</m:t>
                </m:r>
              </m:oMath>
            </m:oMathPara>
          </w:p>
          <w:p w14:paraId="4DF8AECE" w14:textId="77777777" w:rsidR="00C6601B" w:rsidRDefault="00C6601B" w:rsidP="00C6601B">
            <w:pPr>
              <w:pStyle w:val="Box"/>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share of entity </w:t>
            </w:r>
            <m:oMath>
              <m:r>
                <w:rPr>
                  <w:rFonts w:ascii="Cambria Math" w:hAnsi="Cambria Math"/>
                </w:rPr>
                <m:t>i</m:t>
              </m:r>
            </m:oMath>
            <w:r>
              <w:t xml:space="preserve"> and </w:t>
            </w:r>
            <m:oMath>
              <m:r>
                <w:rPr>
                  <w:rFonts w:ascii="Cambria Math" w:hAnsi="Cambria Math"/>
                </w:rPr>
                <m:t>N</m:t>
              </m:r>
            </m:oMath>
            <w:r>
              <w:t xml:space="preserve"> is the number of entities in the population. The HHI ranges from </w:t>
            </w:r>
            <m:oMath>
              <m:r>
                <w:rPr>
                  <w:rFonts w:ascii="Cambria Math" w:hAnsi="Cambria Math"/>
                </w:rPr>
                <m:t>1/N</m:t>
              </m:r>
            </m:oMath>
            <w:r>
              <w:t xml:space="preserve"> to 1, with higher numbers indicating greater concentration, or conversely, lower diversification. While originally devised to measure market concentration, it is applicable to a wide range of distribution-related contexts. </w:t>
            </w:r>
          </w:p>
          <w:p w14:paraId="5856E96E" w14:textId="77777777" w:rsidR="00C6601B" w:rsidRDefault="00C6601B" w:rsidP="00C6601B">
            <w:pPr>
              <w:pStyle w:val="Box"/>
            </w:pPr>
            <w:r>
              <w:t xml:space="preserve">The HHI is sensitive to </w:t>
            </w:r>
            <m:oMath>
              <m:r>
                <w:rPr>
                  <w:rFonts w:ascii="Cambria Math" w:hAnsi="Cambria Math"/>
                </w:rPr>
                <m:t>N</m:t>
              </m:r>
            </m:oMath>
            <w:r>
              <w:t xml:space="preserve">, with the index tending to be lower as </w:t>
            </w:r>
            <m:oMath>
              <m:r>
                <w:rPr>
                  <w:rFonts w:ascii="Cambria Math" w:hAnsi="Cambria Math"/>
                </w:rPr>
                <m:t>N</m:t>
              </m:r>
            </m:oMath>
            <w:r>
              <w:t xml:space="preserve"> gets bigger. For this report, the 4-digit level of the </w:t>
            </w:r>
            <w:proofErr w:type="spellStart"/>
            <w:r>
              <w:t>Hamonized</w:t>
            </w:r>
            <w:proofErr w:type="spellEnd"/>
            <w:r>
              <w:t xml:space="preserve"> System is used, which aggregates 5223 products into 1245 categories. </w:t>
            </w:r>
          </w:p>
          <w:p w14:paraId="0BA67B80" w14:textId="54707C97" w:rsidR="00A333C7" w:rsidRPr="00A035EA" w:rsidRDefault="00A333C7" w:rsidP="00A333C7">
            <w:pPr>
              <w:pStyle w:val="BoxReferences"/>
              <w:rPr>
                <w:b/>
                <w:bCs/>
              </w:rPr>
            </w:pPr>
            <w:r w:rsidRPr="00A035EA">
              <w:rPr>
                <w:b/>
                <w:bCs/>
              </w:rPr>
              <w:t>Reference</w:t>
            </w:r>
          </w:p>
          <w:p w14:paraId="3EC72B85" w14:textId="4C78A471" w:rsidR="00A333C7" w:rsidRDefault="00A333C7" w:rsidP="00A333C7">
            <w:pPr>
              <w:pStyle w:val="BoxReferences"/>
            </w:pPr>
            <w:r>
              <w:t xml:space="preserve">W. F. </w:t>
            </w:r>
            <w:proofErr w:type="spellStart"/>
            <w:r>
              <w:t>Shughart</w:t>
            </w:r>
            <w:proofErr w:type="spellEnd"/>
            <w:r>
              <w:t>.</w:t>
            </w:r>
            <w:r w:rsidRPr="00601F5B">
              <w:t xml:space="preserve"> </w:t>
            </w:r>
            <w:r>
              <w:t xml:space="preserve">2008. Industrial Concentration. In D. R. Henderson (Ed.), </w:t>
            </w:r>
            <w:r w:rsidR="003B1B51" w:rsidRPr="003B1B51">
              <w:rPr>
                <w:i/>
                <w:iCs/>
              </w:rPr>
              <w:t>Concise Encyclopedia of Economics</w:t>
            </w:r>
            <w:r w:rsidR="003B1B51" w:rsidRPr="003B1B51">
              <w:t>,</w:t>
            </w:r>
            <w:r w:rsidR="003B1B51">
              <w:t xml:space="preserve"> </w:t>
            </w:r>
            <w:r w:rsidR="003B1B51" w:rsidRPr="003B1B51">
              <w:t>2nd ed. Indianapolis</w:t>
            </w:r>
            <w:r w:rsidR="003B1B51">
              <w:t>, IN</w:t>
            </w:r>
            <w:r w:rsidR="003B1B51" w:rsidRPr="003B1B51">
              <w:t>: Library of Economics and Liberty.</w:t>
            </w:r>
          </w:p>
        </w:tc>
      </w:tr>
    </w:tbl>
    <w:p w14:paraId="3F076CFA" w14:textId="77777777" w:rsidR="00C2222F" w:rsidRDefault="00C2222F" w:rsidP="00C2222F"/>
    <w:p w14:paraId="5C1807AD" w14:textId="7055FCF1" w:rsidR="005A59F4" w:rsidRDefault="00000000" w:rsidP="00C2222F">
      <w:fldSimple w:instr=" REF _Ref77687311 ">
        <w:r w:rsidR="00D57A44">
          <w:t xml:space="preserve">Figure </w:t>
        </w:r>
        <w:r w:rsidR="00D57A44">
          <w:rPr>
            <w:noProof/>
            <w:cs/>
          </w:rPr>
          <w:t>‎</w:t>
        </w:r>
        <w:r w:rsidR="00D57A44">
          <w:rPr>
            <w:noProof/>
          </w:rPr>
          <w:t>2</w:t>
        </w:r>
        <w:r w:rsidR="00D57A44">
          <w:t>.</w:t>
        </w:r>
        <w:r w:rsidR="00D57A44">
          <w:rPr>
            <w:noProof/>
          </w:rPr>
          <w:t>5</w:t>
        </w:r>
      </w:fldSimple>
      <w:r w:rsidR="00C2222F">
        <w:t xml:space="preserve"> plots the exports HHI of </w:t>
      </w:r>
      <w:r w:rsidR="005A59F4">
        <w:t>Kazakhstan</w:t>
      </w:r>
      <w:r w:rsidR="00C2222F">
        <w:t xml:space="preserve"> along with, for comparison, its neighbors</w:t>
      </w:r>
      <w:r w:rsidR="005A59F4">
        <w:t xml:space="preserve"> the Kyrgyz Republic, the Russian Federation, and Uzbekistan</w:t>
      </w:r>
      <w:r w:rsidR="0070650D">
        <w:t>.</w:t>
      </w:r>
      <w:r w:rsidR="005A59F4">
        <w:t xml:space="preserve"> </w:t>
      </w:r>
      <w:r w:rsidR="0070650D">
        <w:t xml:space="preserve">For comparison with </w:t>
      </w:r>
      <w:r w:rsidR="00522CE1">
        <w:t>an</w:t>
      </w:r>
      <w:r w:rsidR="0070650D">
        <w:t xml:space="preserve">other </w:t>
      </w:r>
      <w:r w:rsidR="005A59F4">
        <w:t>oil exporter</w:t>
      </w:r>
      <w:r w:rsidR="0070650D">
        <w:t>,</w:t>
      </w:r>
      <w:r w:rsidR="005A59F4">
        <w:t xml:space="preserve"> Saudi Arabia</w:t>
      </w:r>
      <w:r w:rsidR="0070650D">
        <w:t xml:space="preserve"> is included as well</w:t>
      </w:r>
      <w:r w:rsidR="00C2222F">
        <w:t xml:space="preserve">. </w:t>
      </w:r>
      <w:r w:rsidR="00522CE1">
        <w:t>Note that a higher HHI implies greater concentration (or less diversity) in the country's exports basket. The plot shows that Kazakhstan does tend to be more concentrated than the other Central Asian economies</w:t>
      </w:r>
      <w:r w:rsidR="00F96A74">
        <w:t>, with its HHI index peaking in 2010 at 0.40</w:t>
      </w:r>
      <w:r w:rsidR="00522CE1">
        <w:t xml:space="preserve">. However, it appears to have been steadily diversifying since </w:t>
      </w:r>
      <w:r w:rsidR="00F96A74">
        <w:t>then</w:t>
      </w:r>
      <w:r w:rsidR="00522CE1">
        <w:t xml:space="preserve">, bringing its HHI down to 0.18 by 2021. The opposite trend had been happening in the Kyrgyz Republic, resulting in its 2021 HHI of 0.26 surpassing that of Kazakhstan's. In this regard, Kazakhstan has been more successful at diversification than Saudi Arabia, whose 2021 HHI still stands at 0.32. Nevertheless, it remains behind the </w:t>
      </w:r>
      <w:r w:rsidR="00522CE1">
        <w:lastRenderedPageBreak/>
        <w:t xml:space="preserve">Russian Federation, who </w:t>
      </w:r>
      <w:r w:rsidR="00522CE1">
        <w:t xml:space="preserve">both </w:t>
      </w:r>
      <w:r w:rsidR="00522CE1">
        <w:t>exports a lot of oil and gas while at the same time maintaining a fairly diverse export profile.</w:t>
      </w:r>
    </w:p>
    <w:p w14:paraId="44B328F2" w14:textId="414FD71C" w:rsidR="00C2222F" w:rsidRDefault="0070650D" w:rsidP="00C2222F">
      <w:pPr>
        <w:pStyle w:val="Caption"/>
      </w:pPr>
      <w:bookmarkStart w:id="23" w:name="_Ref77687311"/>
      <w:bookmarkStart w:id="24" w:name="_Toc83849803"/>
      <w:r>
        <w:rPr>
          <w:noProof/>
        </w:rPr>
        <w:drawing>
          <wp:anchor distT="0" distB="0" distL="114300" distR="114300" simplePos="0" relativeHeight="251760640" behindDoc="0" locked="0" layoutInCell="1" allowOverlap="1" wp14:anchorId="7B74E1AB" wp14:editId="235AAD4C">
            <wp:simplePos x="0" y="0"/>
            <wp:positionH relativeFrom="column">
              <wp:posOffset>0</wp:posOffset>
            </wp:positionH>
            <wp:positionV relativeFrom="paragraph">
              <wp:posOffset>191868</wp:posOffset>
            </wp:positionV>
            <wp:extent cx="5731510" cy="3580765"/>
            <wp:effectExtent l="0" t="0" r="0" b="635"/>
            <wp:wrapSquare wrapText="bothSides"/>
            <wp:docPr id="1031734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34174" name="Picture 1031734174"/>
                    <pic:cNvPicPr/>
                  </pic:nvPicPr>
                  <pic:blipFill>
                    <a:blip r:embed="rId12">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C2222F">
        <w:t xml:space="preserve">Figure </w:t>
      </w:r>
      <w:fldSimple w:instr=" STYLEREF 1 \s ">
        <w:r w:rsidR="00D57A44">
          <w:rPr>
            <w:noProof/>
            <w:cs/>
          </w:rPr>
          <w:t>‎</w:t>
        </w:r>
        <w:r w:rsidR="00D57A44">
          <w:rPr>
            <w:noProof/>
          </w:rPr>
          <w:t>2</w:t>
        </w:r>
      </w:fldSimple>
      <w:r w:rsidR="003F26C2">
        <w:t>.</w:t>
      </w:r>
      <w:fldSimple w:instr=" SEQ Figure \* ARABIC \s 1 ">
        <w:r w:rsidR="00D57A44">
          <w:rPr>
            <w:noProof/>
          </w:rPr>
          <w:t>5</w:t>
        </w:r>
      </w:fldSimple>
      <w:bookmarkEnd w:id="23"/>
      <w:r w:rsidR="00C2222F">
        <w:t xml:space="preserve">: </w:t>
      </w:r>
      <w:bookmarkEnd w:id="24"/>
      <w:r w:rsidR="00C6601B">
        <w:t>Merchandise Export Concentration, Selected Countries, 2005, 2010, 2015, 2021</w:t>
      </w:r>
    </w:p>
    <w:p w14:paraId="32A4CF0D" w14:textId="77777777" w:rsidR="00C6601B" w:rsidRDefault="00C6601B" w:rsidP="00C6601B">
      <w:pPr>
        <w:pStyle w:val="Notes"/>
      </w:pPr>
      <w:r>
        <w:t xml:space="preserve">Notes: </w:t>
      </w:r>
      <w:r>
        <w:tab/>
        <w:t xml:space="preserve">Diversification is measured by the Herfindahl–Hirschman index. A higher index implies more concentration. Products are disaggregated at the 2-digit level of the Harmonized System, 2002 edition. </w:t>
      </w:r>
    </w:p>
    <w:p w14:paraId="77A7E4CF" w14:textId="77777777" w:rsidR="00C6601B" w:rsidRPr="00B6680A" w:rsidRDefault="00C6601B" w:rsidP="00C6601B">
      <w:pPr>
        <w:pStyle w:val="NotesBottom"/>
      </w:pPr>
      <w:r>
        <w:t xml:space="preserve">Sources: </w:t>
      </w:r>
      <w:r>
        <w:tab/>
        <w:t xml:space="preserve">CEPII. </w:t>
      </w:r>
      <w:r w:rsidRPr="005D5E0C">
        <w:t>BACI</w:t>
      </w:r>
      <w:r>
        <w:t xml:space="preserve"> International Trade Database (January 2023). </w:t>
      </w:r>
      <w:r w:rsidRPr="00F36FCF">
        <w:t>http://www.cepii.fr/cepii/en/bdd_modele/presentation.asp?id=37</w:t>
      </w:r>
      <w:r>
        <w:t xml:space="preserve"> </w:t>
      </w:r>
      <w:r w:rsidRPr="00B6680A">
        <w:t>(accessed 19 June 2023); Asian Development Bank estimates.</w:t>
      </w:r>
    </w:p>
    <w:p w14:paraId="62F1CFB3" w14:textId="1FF2B954" w:rsidR="00C2222F" w:rsidRDefault="00A11901" w:rsidP="00B6680A">
      <w:r w:rsidRPr="00B6680A">
        <w:t xml:space="preserve">In summary, this chapter has </w:t>
      </w:r>
      <w:r w:rsidR="00C65C13" w:rsidRPr="00B6680A">
        <w:t>used traditional GDP and trade statistics to show that Kazakhstan is a classic case of an extractive resource economy. It exports a lot of crude oil and mineral ores, most of which go to the PRC, Europe, and its neighbors</w:t>
      </w:r>
      <w:r w:rsidRPr="00B6680A">
        <w:t xml:space="preserve"> </w:t>
      </w:r>
      <w:r w:rsidR="00C65C13" w:rsidRPr="00B6680A">
        <w:t xml:space="preserve">in Central Asia. This specialization has brought it economic riches—10% annual growth at its peak—but </w:t>
      </w:r>
      <w:r w:rsidR="00B6680A" w:rsidRPr="00B6680A">
        <w:t>at the cost of an undiversified economy whose fortunes are linked to the fluctuations of global oil prices. This has changed since the end of the oil boom in 2014, but much remains to be done. It is interesting that metals manufactures are its second-largest export product. As succeeding chapters show, metals are a good candidate for instigating greater diversification. To explore this idea, an assortment of new indicators must now be introduced.</w:t>
      </w:r>
      <w:r w:rsidR="00C2222F">
        <w:br w:type="page"/>
      </w:r>
    </w:p>
    <w:p w14:paraId="774989CC" w14:textId="1C1DB9BA" w:rsidR="00257BE5" w:rsidRPr="00017EDF" w:rsidRDefault="00EA4DE0" w:rsidP="00017EDF">
      <w:pPr>
        <w:pStyle w:val="Heading1"/>
      </w:pPr>
      <w:bookmarkStart w:id="25" w:name="_Toc83849788"/>
      <w:r>
        <w:lastRenderedPageBreak/>
        <w:t>Participation in Global Value Chains</w:t>
      </w:r>
      <w:bookmarkEnd w:id="25"/>
    </w:p>
    <w:p w14:paraId="5C6A9166" w14:textId="310F6A21" w:rsidR="0087355A" w:rsidRDefault="001D1F89" w:rsidP="00B2646F">
      <w:r>
        <w:t>A global value chain (GVC) is a type of production arrangement where different stages are undertaken in different territories, typically by different firms.</w:t>
      </w:r>
      <w:r w:rsidR="00AB3605">
        <w:rPr>
          <w:rStyle w:val="FootnoteReference"/>
        </w:rPr>
        <w:footnoteReference w:id="9"/>
      </w:r>
      <w:r>
        <w:t xml:space="preserve"> It intensified in the 1990s as several trends took shape, including leaps in information and communications technologies, the </w:t>
      </w:r>
      <w:r w:rsidR="00CE5722">
        <w:t xml:space="preserve">spread of market economies in </w:t>
      </w:r>
      <w:r>
        <w:t xml:space="preserve">the former Communist states, and perhaps most importantly, the opening up of the People’s Republic of China (PRC) to world trade. </w:t>
      </w:r>
      <w:r w:rsidR="00DB7163">
        <w:t xml:space="preserve">All these encouraged managers to relocate certain stages of production to where they can be performed at the lowest cost. </w:t>
      </w:r>
    </w:p>
    <w:p w14:paraId="13341C64" w14:textId="25DFB5DE" w:rsidR="00017EDF" w:rsidRDefault="00650FF7" w:rsidP="00B2646F">
      <w:r>
        <w:t>Among</w:t>
      </w:r>
      <w:r w:rsidR="0087355A">
        <w:t xml:space="preserve"> </w:t>
      </w:r>
      <w:r>
        <w:t xml:space="preserve">the </w:t>
      </w:r>
      <w:r w:rsidR="0087355A">
        <w:t>numerous consequences</w:t>
      </w:r>
      <w:r>
        <w:t xml:space="preserve"> of GVCs is</w:t>
      </w:r>
      <w:r w:rsidR="0087355A">
        <w:t xml:space="preserve"> statistical. </w:t>
      </w:r>
      <w:r w:rsidR="00770D9D">
        <w:t>Trade is generally reported in gross</w:t>
      </w:r>
      <w:r w:rsidR="00CE61F5">
        <w:t xml:space="preserve"> </w:t>
      </w:r>
      <w:r w:rsidR="00770D9D">
        <w:t xml:space="preserve">bilateral terms: </w:t>
      </w:r>
      <w:r w:rsidR="00CE61F5">
        <w:t>country</w:t>
      </w:r>
      <w:r w:rsidR="00770D9D">
        <w:t xml:space="preserve"> A’s exports to </w:t>
      </w:r>
      <w:r w:rsidR="00CE61F5">
        <w:t xml:space="preserve">country </w:t>
      </w:r>
      <w:r w:rsidR="00770D9D">
        <w:t>B. GVCs complicate this in two ways. First, some of A’s exports may contain value</w:t>
      </w:r>
      <w:r w:rsidR="00CE61F5">
        <w:t xml:space="preserve"> </w:t>
      </w:r>
      <w:r w:rsidR="00770D9D">
        <w:t>added that did not originate in A. Second, not all of A’s exports to B are finally consumed in B.</w:t>
      </w:r>
      <w:r w:rsidR="00DA601C">
        <w:t xml:space="preserve"> Imported inputs on the one hand and reexports on the other mean that third </w:t>
      </w:r>
      <w:r w:rsidR="00CE61F5">
        <w:t>countries</w:t>
      </w:r>
      <w:r w:rsidR="00DA601C">
        <w:t xml:space="preserve"> may have an indirect relationship with each other via the bilateral link between A and B, relationships that are hidden in </w:t>
      </w:r>
      <w:r w:rsidR="00C57619">
        <w:t xml:space="preserve">standard </w:t>
      </w:r>
      <w:r w:rsidR="00DA601C">
        <w:t xml:space="preserve">trade data. </w:t>
      </w:r>
    </w:p>
    <w:p w14:paraId="4522558C" w14:textId="462EBEC8" w:rsidR="00B2646F" w:rsidRDefault="00D435B5" w:rsidP="00870F65">
      <w:pPr>
        <w:rPr>
          <w:rFonts w:eastAsia="Calibri" w:cstheme="minorHAnsi"/>
          <w:color w:val="000000" w:themeColor="text1"/>
          <w:szCs w:val="22"/>
        </w:rPr>
      </w:pPr>
      <w:r>
        <w:rPr>
          <w:rFonts w:eastAsia="Calibri" w:cstheme="minorHAnsi"/>
          <w:color w:val="000000" w:themeColor="text1"/>
          <w:szCs w:val="22"/>
        </w:rPr>
        <w:t xml:space="preserve">This chapter explores </w:t>
      </w:r>
      <w:r w:rsidR="00596D31">
        <w:rPr>
          <w:rFonts w:eastAsia="Calibri" w:cstheme="minorHAnsi"/>
          <w:color w:val="000000" w:themeColor="text1"/>
          <w:szCs w:val="22"/>
        </w:rPr>
        <w:t>Kazakhstan</w:t>
      </w:r>
      <w:r>
        <w:rPr>
          <w:rFonts w:eastAsia="Calibri" w:cstheme="minorHAnsi"/>
          <w:color w:val="000000" w:themeColor="text1"/>
          <w:szCs w:val="22"/>
        </w:rPr>
        <w:t xml:space="preserve">’s engagement with GVCs by </w:t>
      </w:r>
      <w:r w:rsidR="00414CE0">
        <w:rPr>
          <w:rFonts w:eastAsia="Calibri" w:cstheme="minorHAnsi"/>
          <w:color w:val="000000" w:themeColor="text1"/>
          <w:szCs w:val="22"/>
        </w:rPr>
        <w:t>combining</w:t>
      </w:r>
      <w:r>
        <w:rPr>
          <w:rFonts w:eastAsia="Calibri" w:cstheme="minorHAnsi"/>
          <w:color w:val="000000" w:themeColor="text1"/>
          <w:szCs w:val="22"/>
        </w:rPr>
        <w:t xml:space="preserve"> the rich information found in the Asian Development Bank Multiregional Input–Output (</w:t>
      </w:r>
      <w:r w:rsidR="0047487D">
        <w:rPr>
          <w:rFonts w:eastAsia="Calibri" w:cstheme="minorHAnsi"/>
          <w:color w:val="000000" w:themeColor="text1"/>
          <w:szCs w:val="22"/>
        </w:rPr>
        <w:t xml:space="preserve">ADB </w:t>
      </w:r>
      <w:r>
        <w:rPr>
          <w:rFonts w:eastAsia="Calibri" w:cstheme="minorHAnsi"/>
          <w:color w:val="000000" w:themeColor="text1"/>
          <w:szCs w:val="22"/>
        </w:rPr>
        <w:t>MRIO) Database</w:t>
      </w:r>
      <w:r w:rsidR="00414CE0">
        <w:rPr>
          <w:rFonts w:eastAsia="Calibri" w:cstheme="minorHAnsi"/>
          <w:color w:val="000000" w:themeColor="text1"/>
          <w:szCs w:val="22"/>
        </w:rPr>
        <w:t xml:space="preserve"> with </w:t>
      </w:r>
      <w:r w:rsidR="00493C5F">
        <w:rPr>
          <w:rFonts w:eastAsia="Calibri" w:cstheme="minorHAnsi"/>
          <w:color w:val="000000" w:themeColor="text1"/>
          <w:szCs w:val="22"/>
        </w:rPr>
        <w:t xml:space="preserve">the </w:t>
      </w:r>
      <w:r w:rsidR="00414CE0">
        <w:rPr>
          <w:rFonts w:eastAsia="Calibri" w:cstheme="minorHAnsi"/>
          <w:color w:val="000000" w:themeColor="text1"/>
          <w:szCs w:val="22"/>
        </w:rPr>
        <w:t xml:space="preserve">GVC-focused input–output models </w:t>
      </w:r>
      <w:r w:rsidR="00493C5F">
        <w:rPr>
          <w:rFonts w:eastAsia="Calibri" w:cstheme="minorHAnsi"/>
          <w:color w:val="000000" w:themeColor="text1"/>
          <w:szCs w:val="22"/>
        </w:rPr>
        <w:t xml:space="preserve">that have been </w:t>
      </w:r>
      <w:r w:rsidR="00414CE0">
        <w:rPr>
          <w:rFonts w:eastAsia="Calibri" w:cstheme="minorHAnsi"/>
          <w:color w:val="000000" w:themeColor="text1"/>
          <w:szCs w:val="22"/>
        </w:rPr>
        <w:t xml:space="preserve">developed in the literature. The </w:t>
      </w:r>
      <w:r w:rsidR="00D129C2">
        <w:rPr>
          <w:rFonts w:eastAsia="Calibri" w:cstheme="minorHAnsi"/>
          <w:color w:val="000000" w:themeColor="text1"/>
          <w:szCs w:val="22"/>
        </w:rPr>
        <w:t xml:space="preserve">ADB </w:t>
      </w:r>
      <w:r w:rsidR="00414CE0">
        <w:rPr>
          <w:rFonts w:eastAsia="Calibri" w:cstheme="minorHAnsi"/>
          <w:color w:val="000000" w:themeColor="text1"/>
          <w:szCs w:val="22"/>
        </w:rPr>
        <w:t xml:space="preserve">MRIO is available for the years </w:t>
      </w:r>
      <w:r w:rsidR="00D9006C">
        <w:rPr>
          <w:rFonts w:eastAsia="Calibri" w:cstheme="minorHAnsi"/>
          <w:color w:val="000000" w:themeColor="text1"/>
          <w:szCs w:val="22"/>
        </w:rPr>
        <w:t>2017</w:t>
      </w:r>
      <w:r w:rsidR="00414CE0">
        <w:rPr>
          <w:rFonts w:eastAsia="Calibri" w:cstheme="minorHAnsi"/>
          <w:color w:val="000000" w:themeColor="text1"/>
          <w:szCs w:val="22"/>
        </w:rPr>
        <w:t>–202</w:t>
      </w:r>
      <w:r w:rsidR="00D9006C">
        <w:rPr>
          <w:rFonts w:eastAsia="Calibri" w:cstheme="minorHAnsi"/>
          <w:color w:val="000000" w:themeColor="text1"/>
          <w:szCs w:val="22"/>
        </w:rPr>
        <w:t>2</w:t>
      </w:r>
      <w:r w:rsidR="00414CE0">
        <w:rPr>
          <w:rFonts w:eastAsia="Calibri" w:cstheme="minorHAnsi"/>
          <w:color w:val="000000" w:themeColor="text1"/>
          <w:szCs w:val="22"/>
        </w:rPr>
        <w:t xml:space="preserve"> and covers </w:t>
      </w:r>
      <w:r w:rsidR="00D9006C">
        <w:rPr>
          <w:rFonts w:eastAsia="Calibri" w:cstheme="minorHAnsi"/>
          <w:color w:val="000000" w:themeColor="text1"/>
          <w:szCs w:val="22"/>
        </w:rPr>
        <w:t>7</w:t>
      </w:r>
      <w:r w:rsidR="00414CE0">
        <w:rPr>
          <w:rFonts w:eastAsia="Calibri" w:cstheme="minorHAnsi"/>
          <w:color w:val="000000" w:themeColor="text1"/>
          <w:szCs w:val="22"/>
        </w:rPr>
        <w:t xml:space="preserve">2 economies, including </w:t>
      </w:r>
      <w:r w:rsidR="002E3AAC" w:rsidRPr="002E3AAC">
        <w:rPr>
          <w:rFonts w:eastAsia="Calibri" w:cstheme="minorHAnsi"/>
          <w:szCs w:val="22"/>
        </w:rPr>
        <w:t>48</w:t>
      </w:r>
      <w:r w:rsidR="007655DD" w:rsidRPr="002E3AAC">
        <w:rPr>
          <w:rFonts w:eastAsia="Calibri" w:cstheme="minorHAnsi"/>
          <w:szCs w:val="22"/>
        </w:rPr>
        <w:t xml:space="preserve"> </w:t>
      </w:r>
      <w:r w:rsidR="002E3AAC">
        <w:rPr>
          <w:rFonts w:eastAsia="Calibri" w:cstheme="minorHAnsi"/>
          <w:szCs w:val="22"/>
        </w:rPr>
        <w:t xml:space="preserve">of the 68 </w:t>
      </w:r>
      <w:r w:rsidR="007655DD">
        <w:rPr>
          <w:rFonts w:eastAsia="Calibri" w:cstheme="minorHAnsi"/>
          <w:color w:val="000000" w:themeColor="text1"/>
          <w:szCs w:val="22"/>
        </w:rPr>
        <w:t xml:space="preserve">ADB member </w:t>
      </w:r>
      <w:r w:rsidR="002E3AAC">
        <w:rPr>
          <w:rFonts w:eastAsia="Calibri" w:cstheme="minorHAnsi"/>
          <w:color w:val="000000" w:themeColor="text1"/>
          <w:szCs w:val="22"/>
        </w:rPr>
        <w:t>countries</w:t>
      </w:r>
      <w:r w:rsidR="007655DD">
        <w:rPr>
          <w:rFonts w:eastAsia="Calibri" w:cstheme="minorHAnsi"/>
          <w:color w:val="000000" w:themeColor="text1"/>
          <w:szCs w:val="22"/>
        </w:rPr>
        <w:t>.</w:t>
      </w:r>
      <w:r w:rsidR="00B636F1">
        <w:rPr>
          <w:rFonts w:eastAsia="Calibri" w:cstheme="minorHAnsi"/>
          <w:color w:val="000000" w:themeColor="text1"/>
          <w:szCs w:val="22"/>
        </w:rPr>
        <w:t xml:space="preserve"> </w:t>
      </w:r>
      <w:r w:rsidR="00D9006C">
        <w:rPr>
          <w:rFonts w:eastAsia="Calibri" w:cstheme="minorHAnsi"/>
          <w:color w:val="000000" w:themeColor="text1"/>
          <w:szCs w:val="22"/>
        </w:rPr>
        <w:t xml:space="preserve">Tables are also available for the years 2000 and 2007–2016, albeit for a smaller set of 62 economies. </w:t>
      </w:r>
      <w:r w:rsidR="0087414F">
        <w:rPr>
          <w:rFonts w:eastAsia="Calibri" w:cstheme="minorHAnsi"/>
          <w:color w:val="000000" w:themeColor="text1"/>
          <w:szCs w:val="22"/>
        </w:rPr>
        <w:t xml:space="preserve">Each country's economy is exhaustively divided into 35 sectors, meaning unlike the previous chapter, trade in both goods and services will be part of the analysis. </w:t>
      </w:r>
      <w:r w:rsidR="00B636F1">
        <w:rPr>
          <w:rFonts w:eastAsia="Calibri" w:cstheme="minorHAnsi"/>
          <w:color w:val="000000" w:themeColor="text1"/>
          <w:szCs w:val="22"/>
        </w:rPr>
        <w:t xml:space="preserve">More details on </w:t>
      </w:r>
      <w:r w:rsidR="0087414F">
        <w:rPr>
          <w:rFonts w:eastAsia="Calibri" w:cstheme="minorHAnsi"/>
          <w:color w:val="000000" w:themeColor="text1"/>
          <w:szCs w:val="22"/>
        </w:rPr>
        <w:t xml:space="preserve">the MRIO </w:t>
      </w:r>
      <w:r w:rsidR="00B636F1">
        <w:rPr>
          <w:rFonts w:eastAsia="Calibri" w:cstheme="minorHAnsi"/>
          <w:color w:val="000000" w:themeColor="text1"/>
          <w:szCs w:val="22"/>
        </w:rPr>
        <w:t xml:space="preserve">database </w:t>
      </w:r>
      <w:r w:rsidR="00FA6B78">
        <w:rPr>
          <w:rFonts w:eastAsia="Calibri" w:cstheme="minorHAnsi"/>
          <w:color w:val="000000" w:themeColor="text1"/>
          <w:szCs w:val="22"/>
        </w:rPr>
        <w:t>are</w:t>
      </w:r>
      <w:r w:rsidR="00B636F1">
        <w:rPr>
          <w:rFonts w:eastAsia="Calibri" w:cstheme="minorHAnsi"/>
          <w:color w:val="000000" w:themeColor="text1"/>
          <w:szCs w:val="22"/>
        </w:rPr>
        <w:t xml:space="preserve"> given in </w:t>
      </w:r>
      <w:r w:rsidR="00CE61F5">
        <w:rPr>
          <w:rFonts w:eastAsia="Calibri" w:cstheme="minorHAnsi"/>
          <w:color w:val="000000" w:themeColor="text1"/>
          <w:szCs w:val="22"/>
        </w:rPr>
        <w:fldChar w:fldCharType="begin"/>
      </w:r>
      <w:r w:rsidR="00CE61F5">
        <w:rPr>
          <w:rFonts w:eastAsia="Calibri" w:cstheme="minorHAnsi"/>
          <w:color w:val="000000" w:themeColor="text1"/>
          <w:szCs w:val="22"/>
        </w:rPr>
        <w:instrText xml:space="preserve"> REF _Ref82529671 </w:instrText>
      </w:r>
      <w:r w:rsidR="00CE61F5">
        <w:rPr>
          <w:rFonts w:eastAsia="Calibri" w:cstheme="minorHAnsi"/>
          <w:color w:val="000000" w:themeColor="text1"/>
          <w:szCs w:val="22"/>
        </w:rPr>
        <w:fldChar w:fldCharType="separate"/>
      </w:r>
      <w:r w:rsidR="00D57A44">
        <w:t xml:space="preserve">Box </w:t>
      </w:r>
      <w:r w:rsidR="00D57A44">
        <w:rPr>
          <w:noProof/>
        </w:rPr>
        <w:t>1</w:t>
      </w:r>
      <w:r w:rsidR="00CE61F5">
        <w:rPr>
          <w:rFonts w:eastAsia="Calibri" w:cstheme="minorHAnsi"/>
          <w:color w:val="000000" w:themeColor="text1"/>
          <w:szCs w:val="22"/>
        </w:rPr>
        <w:fldChar w:fldCharType="end"/>
      </w:r>
      <w:r w:rsidR="00CE61F5">
        <w:rPr>
          <w:rFonts w:eastAsia="Calibri" w:cstheme="minorHAnsi"/>
          <w:color w:val="000000" w:themeColor="text1"/>
          <w:szCs w:val="22"/>
        </w:rPr>
        <w:t>.</w:t>
      </w:r>
    </w:p>
    <w:p w14:paraId="7E267811" w14:textId="28CE33FF" w:rsidR="00B64F39" w:rsidRDefault="00B64F39" w:rsidP="00870F65">
      <w:pPr>
        <w:rPr>
          <w:rFonts w:eastAsia="Calibri" w:cstheme="minorHAnsi"/>
          <w:color w:val="000000" w:themeColor="text1"/>
          <w:szCs w:val="22"/>
        </w:rPr>
      </w:pPr>
      <w:r>
        <w:rPr>
          <w:rFonts w:eastAsia="Calibri" w:cstheme="minorHAnsi"/>
          <w:color w:val="000000" w:themeColor="text1"/>
          <w:szCs w:val="22"/>
        </w:rPr>
        <w:t>Accounting for intersectoral linkages allows this chapter to take a value</w:t>
      </w:r>
      <w:r w:rsidR="00E030CD">
        <w:rPr>
          <w:rFonts w:eastAsia="Calibri" w:cstheme="minorHAnsi"/>
          <w:color w:val="000000" w:themeColor="text1"/>
          <w:szCs w:val="22"/>
        </w:rPr>
        <w:t xml:space="preserve"> </w:t>
      </w:r>
      <w:r>
        <w:rPr>
          <w:rFonts w:eastAsia="Calibri" w:cstheme="minorHAnsi"/>
          <w:color w:val="000000" w:themeColor="text1"/>
          <w:szCs w:val="22"/>
        </w:rPr>
        <w:t>added ap</w:t>
      </w:r>
      <w:r w:rsidR="00993DE9">
        <w:rPr>
          <w:rFonts w:eastAsia="Calibri" w:cstheme="minorHAnsi"/>
          <w:color w:val="000000" w:themeColor="text1"/>
          <w:szCs w:val="22"/>
        </w:rPr>
        <w:t>p</w:t>
      </w:r>
      <w:r>
        <w:rPr>
          <w:rFonts w:eastAsia="Calibri" w:cstheme="minorHAnsi"/>
          <w:color w:val="000000" w:themeColor="text1"/>
          <w:szCs w:val="22"/>
        </w:rPr>
        <w:t xml:space="preserve">roach to </w:t>
      </w:r>
      <w:r w:rsidR="00D9006C">
        <w:rPr>
          <w:rFonts w:eastAsia="Calibri" w:cstheme="minorHAnsi"/>
          <w:color w:val="000000" w:themeColor="text1"/>
          <w:szCs w:val="22"/>
        </w:rPr>
        <w:t>Kazakhstan</w:t>
      </w:r>
      <w:r>
        <w:rPr>
          <w:rFonts w:eastAsia="Calibri" w:cstheme="minorHAnsi"/>
          <w:color w:val="000000" w:themeColor="text1"/>
          <w:szCs w:val="22"/>
        </w:rPr>
        <w:t xml:space="preserve">’s trade. </w:t>
      </w:r>
      <w:r w:rsidR="00E27C43">
        <w:rPr>
          <w:rFonts w:eastAsia="Calibri" w:cstheme="minorHAnsi"/>
          <w:color w:val="000000" w:themeColor="text1"/>
          <w:szCs w:val="22"/>
        </w:rPr>
        <w:t>This begins with a careful decomposition of its exports into various value</w:t>
      </w:r>
      <w:r w:rsidR="00E030CD">
        <w:rPr>
          <w:rFonts w:eastAsia="Calibri" w:cstheme="minorHAnsi"/>
          <w:color w:val="000000" w:themeColor="text1"/>
          <w:szCs w:val="22"/>
        </w:rPr>
        <w:t xml:space="preserve"> </w:t>
      </w:r>
      <w:r w:rsidR="00E27C43">
        <w:rPr>
          <w:rFonts w:eastAsia="Calibri" w:cstheme="minorHAnsi"/>
          <w:color w:val="000000" w:themeColor="text1"/>
          <w:szCs w:val="22"/>
        </w:rPr>
        <w:t>added categories. Using the methodology in ADB (2021), gross exports are divided into those whose value</w:t>
      </w:r>
      <w:r w:rsidR="00446460">
        <w:rPr>
          <w:rFonts w:eastAsia="Calibri" w:cstheme="minorHAnsi"/>
          <w:color w:val="000000" w:themeColor="text1"/>
          <w:szCs w:val="22"/>
        </w:rPr>
        <w:t xml:space="preserve"> </w:t>
      </w:r>
      <w:r w:rsidR="00E27C43">
        <w:rPr>
          <w:rFonts w:eastAsia="Calibri" w:cstheme="minorHAnsi"/>
          <w:color w:val="000000" w:themeColor="text1"/>
          <w:szCs w:val="22"/>
        </w:rPr>
        <w:t>added originated domestically (DVA), those that originated from foreign sources (FVA), and those that did not originate from value</w:t>
      </w:r>
      <w:r w:rsidR="00446460">
        <w:rPr>
          <w:rFonts w:eastAsia="Calibri" w:cstheme="minorHAnsi"/>
          <w:color w:val="000000" w:themeColor="text1"/>
          <w:szCs w:val="22"/>
        </w:rPr>
        <w:t xml:space="preserve"> </w:t>
      </w:r>
      <w:r w:rsidR="00E27C43">
        <w:rPr>
          <w:rFonts w:eastAsia="Calibri" w:cstheme="minorHAnsi"/>
          <w:color w:val="000000" w:themeColor="text1"/>
          <w:szCs w:val="22"/>
        </w:rPr>
        <w:t>added at all. The last, called pure double-counting (PDC), refers to duplicated recordings of the same value</w:t>
      </w:r>
      <w:r w:rsidR="00446460">
        <w:rPr>
          <w:rFonts w:eastAsia="Calibri" w:cstheme="minorHAnsi"/>
          <w:color w:val="000000" w:themeColor="text1"/>
          <w:szCs w:val="22"/>
        </w:rPr>
        <w:t xml:space="preserve"> </w:t>
      </w:r>
      <w:r w:rsidR="00E27C43">
        <w:rPr>
          <w:rFonts w:eastAsia="Calibri" w:cstheme="minorHAnsi"/>
          <w:color w:val="000000" w:themeColor="text1"/>
          <w:szCs w:val="22"/>
        </w:rPr>
        <w:t xml:space="preserve">added crossing the same border more than once. DVA, in turn, is further divided into those that are directly absorbed by the importer (DAVAX), those that are reexported by the importer and eventually absorbed abroad (REX), and those that are reexported by the importer and </w:t>
      </w:r>
      <w:r w:rsidR="00E27C43">
        <w:rPr>
          <w:rFonts w:eastAsia="Calibri" w:cstheme="minorHAnsi"/>
          <w:color w:val="000000" w:themeColor="text1"/>
          <w:szCs w:val="22"/>
        </w:rPr>
        <w:lastRenderedPageBreak/>
        <w:t xml:space="preserve">eventually returns to and is consumed by the exporter (“reflection”, or REF). See </w:t>
      </w:r>
      <w:r w:rsidR="004816C1">
        <w:rPr>
          <w:rFonts w:eastAsia="Calibri" w:cstheme="minorHAnsi"/>
          <w:color w:val="000000" w:themeColor="text1"/>
          <w:szCs w:val="22"/>
        </w:rPr>
        <w:fldChar w:fldCharType="begin"/>
      </w:r>
      <w:r w:rsidR="004816C1">
        <w:rPr>
          <w:rFonts w:eastAsia="Calibri" w:cstheme="minorHAnsi"/>
          <w:color w:val="000000" w:themeColor="text1"/>
          <w:szCs w:val="22"/>
        </w:rPr>
        <w:instrText xml:space="preserve"> REF _Ref77751741 </w:instrText>
      </w:r>
      <w:r w:rsidR="004816C1">
        <w:rPr>
          <w:rFonts w:eastAsia="Calibri" w:cstheme="minorHAnsi"/>
          <w:color w:val="000000" w:themeColor="text1"/>
          <w:szCs w:val="22"/>
        </w:rPr>
        <w:fldChar w:fldCharType="separate"/>
      </w:r>
      <w:r w:rsidR="00D57A44" w:rsidRPr="009F0FF5">
        <w:t xml:space="preserve">Box </w:t>
      </w:r>
      <w:r w:rsidR="00D57A44">
        <w:rPr>
          <w:noProof/>
        </w:rPr>
        <w:t>3</w:t>
      </w:r>
      <w:r w:rsidR="004816C1">
        <w:rPr>
          <w:rFonts w:eastAsia="Calibri" w:cstheme="minorHAnsi"/>
          <w:color w:val="000000" w:themeColor="text1"/>
          <w:szCs w:val="22"/>
        </w:rPr>
        <w:fldChar w:fldCharType="end"/>
      </w:r>
      <w:r w:rsidR="004816C1">
        <w:rPr>
          <w:rFonts w:eastAsia="Calibri" w:cstheme="minorHAnsi"/>
          <w:color w:val="000000" w:themeColor="text1"/>
          <w:szCs w:val="22"/>
        </w:rPr>
        <w:t xml:space="preserve"> </w:t>
      </w:r>
      <w:r w:rsidR="00E27C43">
        <w:rPr>
          <w:rFonts w:eastAsia="Calibri" w:cstheme="minorHAnsi"/>
          <w:color w:val="000000" w:themeColor="text1"/>
          <w:szCs w:val="22"/>
        </w:rPr>
        <w:t xml:space="preserve">for more details on this framework. </w:t>
      </w:r>
    </w:p>
    <w:tbl>
      <w:tblPr>
        <w:tblStyle w:val="TableGrid"/>
        <w:tblW w:w="0" w:type="auto"/>
        <w:tblLook w:val="04A0" w:firstRow="1" w:lastRow="0" w:firstColumn="1" w:lastColumn="0" w:noHBand="0" w:noVBand="1"/>
      </w:tblPr>
      <w:tblGrid>
        <w:gridCol w:w="9016"/>
      </w:tblGrid>
      <w:tr w:rsidR="00F72D1B" w14:paraId="749BDB60" w14:textId="77777777" w:rsidTr="00B35725">
        <w:tc>
          <w:tcPr>
            <w:tcW w:w="9016" w:type="dxa"/>
          </w:tcPr>
          <w:p w14:paraId="640D2EFE" w14:textId="61D66825" w:rsidR="00F72D1B" w:rsidRPr="009F0FF5" w:rsidRDefault="00F72D1B" w:rsidP="009F0FF5">
            <w:pPr>
              <w:pStyle w:val="Caption"/>
            </w:pPr>
            <w:bookmarkStart w:id="26" w:name="_Ref77751741"/>
            <w:bookmarkStart w:id="27" w:name="_Toc139902362"/>
            <w:r w:rsidRPr="009F0FF5">
              <w:t xml:space="preserve">Box </w:t>
            </w:r>
            <w:fldSimple w:instr=" SEQ Box \* ARABIC ">
              <w:r w:rsidR="00D57A44">
                <w:rPr>
                  <w:noProof/>
                </w:rPr>
                <w:t>3</w:t>
              </w:r>
            </w:fldSimple>
            <w:bookmarkEnd w:id="26"/>
            <w:r w:rsidRPr="009F0FF5">
              <w:t>: Decomposing Exports into Value-Added Categories</w:t>
            </w:r>
            <w:bookmarkEnd w:id="27"/>
          </w:p>
          <w:p w14:paraId="46BF934F" w14:textId="63D28968" w:rsidR="00F72D1B" w:rsidRPr="00601F5B" w:rsidRDefault="001942E8" w:rsidP="00601F5B">
            <w:pPr>
              <w:pStyle w:val="Box"/>
            </w:pPr>
            <w:r w:rsidRPr="00601F5B">
              <w:t>The prevalence of cross-border production sharing</w:t>
            </w:r>
            <w:r w:rsidR="00002B93" w:rsidRPr="00601F5B">
              <w:t xml:space="preserve">—what </w:t>
            </w:r>
            <w:r w:rsidR="00F612C8" w:rsidRPr="00601F5B">
              <w:t>this report calls</w:t>
            </w:r>
            <w:r w:rsidR="00002B93" w:rsidRPr="00601F5B">
              <w:t xml:space="preserve"> </w:t>
            </w:r>
            <w:r w:rsidRPr="00601F5B">
              <w:t>global value chains (GVCs)</w:t>
            </w:r>
            <w:r w:rsidR="00002B93" w:rsidRPr="00601F5B">
              <w:t>—</w:t>
            </w:r>
            <w:r w:rsidRPr="00601F5B">
              <w:t>has meant that flows of value</w:t>
            </w:r>
            <w:r w:rsidR="00446460">
              <w:t xml:space="preserve"> </w:t>
            </w:r>
            <w:r w:rsidRPr="00601F5B">
              <w:t>added may increasingly diverge from the flows captured in standard trade statistics</w:t>
            </w:r>
            <w:r w:rsidR="00DE354F" w:rsidRPr="00601F5B">
              <w:t xml:space="preserve">. </w:t>
            </w:r>
            <w:r w:rsidR="002E466A" w:rsidRPr="00601F5B">
              <w:t>D</w:t>
            </w:r>
            <w:r w:rsidR="00DE354F" w:rsidRPr="00601F5B">
              <w:t xml:space="preserve">atasets </w:t>
            </w:r>
            <w:r w:rsidR="00882D49" w:rsidRPr="00601F5B">
              <w:t xml:space="preserve">like </w:t>
            </w:r>
            <w:r w:rsidR="00DE354F" w:rsidRPr="00601F5B">
              <w:t xml:space="preserve">balance of payments accounts and </w:t>
            </w:r>
            <w:r w:rsidR="00EC4E47" w:rsidRPr="00601F5B">
              <w:t xml:space="preserve">the United Nations COMTRADE database </w:t>
            </w:r>
            <w:r w:rsidR="002E466A" w:rsidRPr="00601F5B">
              <w:t xml:space="preserve">record </w:t>
            </w:r>
            <w:r w:rsidR="00DE354F" w:rsidRPr="00601F5B">
              <w:t xml:space="preserve">bilateral flows from </w:t>
            </w:r>
            <w:r w:rsidR="001F5500" w:rsidRPr="00601F5B">
              <w:t xml:space="preserve">one </w:t>
            </w:r>
            <w:r w:rsidR="00DE354F" w:rsidRPr="00601F5B">
              <w:t xml:space="preserve">economy to </w:t>
            </w:r>
            <w:r w:rsidR="001F5500" w:rsidRPr="00601F5B">
              <w:t>another</w:t>
            </w:r>
            <w:r w:rsidR="00DE354F" w:rsidRPr="00601F5B">
              <w:t xml:space="preserve">, but </w:t>
            </w:r>
            <w:r w:rsidR="00882D49" w:rsidRPr="00601F5B">
              <w:t>do not typically provide information on the value</w:t>
            </w:r>
            <w:r w:rsidR="00E030CD">
              <w:t xml:space="preserve"> </w:t>
            </w:r>
            <w:r w:rsidR="00882D49" w:rsidRPr="00601F5B">
              <w:t xml:space="preserve">added </w:t>
            </w:r>
            <w:r w:rsidR="002E466A" w:rsidRPr="00601F5B">
              <w:t>make-up</w:t>
            </w:r>
            <w:r w:rsidR="00882D49" w:rsidRPr="00601F5B">
              <w:t xml:space="preserve"> of such flow</w:t>
            </w:r>
            <w:r w:rsidR="002E466A" w:rsidRPr="00601F5B">
              <w:t>s</w:t>
            </w:r>
            <w:r w:rsidRPr="00601F5B">
              <w:t xml:space="preserve">. </w:t>
            </w:r>
          </w:p>
          <w:p w14:paraId="5F5BC864" w14:textId="36DDC179" w:rsidR="00B36320" w:rsidRPr="00601F5B" w:rsidRDefault="00B36320" w:rsidP="00601F5B">
            <w:pPr>
              <w:pStyle w:val="Box"/>
              <w:rPr>
                <w:szCs w:val="20"/>
              </w:rPr>
            </w:pPr>
            <w:r w:rsidRPr="00601F5B">
              <w:rPr>
                <w:szCs w:val="20"/>
              </w:rPr>
              <w:t xml:space="preserve">In a framework pioneered by Koopman, Wang, and Wei (2014) and refined by </w:t>
            </w:r>
            <w:proofErr w:type="spellStart"/>
            <w:r w:rsidRPr="00601F5B">
              <w:rPr>
                <w:szCs w:val="20"/>
              </w:rPr>
              <w:t>Borin</w:t>
            </w:r>
            <w:proofErr w:type="spellEnd"/>
            <w:r w:rsidRPr="00601F5B">
              <w:rPr>
                <w:szCs w:val="20"/>
              </w:rPr>
              <w:t xml:space="preserve"> and Mancini (2019), information from an </w:t>
            </w:r>
            <w:r w:rsidR="00446460">
              <w:rPr>
                <w:szCs w:val="20"/>
              </w:rPr>
              <w:t>intercountry</w:t>
            </w:r>
            <w:r w:rsidRPr="00601F5B">
              <w:rPr>
                <w:szCs w:val="20"/>
              </w:rPr>
              <w:t xml:space="preserve"> input–output table is used to decompose export flows into value</w:t>
            </w:r>
            <w:r w:rsidR="00E030CD">
              <w:rPr>
                <w:szCs w:val="20"/>
              </w:rPr>
              <w:t xml:space="preserve"> </w:t>
            </w:r>
            <w:r w:rsidRPr="00601F5B">
              <w:rPr>
                <w:szCs w:val="20"/>
              </w:rPr>
              <w:t xml:space="preserve">added categories. </w:t>
            </w:r>
            <w:r w:rsidR="00F76470" w:rsidRPr="00601F5B">
              <w:rPr>
                <w:szCs w:val="20"/>
              </w:rPr>
              <w:t>An exposition of the particular methodology employed in this report is given in Asian Development Bank</w:t>
            </w:r>
            <w:r w:rsidR="001757C8" w:rsidRPr="00601F5B">
              <w:rPr>
                <w:szCs w:val="20"/>
              </w:rPr>
              <w:t xml:space="preserve"> (ADB)</w:t>
            </w:r>
            <w:r w:rsidR="00F76470" w:rsidRPr="00601F5B">
              <w:rPr>
                <w:szCs w:val="20"/>
              </w:rPr>
              <w:t xml:space="preserve"> (2021). </w:t>
            </w:r>
            <w:r w:rsidR="00E23A32" w:rsidRPr="00601F5B">
              <w:rPr>
                <w:szCs w:val="20"/>
              </w:rPr>
              <w:t xml:space="preserve">To summarize, exports are broken down into five main categories, as shown in </w:t>
            </w:r>
            <w:r w:rsidR="008C700C" w:rsidRPr="00601F5B">
              <w:rPr>
                <w:szCs w:val="20"/>
              </w:rPr>
              <w:t>the figure below</w:t>
            </w:r>
            <w:r w:rsidR="00124DCD" w:rsidRPr="00601F5B">
              <w:rPr>
                <w:szCs w:val="20"/>
              </w:rPr>
              <w:t>.</w:t>
            </w:r>
          </w:p>
          <w:p w14:paraId="6A525A58" w14:textId="2B6BAD51" w:rsidR="00E23A32" w:rsidRPr="00601F5B" w:rsidRDefault="00601F5B" w:rsidP="00E23A32">
            <w:pPr>
              <w:pStyle w:val="Caption"/>
              <w:rPr>
                <w:rFonts w:eastAsia="Calibri" w:cstheme="minorHAnsi"/>
                <w:sz w:val="20"/>
                <w:szCs w:val="20"/>
              </w:rPr>
            </w:pPr>
            <w:bookmarkStart w:id="28" w:name="_Ref77752679"/>
            <w:r w:rsidRPr="00601F5B">
              <w:rPr>
                <w:rFonts w:ascii="Calibri" w:eastAsia="Calibri" w:hAnsi="Calibri" w:cs="Calibri"/>
                <w:noProof/>
                <w:sz w:val="20"/>
                <w:szCs w:val="20"/>
              </w:rPr>
              <w:drawing>
                <wp:anchor distT="0" distB="0" distL="114300" distR="114300" simplePos="0" relativeHeight="251672576" behindDoc="0" locked="0" layoutInCell="1" allowOverlap="1" wp14:anchorId="44EB958A" wp14:editId="039FE528">
                  <wp:simplePos x="0" y="0"/>
                  <wp:positionH relativeFrom="margin">
                    <wp:posOffset>127000</wp:posOffset>
                  </wp:positionH>
                  <wp:positionV relativeFrom="paragraph">
                    <wp:posOffset>295910</wp:posOffset>
                  </wp:positionV>
                  <wp:extent cx="5314950" cy="3763010"/>
                  <wp:effectExtent l="0" t="0" r="19050" b="0"/>
                  <wp:wrapTopAndBottom/>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bookmarkEnd w:id="28"/>
            <w:r w:rsidR="002C40D9" w:rsidRPr="00601F5B">
              <w:rPr>
                <w:sz w:val="20"/>
                <w:szCs w:val="20"/>
              </w:rPr>
              <w:t>Decomposition of Home’s Exports to Partner</w:t>
            </w:r>
          </w:p>
          <w:p w14:paraId="232380C5" w14:textId="79D148A7" w:rsidR="00BC0E45" w:rsidRPr="00601F5B" w:rsidRDefault="00BC0E45" w:rsidP="00791320">
            <w:pPr>
              <w:pStyle w:val="NotesAbbreviations"/>
            </w:pPr>
            <w:r w:rsidRPr="00601F5B">
              <w:t>H = home, P = partner</w:t>
            </w:r>
          </w:p>
          <w:p w14:paraId="4111C7A7" w14:textId="4B4496FC" w:rsidR="00601F5B" w:rsidRPr="00601F5B" w:rsidRDefault="002C40D9" w:rsidP="00993DE9">
            <w:pPr>
              <w:pStyle w:val="NotesBottom"/>
            </w:pPr>
            <w:r w:rsidRPr="00601F5B">
              <w:t xml:space="preserve">Source: </w:t>
            </w:r>
            <w:r w:rsidR="003A0954" w:rsidRPr="00601F5B">
              <w:tab/>
            </w:r>
            <w:r w:rsidR="00993DE9" w:rsidRPr="00601F5B">
              <w:t xml:space="preserve">Asian Development Bank. 2021. </w:t>
            </w:r>
            <w:r w:rsidR="00993DE9" w:rsidRPr="00601F5B">
              <w:rPr>
                <w:i/>
                <w:iCs/>
              </w:rPr>
              <w:t>Key Indicators for Asia and the Pacific 2021</w:t>
            </w:r>
            <w:r w:rsidR="00993DE9" w:rsidRPr="00601F5B">
              <w:t xml:space="preserve">. Manila, Philippines: Asian Development Bank. </w:t>
            </w:r>
          </w:p>
          <w:p w14:paraId="57FBBA63" w14:textId="5ED2C5E3" w:rsidR="00E23A32" w:rsidRPr="00601F5B" w:rsidRDefault="003D4136" w:rsidP="00601F5B">
            <w:pPr>
              <w:pStyle w:val="Box"/>
              <w:rPr>
                <w:szCs w:val="20"/>
              </w:rPr>
            </w:pPr>
            <w:r w:rsidRPr="00601F5B">
              <w:rPr>
                <w:szCs w:val="20"/>
              </w:rPr>
              <w:t>DAVAX are exports of domestic value</w:t>
            </w:r>
            <w:r w:rsidR="00446460">
              <w:rPr>
                <w:szCs w:val="20"/>
              </w:rPr>
              <w:t xml:space="preserve"> </w:t>
            </w:r>
            <w:r w:rsidRPr="00601F5B">
              <w:rPr>
                <w:szCs w:val="20"/>
              </w:rPr>
              <w:t xml:space="preserve">added that are directly absorbed by the importer. </w:t>
            </w:r>
            <w:r w:rsidR="00691C07" w:rsidRPr="00601F5B">
              <w:rPr>
                <w:szCs w:val="20"/>
              </w:rPr>
              <w:t xml:space="preserve">It will be useful to </w:t>
            </w:r>
            <w:r w:rsidR="00C64EC3" w:rsidRPr="00601F5B">
              <w:rPr>
                <w:szCs w:val="20"/>
              </w:rPr>
              <w:t>sub</w:t>
            </w:r>
            <w:r w:rsidR="00691C07" w:rsidRPr="00601F5B">
              <w:rPr>
                <w:szCs w:val="20"/>
              </w:rPr>
              <w:t xml:space="preserve">divide this into DAVAX1 and DAVAX2, corresponding to exports of final goods and </w:t>
            </w:r>
            <w:r w:rsidR="008407A2" w:rsidRPr="00601F5B">
              <w:rPr>
                <w:szCs w:val="20"/>
              </w:rPr>
              <w:t xml:space="preserve">exports of </w:t>
            </w:r>
            <w:r w:rsidR="00691C07" w:rsidRPr="00601F5B">
              <w:rPr>
                <w:szCs w:val="20"/>
              </w:rPr>
              <w:t xml:space="preserve">intermediates, respectively. </w:t>
            </w:r>
            <w:r w:rsidRPr="00601F5B">
              <w:rPr>
                <w:szCs w:val="20"/>
              </w:rPr>
              <w:t>REX and REF are exports of domestic value</w:t>
            </w:r>
            <w:r w:rsidR="00446460">
              <w:rPr>
                <w:szCs w:val="20"/>
              </w:rPr>
              <w:t xml:space="preserve"> </w:t>
            </w:r>
            <w:r w:rsidRPr="00601F5B">
              <w:rPr>
                <w:szCs w:val="20"/>
              </w:rPr>
              <w:t xml:space="preserve">added that are reexported by the importer, to eventually be absorbed abroad (REX) or returned to and absorbed by the exporter (REF). </w:t>
            </w:r>
            <w:r w:rsidR="00311753" w:rsidRPr="00601F5B">
              <w:rPr>
                <w:szCs w:val="20"/>
              </w:rPr>
              <w:t>FVA are foreign value</w:t>
            </w:r>
            <w:r w:rsidR="00446460">
              <w:rPr>
                <w:szCs w:val="20"/>
              </w:rPr>
              <w:t xml:space="preserve"> </w:t>
            </w:r>
            <w:r w:rsidR="00311753" w:rsidRPr="00601F5B">
              <w:rPr>
                <w:szCs w:val="20"/>
              </w:rPr>
              <w:t xml:space="preserve">added embedded in exports, arising from the use of imported inputs. Finally, PDC are the </w:t>
            </w:r>
            <w:r w:rsidR="00311753" w:rsidRPr="00601F5B">
              <w:rPr>
                <w:szCs w:val="20"/>
              </w:rPr>
              <w:lastRenderedPageBreak/>
              <w:t xml:space="preserve">pure double-counting that results from value-added crossing the same border more than once. </w:t>
            </w:r>
            <w:r w:rsidR="00501E71" w:rsidRPr="00601F5B">
              <w:rPr>
                <w:szCs w:val="20"/>
              </w:rPr>
              <w:t xml:space="preserve">The levels, shares, and trends of each of these categories provide insights into an economy’s engagement </w:t>
            </w:r>
            <w:r w:rsidR="00037BFD" w:rsidRPr="00601F5B">
              <w:rPr>
                <w:szCs w:val="20"/>
              </w:rPr>
              <w:t>with</w:t>
            </w:r>
            <w:r w:rsidR="00501E71" w:rsidRPr="00601F5B">
              <w:rPr>
                <w:szCs w:val="20"/>
              </w:rPr>
              <w:t xml:space="preserve"> GVCs.</w:t>
            </w:r>
          </w:p>
          <w:p w14:paraId="437EA9C2" w14:textId="790F8243" w:rsidR="00E23A32" w:rsidRPr="00601F5B" w:rsidRDefault="00F9787F" w:rsidP="00601F5B">
            <w:pPr>
              <w:pStyle w:val="Box"/>
              <w:rPr>
                <w:szCs w:val="20"/>
              </w:rPr>
            </w:pPr>
            <w:r w:rsidRPr="00601F5B">
              <w:rPr>
                <w:szCs w:val="20"/>
              </w:rPr>
              <w:t xml:space="preserve">A useful statistic derived from this framework is the GVC participation rate. </w:t>
            </w:r>
            <w:r w:rsidR="00D64965" w:rsidRPr="00601F5B">
              <w:rPr>
                <w:szCs w:val="20"/>
              </w:rPr>
              <w:t xml:space="preserve">ADB (2021) identifies two approaches to measuring this. The trade-based approach, used among others by Hummels, Ishii, and Yi (2001) and </w:t>
            </w:r>
            <w:proofErr w:type="spellStart"/>
            <w:r w:rsidR="00D64965" w:rsidRPr="00601F5B">
              <w:rPr>
                <w:szCs w:val="20"/>
              </w:rPr>
              <w:t>Borin</w:t>
            </w:r>
            <w:proofErr w:type="spellEnd"/>
            <w:r w:rsidR="00D64965" w:rsidRPr="00601F5B">
              <w:rPr>
                <w:szCs w:val="20"/>
              </w:rPr>
              <w:t xml:space="preserve"> and Mancini (2019), </w:t>
            </w:r>
            <w:r w:rsidR="00D26A12" w:rsidRPr="00601F5B">
              <w:rPr>
                <w:szCs w:val="20"/>
              </w:rPr>
              <w:t>is computed as</w:t>
            </w:r>
          </w:p>
          <w:p w14:paraId="630540B8" w14:textId="12C1282C" w:rsidR="00D26A12" w:rsidRPr="00601F5B" w:rsidRDefault="00D26A12" w:rsidP="00601F5B">
            <w:pPr>
              <w:pStyle w:val="Box"/>
              <w:rPr>
                <w:szCs w:val="20"/>
              </w:rPr>
            </w:pPr>
            <m:oMathPara>
              <m:oMath>
                <m:r>
                  <w:rPr>
                    <w:rFonts w:ascii="Cambria Math" w:hAnsi="Cambria Math"/>
                    <w:szCs w:val="20"/>
                  </w:rPr>
                  <m:t>GVC</m:t>
                </m:r>
                <m:sSup>
                  <m:sSupPr>
                    <m:ctrlPr>
                      <w:rPr>
                        <w:rFonts w:ascii="Cambria Math" w:hAnsi="Cambria Math"/>
                        <w:i/>
                        <w:szCs w:val="20"/>
                      </w:rPr>
                    </m:ctrlPr>
                  </m:sSupPr>
                  <m:e>
                    <m:r>
                      <w:rPr>
                        <w:rFonts w:ascii="Cambria Math" w:hAnsi="Cambria Math"/>
                        <w:szCs w:val="20"/>
                      </w:rPr>
                      <m:t>P</m:t>
                    </m:r>
                  </m:e>
                  <m:sup>
                    <m:r>
                      <m:rPr>
                        <m:sty m:val="p"/>
                      </m:rPr>
                      <w:rPr>
                        <w:rFonts w:ascii="Cambria Math" w:hAnsi="Cambria Math"/>
                        <w:szCs w:val="20"/>
                      </w:rPr>
                      <m:t>Trade</m:t>
                    </m:r>
                  </m:sup>
                </m:sSup>
                <m:r>
                  <w:rPr>
                    <w:rFonts w:ascii="Cambria Math" w:hAnsi="Cambria Math"/>
                    <w:szCs w:val="20"/>
                  </w:rPr>
                  <m:t>=</m:t>
                </m:r>
                <m:f>
                  <m:fPr>
                    <m:ctrlPr>
                      <w:rPr>
                        <w:rFonts w:ascii="Cambria Math" w:hAnsi="Cambria Math"/>
                        <w:i/>
                        <w:szCs w:val="20"/>
                      </w:rPr>
                    </m:ctrlPr>
                  </m:fPr>
                  <m:num>
                    <m:r>
                      <w:rPr>
                        <w:rFonts w:ascii="Cambria Math" w:hAnsi="Cambria Math"/>
                        <w:szCs w:val="20"/>
                      </w:rPr>
                      <m:t>REX+REF</m:t>
                    </m:r>
                  </m:num>
                  <m:den>
                    <m:r>
                      <m:rPr>
                        <m:sty m:val="p"/>
                      </m:rPr>
                      <w:rPr>
                        <w:rFonts w:ascii="Cambria Math" w:hAnsi="Cambria Math"/>
                        <w:szCs w:val="20"/>
                      </w:rPr>
                      <m:t>Exports</m:t>
                    </m:r>
                  </m:den>
                </m:f>
                <m:r>
                  <w:rPr>
                    <w:rFonts w:ascii="Cambria Math" w:hAnsi="Cambria Math"/>
                    <w:szCs w:val="20"/>
                  </w:rPr>
                  <m:t>+</m:t>
                </m:r>
                <m:f>
                  <m:fPr>
                    <m:ctrlPr>
                      <w:rPr>
                        <w:rFonts w:ascii="Cambria Math" w:hAnsi="Cambria Math"/>
                        <w:i/>
                        <w:szCs w:val="20"/>
                      </w:rPr>
                    </m:ctrlPr>
                  </m:fPr>
                  <m:num>
                    <m:r>
                      <w:rPr>
                        <w:rFonts w:ascii="Cambria Math" w:hAnsi="Cambria Math"/>
                        <w:szCs w:val="20"/>
                      </w:rPr>
                      <m:t>FVA+PDC</m:t>
                    </m:r>
                  </m:num>
                  <m:den>
                    <m:r>
                      <m:rPr>
                        <m:sty m:val="p"/>
                      </m:rPr>
                      <w:rPr>
                        <w:rFonts w:ascii="Cambria Math" w:hAnsi="Cambria Math"/>
                        <w:szCs w:val="20"/>
                      </w:rPr>
                      <m:t>Exports</m:t>
                    </m:r>
                  </m:den>
                </m:f>
              </m:oMath>
            </m:oMathPara>
          </w:p>
          <w:p w14:paraId="172EE8F8" w14:textId="6D84A533" w:rsidR="007E2FE1" w:rsidRPr="00601F5B" w:rsidRDefault="007E2FE1" w:rsidP="00601F5B">
            <w:pPr>
              <w:pStyle w:val="Box"/>
              <w:rPr>
                <w:szCs w:val="20"/>
              </w:rPr>
            </w:pPr>
            <w:r w:rsidRPr="00601F5B">
              <w:rPr>
                <w:szCs w:val="20"/>
              </w:rPr>
              <w:t xml:space="preserve">This rate may be divided into a forward participation rate and a backward participation rate, given by the first and second terms respectively. </w:t>
            </w:r>
          </w:p>
          <w:p w14:paraId="14C28B51" w14:textId="670F71B3" w:rsidR="00691C07" w:rsidRPr="00601F5B" w:rsidRDefault="00691C07" w:rsidP="00601F5B">
            <w:pPr>
              <w:pStyle w:val="Box"/>
              <w:rPr>
                <w:szCs w:val="20"/>
              </w:rPr>
            </w:pPr>
            <w:r w:rsidRPr="00601F5B">
              <w:rPr>
                <w:szCs w:val="20"/>
              </w:rPr>
              <w:t>The second approach is due to Wang, Wei, Yu, and Zhu (2017). This production-based GVC participation rate is computed as</w:t>
            </w:r>
          </w:p>
          <w:p w14:paraId="5904C593" w14:textId="2C283A40" w:rsidR="00C964BD" w:rsidRPr="00E030CD" w:rsidRDefault="00691C07" w:rsidP="00E030CD">
            <w:pPr>
              <w:pStyle w:val="Box"/>
              <w:rPr>
                <w:szCs w:val="20"/>
              </w:rPr>
            </w:pPr>
            <m:oMathPara>
              <m:oMath>
                <m:r>
                  <w:rPr>
                    <w:rFonts w:ascii="Cambria Math" w:hAnsi="Cambria Math"/>
                    <w:szCs w:val="20"/>
                  </w:rPr>
                  <m:t>GVC</m:t>
                </m:r>
                <m:sSup>
                  <m:sSupPr>
                    <m:ctrlPr>
                      <w:rPr>
                        <w:rFonts w:ascii="Cambria Math" w:hAnsi="Cambria Math"/>
                        <w:i/>
                        <w:szCs w:val="20"/>
                      </w:rPr>
                    </m:ctrlPr>
                  </m:sSupPr>
                  <m:e>
                    <m:r>
                      <w:rPr>
                        <w:rFonts w:ascii="Cambria Math" w:hAnsi="Cambria Math"/>
                        <w:szCs w:val="20"/>
                      </w:rPr>
                      <m:t>P</m:t>
                    </m:r>
                  </m:e>
                  <m:sup>
                    <m:r>
                      <m:rPr>
                        <m:sty m:val="p"/>
                      </m:rPr>
                      <w:rPr>
                        <w:rFonts w:ascii="Cambria Math" w:hAnsi="Cambria Math"/>
                        <w:szCs w:val="20"/>
                      </w:rPr>
                      <m:t>Production</m:t>
                    </m:r>
                  </m:sup>
                </m:sSup>
                <m:r>
                  <w:rPr>
                    <w:rFonts w:ascii="Cambria Math" w:hAnsi="Cambria Math"/>
                    <w:szCs w:val="20"/>
                  </w:rPr>
                  <m:t>=</m:t>
                </m:r>
                <m:f>
                  <m:fPr>
                    <m:ctrlPr>
                      <w:rPr>
                        <w:rFonts w:ascii="Cambria Math" w:hAnsi="Cambria Math"/>
                        <w:i/>
                        <w:szCs w:val="20"/>
                      </w:rPr>
                    </m:ctrlPr>
                  </m:fPr>
                  <m:num>
                    <m:r>
                      <w:rPr>
                        <w:rFonts w:ascii="Cambria Math" w:hAnsi="Cambria Math"/>
                        <w:szCs w:val="20"/>
                      </w:rPr>
                      <m:t>DAVAX2+REX+REF</m:t>
                    </m:r>
                  </m:num>
                  <m:den>
                    <m:r>
                      <w:rPr>
                        <w:rFonts w:ascii="Cambria Math" w:hAnsi="Cambria Math"/>
                        <w:szCs w:val="20"/>
                      </w:rPr>
                      <m:t>Value added</m:t>
                    </m:r>
                  </m:den>
                </m:f>
                <m:r>
                  <w:rPr>
                    <w:rFonts w:ascii="Cambria Math" w:hAnsi="Cambria Math"/>
                    <w:szCs w:val="20"/>
                  </w:rPr>
                  <m:t>.</m:t>
                </m:r>
              </m:oMath>
            </m:oMathPara>
          </w:p>
          <w:p w14:paraId="514CF92B" w14:textId="5D8112CA" w:rsidR="00A035EA" w:rsidRPr="00A035EA" w:rsidRDefault="00A035EA" w:rsidP="00601F5B">
            <w:pPr>
              <w:pStyle w:val="BoxReferences"/>
              <w:rPr>
                <w:b/>
                <w:bCs/>
              </w:rPr>
            </w:pPr>
            <w:r w:rsidRPr="00A035EA">
              <w:rPr>
                <w:b/>
                <w:bCs/>
              </w:rPr>
              <w:t>References</w:t>
            </w:r>
          </w:p>
          <w:p w14:paraId="77AD7F71" w14:textId="2197D64B" w:rsidR="00532EC5" w:rsidRPr="00601F5B" w:rsidRDefault="00532EC5" w:rsidP="00601F5B">
            <w:pPr>
              <w:pStyle w:val="BoxReferences"/>
            </w:pPr>
            <w:r w:rsidRPr="00601F5B">
              <w:t>Asian Development Ban</w:t>
            </w:r>
            <w:r w:rsidR="003C797D" w:rsidRPr="00601F5B">
              <w:t>k</w:t>
            </w:r>
            <w:r w:rsidRPr="00601F5B">
              <w:t xml:space="preserve">. 2021. </w:t>
            </w:r>
            <w:r w:rsidRPr="00601F5B">
              <w:rPr>
                <w:i/>
                <w:iCs/>
              </w:rPr>
              <w:t>Key Indicators for Asia and the Pacific 2021</w:t>
            </w:r>
            <w:r w:rsidRPr="00601F5B">
              <w:t xml:space="preserve">. Manila, Philippines: Asian Development Bank. </w:t>
            </w:r>
          </w:p>
          <w:p w14:paraId="1B48B968" w14:textId="30BE8A13" w:rsidR="00532EC5" w:rsidRPr="00601F5B" w:rsidRDefault="00532EC5" w:rsidP="00601F5B">
            <w:pPr>
              <w:pStyle w:val="BoxReferences"/>
            </w:pPr>
            <w:r w:rsidRPr="00601F5B">
              <w:t xml:space="preserve">A. </w:t>
            </w:r>
            <w:proofErr w:type="spellStart"/>
            <w:r w:rsidRPr="00601F5B">
              <w:t>Borin</w:t>
            </w:r>
            <w:proofErr w:type="spellEnd"/>
            <w:r w:rsidRPr="00601F5B">
              <w:t xml:space="preserve"> and M. Mancini. 2019. Measuring What Matters in Global Value Chains and Value-Added Trade. </w:t>
            </w:r>
            <w:r w:rsidRPr="00601F5B">
              <w:rPr>
                <w:i/>
                <w:iCs/>
              </w:rPr>
              <w:t>Policy Research Working Paper No. 8804</w:t>
            </w:r>
            <w:r w:rsidRPr="00601F5B">
              <w:t xml:space="preserve">. Washington, DC: World Bank. </w:t>
            </w:r>
          </w:p>
          <w:p w14:paraId="50467F65" w14:textId="77777777" w:rsidR="001F77F3" w:rsidRPr="00601F5B" w:rsidRDefault="001F77F3" w:rsidP="00601F5B">
            <w:pPr>
              <w:pStyle w:val="BoxReferences"/>
            </w:pPr>
            <w:r w:rsidRPr="00601F5B">
              <w:t xml:space="preserve">D. Hummels, J. Ishii, and K. M. Yi. 2001. The Nature and Growth of Vertical Specialization in World Trade. </w:t>
            </w:r>
            <w:r w:rsidRPr="00601F5B">
              <w:rPr>
                <w:i/>
                <w:iCs/>
              </w:rPr>
              <w:t>Journal of International Economics</w:t>
            </w:r>
            <w:r w:rsidRPr="00601F5B">
              <w:t>. 54. pp. 75–96.</w:t>
            </w:r>
          </w:p>
          <w:p w14:paraId="23B8608D" w14:textId="77777777" w:rsidR="00B35725" w:rsidRPr="00601F5B" w:rsidRDefault="00532EC5" w:rsidP="00601F5B">
            <w:pPr>
              <w:pStyle w:val="BoxReferences"/>
            </w:pPr>
            <w:r w:rsidRPr="00601F5B">
              <w:t xml:space="preserve">R. Koopman, Z. Wang, and S. Wei. 2014. Tracing Value-Added and Double Counting in Gross Exports. </w:t>
            </w:r>
            <w:r w:rsidRPr="00601F5B">
              <w:rPr>
                <w:i/>
                <w:iCs/>
              </w:rPr>
              <w:t>American Economic Review</w:t>
            </w:r>
            <w:r w:rsidRPr="00601F5B">
              <w:t>. 104 (2). pp. 459–494.</w:t>
            </w:r>
          </w:p>
          <w:p w14:paraId="372DD6F2" w14:textId="0D91953D" w:rsidR="005C57C6" w:rsidRPr="005C57C6" w:rsidRDefault="005C57C6" w:rsidP="00601F5B">
            <w:pPr>
              <w:pStyle w:val="BoxReferences"/>
            </w:pPr>
            <w:r w:rsidRPr="00601F5B">
              <w:t xml:space="preserve">Z. Wang, S. Wei, X. Yu, and K. Zhu. 2017. Measures of Participation in Global Value Chains and Global Business Cycles. </w:t>
            </w:r>
            <w:r w:rsidRPr="00601F5B">
              <w:rPr>
                <w:i/>
                <w:iCs/>
              </w:rPr>
              <w:t>NBER Working Paper No. 23222</w:t>
            </w:r>
            <w:r w:rsidRPr="00601F5B">
              <w:t>. Cambridge, MA: National Bureau of Economic Research.</w:t>
            </w:r>
          </w:p>
        </w:tc>
      </w:tr>
    </w:tbl>
    <w:p w14:paraId="48983B0C" w14:textId="77777777" w:rsidR="00D26A12" w:rsidRDefault="00D26A12" w:rsidP="00870F65">
      <w:pPr>
        <w:rPr>
          <w:rFonts w:eastAsia="Calibri" w:cstheme="minorHAnsi"/>
          <w:color w:val="000000" w:themeColor="text1"/>
          <w:szCs w:val="22"/>
        </w:rPr>
      </w:pPr>
    </w:p>
    <w:p w14:paraId="43EECD43" w14:textId="30B8513D" w:rsidR="00E27C43" w:rsidRDefault="009B4B66" w:rsidP="00870F65">
      <w:pPr>
        <w:rPr>
          <w:rFonts w:eastAsia="Calibri" w:cstheme="minorHAnsi"/>
          <w:color w:val="000000" w:themeColor="text1"/>
          <w:szCs w:val="22"/>
        </w:rPr>
      </w:pPr>
      <w:r>
        <w:rPr>
          <w:rFonts w:eastAsia="Calibri" w:cstheme="minorHAnsi"/>
          <w:color w:val="000000" w:themeColor="text1"/>
          <w:szCs w:val="22"/>
        </w:rPr>
        <w:fldChar w:fldCharType="begin"/>
      </w:r>
      <w:r>
        <w:rPr>
          <w:rFonts w:eastAsia="Calibri" w:cstheme="minorHAnsi"/>
          <w:color w:val="000000" w:themeColor="text1"/>
          <w:szCs w:val="22"/>
        </w:rPr>
        <w:instrText xml:space="preserve"> REF _Ref77745389 </w:instrText>
      </w:r>
      <w:r>
        <w:rPr>
          <w:rFonts w:eastAsia="Calibri" w:cstheme="minorHAnsi"/>
          <w:color w:val="000000" w:themeColor="text1"/>
          <w:szCs w:val="22"/>
        </w:rPr>
        <w:fldChar w:fldCharType="separate"/>
      </w:r>
      <w:r w:rsidR="00D57A44">
        <w:t xml:space="preserve">Figure </w:t>
      </w:r>
      <w:r w:rsidR="00D57A44">
        <w:rPr>
          <w:noProof/>
          <w:cs/>
        </w:rPr>
        <w:t>‎</w:t>
      </w:r>
      <w:r w:rsidR="00D57A44">
        <w:rPr>
          <w:noProof/>
        </w:rPr>
        <w:t>3</w:t>
      </w:r>
      <w:r w:rsidR="00D57A44">
        <w:t>.</w:t>
      </w:r>
      <w:r w:rsidR="00D57A44">
        <w:rPr>
          <w:noProof/>
        </w:rPr>
        <w:t>1</w:t>
      </w:r>
      <w:r>
        <w:rPr>
          <w:rFonts w:eastAsia="Calibri" w:cstheme="minorHAnsi"/>
          <w:color w:val="000000" w:themeColor="text1"/>
          <w:szCs w:val="22"/>
        </w:rPr>
        <w:fldChar w:fldCharType="end"/>
      </w:r>
      <w:r>
        <w:rPr>
          <w:rFonts w:eastAsia="Calibri" w:cstheme="minorHAnsi"/>
          <w:color w:val="000000" w:themeColor="text1"/>
          <w:szCs w:val="22"/>
        </w:rPr>
        <w:t xml:space="preserve"> presents the deco</w:t>
      </w:r>
      <w:r w:rsidRPr="00E030CD">
        <w:rPr>
          <w:rFonts w:eastAsia="Calibri" w:cstheme="minorHAnsi"/>
          <w:szCs w:val="22"/>
        </w:rPr>
        <w:t xml:space="preserve">mposition of </w:t>
      </w:r>
      <w:r w:rsidR="00D9006C" w:rsidRPr="00E030CD">
        <w:rPr>
          <w:rFonts w:eastAsia="Calibri" w:cstheme="minorHAnsi"/>
          <w:szCs w:val="22"/>
        </w:rPr>
        <w:t>Kazakhstan</w:t>
      </w:r>
      <w:r w:rsidRPr="00E030CD">
        <w:rPr>
          <w:rFonts w:eastAsia="Calibri" w:cstheme="minorHAnsi"/>
          <w:szCs w:val="22"/>
        </w:rPr>
        <w:t xml:space="preserve">’s exports into the five categories described. </w:t>
      </w:r>
      <w:r w:rsidR="000353D2" w:rsidRPr="00E030CD">
        <w:rPr>
          <w:rFonts w:eastAsia="Calibri" w:cstheme="minorHAnsi"/>
          <w:szCs w:val="22"/>
        </w:rPr>
        <w:t xml:space="preserve">DAVAX, </w:t>
      </w:r>
      <w:r w:rsidR="00954EED" w:rsidRPr="00E030CD">
        <w:rPr>
          <w:rFonts w:eastAsia="Calibri" w:cstheme="minorHAnsi"/>
          <w:szCs w:val="22"/>
        </w:rPr>
        <w:t xml:space="preserve">also called direct </w:t>
      </w:r>
      <w:r w:rsidR="000353D2" w:rsidRPr="00E030CD">
        <w:rPr>
          <w:rFonts w:eastAsia="Calibri" w:cstheme="minorHAnsi"/>
          <w:szCs w:val="22"/>
        </w:rPr>
        <w:t>trad</w:t>
      </w:r>
      <w:r w:rsidR="00954EED" w:rsidRPr="00E030CD">
        <w:rPr>
          <w:rFonts w:eastAsia="Calibri" w:cstheme="minorHAnsi"/>
          <w:szCs w:val="22"/>
        </w:rPr>
        <w:t>ing</w:t>
      </w:r>
      <w:r w:rsidR="00E030CD" w:rsidRPr="00E030CD">
        <w:rPr>
          <w:rFonts w:eastAsia="Calibri" w:cstheme="minorHAnsi"/>
          <w:szCs w:val="22"/>
        </w:rPr>
        <w:t>, takes up a little over half of total exports in any given year</w:t>
      </w:r>
      <w:r w:rsidR="000353D2" w:rsidRPr="00E030CD">
        <w:rPr>
          <w:rFonts w:eastAsia="Calibri" w:cstheme="minorHAnsi"/>
          <w:szCs w:val="22"/>
        </w:rPr>
        <w:t xml:space="preserve">. </w:t>
      </w:r>
      <w:r w:rsidR="00E030CD">
        <w:rPr>
          <w:rFonts w:eastAsia="Calibri" w:cstheme="minorHAnsi"/>
          <w:szCs w:val="22"/>
        </w:rPr>
        <w:t xml:space="preserve">This is the portion of exports whose value added originates solely </w:t>
      </w:r>
      <w:r w:rsidR="006A2A30">
        <w:rPr>
          <w:rFonts w:eastAsia="Calibri" w:cstheme="minorHAnsi"/>
          <w:szCs w:val="22"/>
        </w:rPr>
        <w:t>from</w:t>
      </w:r>
      <w:r w:rsidR="00E030CD">
        <w:rPr>
          <w:rFonts w:eastAsia="Calibri" w:cstheme="minorHAnsi"/>
          <w:szCs w:val="22"/>
        </w:rPr>
        <w:t xml:space="preserve"> Kazakhstan and is finally consumed by the direct importer without passing through any further production stages in some third country. </w:t>
      </w:r>
      <w:r w:rsidR="002170B8" w:rsidRPr="00E030CD">
        <w:rPr>
          <w:rFonts w:eastAsia="Calibri" w:cstheme="minorHAnsi"/>
          <w:szCs w:val="22"/>
        </w:rPr>
        <w:t>In 202</w:t>
      </w:r>
      <w:r w:rsidR="00E030CD" w:rsidRPr="00E030CD">
        <w:rPr>
          <w:rFonts w:eastAsia="Calibri" w:cstheme="minorHAnsi"/>
          <w:szCs w:val="22"/>
        </w:rPr>
        <w:t>2</w:t>
      </w:r>
      <w:r w:rsidR="002170B8" w:rsidRPr="00E030CD">
        <w:rPr>
          <w:rFonts w:eastAsia="Calibri" w:cstheme="minorHAnsi"/>
          <w:szCs w:val="22"/>
        </w:rPr>
        <w:t xml:space="preserve">, </w:t>
      </w:r>
      <w:r w:rsidR="006A2A30">
        <w:rPr>
          <w:rFonts w:eastAsia="Calibri" w:cstheme="minorHAnsi"/>
          <w:szCs w:val="22"/>
        </w:rPr>
        <w:t xml:space="preserve">Kazakhstan's DAVAX exports </w:t>
      </w:r>
      <w:r w:rsidR="002170B8" w:rsidRPr="00E030CD">
        <w:rPr>
          <w:rFonts w:eastAsia="Calibri" w:cstheme="minorHAnsi"/>
          <w:szCs w:val="22"/>
        </w:rPr>
        <w:t>amounted to $</w:t>
      </w:r>
      <w:r w:rsidR="00E030CD" w:rsidRPr="00E030CD">
        <w:rPr>
          <w:rFonts w:eastAsia="Calibri" w:cstheme="minorHAnsi"/>
          <w:szCs w:val="22"/>
        </w:rPr>
        <w:t>35.6</w:t>
      </w:r>
      <w:r w:rsidR="002170B8" w:rsidRPr="00E030CD">
        <w:rPr>
          <w:rFonts w:eastAsia="Calibri" w:cstheme="minorHAnsi"/>
          <w:szCs w:val="22"/>
        </w:rPr>
        <w:t xml:space="preserve"> billion against gross exports of $</w:t>
      </w:r>
      <w:r w:rsidR="00E030CD" w:rsidRPr="00E030CD">
        <w:rPr>
          <w:rFonts w:eastAsia="Calibri" w:cstheme="minorHAnsi"/>
          <w:szCs w:val="22"/>
        </w:rPr>
        <w:t>66.8</w:t>
      </w:r>
      <w:r w:rsidR="002170B8" w:rsidRPr="00E030CD">
        <w:rPr>
          <w:rFonts w:eastAsia="Calibri" w:cstheme="minorHAnsi"/>
          <w:szCs w:val="22"/>
        </w:rPr>
        <w:t xml:space="preserve"> billion. </w:t>
      </w:r>
      <w:r w:rsidR="00E030CD">
        <w:rPr>
          <w:rFonts w:eastAsia="Calibri" w:cstheme="minorHAnsi"/>
          <w:szCs w:val="22"/>
        </w:rPr>
        <w:t xml:space="preserve">This is nearly unchanged from pre-pandemic, pre-Russian invasion figures from 2019, which </w:t>
      </w:r>
      <w:r w:rsidR="006A2A30">
        <w:rPr>
          <w:rFonts w:eastAsia="Calibri" w:cstheme="minorHAnsi"/>
          <w:szCs w:val="22"/>
        </w:rPr>
        <w:t xml:space="preserve">stood at </w:t>
      </w:r>
      <w:r w:rsidR="00E030CD">
        <w:rPr>
          <w:rFonts w:eastAsia="Calibri" w:cstheme="minorHAnsi"/>
          <w:szCs w:val="22"/>
        </w:rPr>
        <w:t>$35.5 billion and $63.4 billion respectively.</w:t>
      </w:r>
    </w:p>
    <w:p w14:paraId="2C14280D" w14:textId="5EDB085E" w:rsidR="004B1C60" w:rsidRDefault="004B1C60" w:rsidP="004B1C60">
      <w:r>
        <w:t xml:space="preserve">The remaining portion of exports may then be called indirect </w:t>
      </w:r>
      <w:r w:rsidRPr="006A2A30">
        <w:t xml:space="preserve">trading. For </w:t>
      </w:r>
      <w:r w:rsidR="00D9006C" w:rsidRPr="006A2A30">
        <w:t>Kazakhstan</w:t>
      </w:r>
      <w:r w:rsidRPr="006A2A30">
        <w:t xml:space="preserve">, only the REX and FVA categories are significant. </w:t>
      </w:r>
      <w:r w:rsidR="006A2A30" w:rsidRPr="006A2A30">
        <w:t xml:space="preserve">REX exports </w:t>
      </w:r>
      <w:r w:rsidRPr="006A2A30">
        <w:t xml:space="preserve">indicate the continued flow of </w:t>
      </w:r>
      <w:r w:rsidR="006A2A30" w:rsidRPr="006A2A30">
        <w:t xml:space="preserve">Kazakh </w:t>
      </w:r>
      <w:r w:rsidRPr="006A2A30">
        <w:t>value</w:t>
      </w:r>
      <w:r w:rsidR="00990E00" w:rsidRPr="006A2A30">
        <w:t xml:space="preserve"> </w:t>
      </w:r>
      <w:r w:rsidRPr="006A2A30">
        <w:t xml:space="preserve">added down the </w:t>
      </w:r>
      <w:r w:rsidR="006A2A30" w:rsidRPr="006A2A30">
        <w:t xml:space="preserve">production </w:t>
      </w:r>
      <w:r w:rsidRPr="006A2A30">
        <w:t xml:space="preserve">chain and is thus a measure of forward integration. </w:t>
      </w:r>
      <w:r w:rsidR="006A2A30" w:rsidRPr="006A2A30">
        <w:t>FVA exports, meanwhile, i</w:t>
      </w:r>
      <w:r w:rsidRPr="006A2A30">
        <w:t xml:space="preserve">ndicate the extent of imported inputs embedded in </w:t>
      </w:r>
      <w:r w:rsidR="006A2A30" w:rsidRPr="006A2A30">
        <w:t>Kazakhstan</w:t>
      </w:r>
      <w:r w:rsidRPr="006A2A30">
        <w:t>’s exports and is thus a measure of backward integration. In 202</w:t>
      </w:r>
      <w:r w:rsidR="006A2A30" w:rsidRPr="006A2A30">
        <w:t>2</w:t>
      </w:r>
      <w:r w:rsidRPr="006A2A30">
        <w:t xml:space="preserve">, REX amounted </w:t>
      </w:r>
      <w:r w:rsidRPr="006A2A30">
        <w:lastRenderedPageBreak/>
        <w:t>to $</w:t>
      </w:r>
      <w:r w:rsidR="006A2A30" w:rsidRPr="006A2A30">
        <w:t>25.0.</w:t>
      </w:r>
      <w:r w:rsidRPr="006A2A30">
        <w:t xml:space="preserve"> billion while FVA amounted to $</w:t>
      </w:r>
      <w:r w:rsidR="006A2A30" w:rsidRPr="006A2A30">
        <w:t>6.1</w:t>
      </w:r>
      <w:r w:rsidRPr="006A2A30">
        <w:t xml:space="preserve"> billion. Total indirect trading, equal to the sum of REX, REF, FVA, and PDC, was </w:t>
      </w:r>
      <w:r w:rsidR="006A2A30" w:rsidRPr="006A2A30">
        <w:t>$31.2</w:t>
      </w:r>
      <w:r w:rsidRPr="006A2A30">
        <w:t xml:space="preserve"> billion. </w:t>
      </w:r>
    </w:p>
    <w:p w14:paraId="7D3B3C38" w14:textId="0493BB45" w:rsidR="00C14B30" w:rsidRDefault="00936726" w:rsidP="00C14B30">
      <w:pPr>
        <w:pStyle w:val="Caption"/>
        <w:rPr>
          <w:rFonts w:eastAsia="Calibri" w:cstheme="minorHAnsi"/>
          <w:szCs w:val="22"/>
        </w:rPr>
      </w:pPr>
      <w:bookmarkStart w:id="29" w:name="_Ref77745389"/>
      <w:bookmarkStart w:id="30" w:name="_Toc83849804"/>
      <w:r>
        <w:rPr>
          <w:rFonts w:eastAsia="Calibri" w:cstheme="minorHAnsi"/>
          <w:noProof/>
          <w:szCs w:val="22"/>
        </w:rPr>
        <w:drawing>
          <wp:anchor distT="0" distB="0" distL="114300" distR="114300" simplePos="0" relativeHeight="251744256" behindDoc="0" locked="0" layoutInCell="1" allowOverlap="1" wp14:anchorId="0B68CDF3" wp14:editId="7AE096E6">
            <wp:simplePos x="0" y="0"/>
            <wp:positionH relativeFrom="column">
              <wp:posOffset>10160</wp:posOffset>
            </wp:positionH>
            <wp:positionV relativeFrom="paragraph">
              <wp:posOffset>402994</wp:posOffset>
            </wp:positionV>
            <wp:extent cx="5731510" cy="3580765"/>
            <wp:effectExtent l="0" t="0" r="0" b="635"/>
            <wp:wrapSquare wrapText="bothSides"/>
            <wp:docPr id="1878285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85325" name="Picture 1878285325"/>
                    <pic:cNvPicPr/>
                  </pic:nvPicPr>
                  <pic:blipFill>
                    <a:blip r:embed="rId18">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C14B30">
        <w:t xml:space="preserve">Figure </w:t>
      </w:r>
      <w:fldSimple w:instr=" STYLEREF 1 \s ">
        <w:r w:rsidR="00D57A44">
          <w:rPr>
            <w:noProof/>
            <w:cs/>
          </w:rPr>
          <w:t>‎</w:t>
        </w:r>
        <w:r w:rsidR="00D57A44">
          <w:rPr>
            <w:noProof/>
          </w:rPr>
          <w:t>3</w:t>
        </w:r>
      </w:fldSimple>
      <w:r w:rsidR="003F26C2">
        <w:t>.</w:t>
      </w:r>
      <w:fldSimple w:instr=" SEQ Figure \* ARABIC \s 1 ">
        <w:r w:rsidR="00D57A44">
          <w:rPr>
            <w:noProof/>
          </w:rPr>
          <w:t>1</w:t>
        </w:r>
      </w:fldSimple>
      <w:bookmarkEnd w:id="29"/>
      <w:r w:rsidR="00C14B30">
        <w:t>: Decomposition of Exports</w:t>
      </w:r>
      <w:r w:rsidR="00561AA7">
        <w:t xml:space="preserve"> into Value-Added Categories</w:t>
      </w:r>
      <w:r w:rsidR="00C14B30">
        <w:t xml:space="preserve">, </w:t>
      </w:r>
      <w:r w:rsidR="00737D87">
        <w:t>Kazakhstan</w:t>
      </w:r>
      <w:r w:rsidR="000C0FA8">
        <w:t xml:space="preserve">, </w:t>
      </w:r>
      <w:r w:rsidR="00C14B30">
        <w:t>2000, 2007–202</w:t>
      </w:r>
      <w:bookmarkEnd w:id="30"/>
      <w:r w:rsidR="00737D87">
        <w:t>2</w:t>
      </w:r>
    </w:p>
    <w:p w14:paraId="43682247" w14:textId="73C1F795" w:rsidR="00A42B2E" w:rsidRDefault="00A42B2E" w:rsidP="000B2115">
      <w:pPr>
        <w:pStyle w:val="NotesAbbreviations"/>
      </w:pPr>
      <w:r>
        <w:t>GVC = global value chain</w:t>
      </w:r>
      <w:r w:rsidR="008D17E0">
        <w:t>.</w:t>
      </w:r>
    </w:p>
    <w:p w14:paraId="40BB4387" w14:textId="524A12F4" w:rsidR="00097608" w:rsidRDefault="00F6656D" w:rsidP="000B2115">
      <w:pPr>
        <w:pStyle w:val="Notes"/>
      </w:pPr>
      <w:r>
        <w:t>Note</w:t>
      </w:r>
      <w:r w:rsidR="004601D5">
        <w:t>s</w:t>
      </w:r>
      <w:r>
        <w:t xml:space="preserve">: </w:t>
      </w:r>
      <w:r w:rsidR="000B2115">
        <w:tab/>
      </w:r>
      <w:r w:rsidR="00A61171">
        <w:t>Gross exports</w:t>
      </w:r>
      <w:r w:rsidR="00990E1C">
        <w:t xml:space="preserve"> are</w:t>
      </w:r>
      <w:r w:rsidR="00A61171">
        <w:t xml:space="preserve"> decomposed using the methodology in </w:t>
      </w:r>
      <w:r w:rsidR="009920DC">
        <w:t xml:space="preserve">Asian Development Bank </w:t>
      </w:r>
      <w:r w:rsidR="00A61171">
        <w:t>(2021)</w:t>
      </w:r>
      <w:r w:rsidR="00392FBB">
        <w:t>.</w:t>
      </w:r>
      <w:r w:rsidR="00EA068F">
        <w:t xml:space="preserve"> DAVAX are directly absorbed domestic value</w:t>
      </w:r>
      <w:r w:rsidR="00F10671">
        <w:t>-</w:t>
      </w:r>
      <w:r w:rsidR="00EA068F">
        <w:t>added exports. REX are domestic value-added exports reexported by direct importer and eventually absorbed abroad. REF are domestic value</w:t>
      </w:r>
      <w:r w:rsidR="00F10671">
        <w:t>-</w:t>
      </w:r>
      <w:r w:rsidR="00EA068F">
        <w:t xml:space="preserve">added exports reexported by direct importer and eventually </w:t>
      </w:r>
      <w:r w:rsidR="00CB2DA5">
        <w:t xml:space="preserve">returned to and </w:t>
      </w:r>
      <w:r w:rsidR="00EA068F">
        <w:t>absorbed at home</w:t>
      </w:r>
      <w:r w:rsidR="00E51AD1">
        <w:t>.</w:t>
      </w:r>
      <w:r w:rsidR="002B429F">
        <w:t xml:space="preserve"> FVA are foreign value</w:t>
      </w:r>
      <w:r w:rsidR="009412ED">
        <w:t xml:space="preserve"> </w:t>
      </w:r>
      <w:r w:rsidR="002B429F">
        <w:t xml:space="preserve">added embedded in </w:t>
      </w:r>
      <w:r w:rsidR="00E923A1">
        <w:t xml:space="preserve">gross </w:t>
      </w:r>
      <w:r w:rsidR="002B429F">
        <w:t xml:space="preserve">exports. </w:t>
      </w:r>
      <w:r w:rsidR="00E923A1">
        <w:t>PDC are pure double-counting, a result of value</w:t>
      </w:r>
      <w:r w:rsidR="00067091">
        <w:t xml:space="preserve"> </w:t>
      </w:r>
      <w:r w:rsidR="00E923A1">
        <w:t xml:space="preserve">added crossing the same border more than </w:t>
      </w:r>
      <w:r w:rsidR="007B68A9">
        <w:t>once</w:t>
      </w:r>
      <w:r w:rsidR="00E923A1">
        <w:t xml:space="preserve">. </w:t>
      </w:r>
      <w:r w:rsidR="00A42B2E">
        <w:t>The box</w:t>
      </w:r>
      <w:r w:rsidR="006E36C8">
        <w:t>ed</w:t>
      </w:r>
      <w:r w:rsidR="00A42B2E">
        <w:t xml:space="preserve"> portion</w:t>
      </w:r>
      <w:r w:rsidR="006E36C8">
        <w:t>s</w:t>
      </w:r>
      <w:r w:rsidR="00A42B2E">
        <w:t xml:space="preserve"> measure global value chain</w:t>
      </w:r>
      <w:r w:rsidR="006C2C90">
        <w:t xml:space="preserve"> production</w:t>
      </w:r>
      <w:r w:rsidR="00A42B2E">
        <w:t xml:space="preserve"> according to Wang, Wei, Yu, and Zhu (2017). </w:t>
      </w:r>
    </w:p>
    <w:p w14:paraId="27C9F565" w14:textId="1689A125" w:rsidR="00E73DA6" w:rsidRDefault="00F6656D" w:rsidP="0052115A">
      <w:pPr>
        <w:pStyle w:val="NotesBottom"/>
      </w:pPr>
      <w:r>
        <w:t>Source</w:t>
      </w:r>
      <w:r w:rsidR="000B2115">
        <w:t>s</w:t>
      </w:r>
      <w:r>
        <w:t xml:space="preserve">: </w:t>
      </w:r>
      <w:r w:rsidR="000B2115">
        <w:tab/>
      </w:r>
      <w:r w:rsidR="00E13282" w:rsidRPr="00E13282">
        <w:t xml:space="preserve">Asian Development Bank. 2021. </w:t>
      </w:r>
      <w:r w:rsidR="00E13282" w:rsidRPr="00E13282">
        <w:rPr>
          <w:i/>
          <w:iCs/>
        </w:rPr>
        <w:t>Key Indicators for Asia and the Pacific 2021</w:t>
      </w:r>
      <w:r w:rsidR="00E13282" w:rsidRPr="00E13282">
        <w:t>. Manila, Philippines: Asian Development Bank</w:t>
      </w:r>
      <w:r w:rsidR="00E13282">
        <w:t xml:space="preserve">; </w:t>
      </w:r>
      <w:r w:rsidR="00626B9B" w:rsidRPr="00626B9B">
        <w:t xml:space="preserve">Z. Wang, S. Wei, X. Yu, and K. Zhu. 2017. Measures of Participation in Global Value Chains and Global Business Cycles. </w:t>
      </w:r>
      <w:r w:rsidR="00626B9B" w:rsidRPr="003808F5">
        <w:rPr>
          <w:i/>
          <w:iCs/>
        </w:rPr>
        <w:t>NBER Working Paper No. 23222</w:t>
      </w:r>
      <w:r w:rsidR="00626B9B" w:rsidRPr="00626B9B">
        <w:t>. Cambridge, MA: National Bureau of Economic Research</w:t>
      </w:r>
      <w:r w:rsidR="00626B9B">
        <w:t xml:space="preserve">; </w:t>
      </w:r>
      <w:r w:rsidR="00E13282">
        <w:t>Asian Development Bank</w:t>
      </w:r>
      <w:r w:rsidR="00F614BC">
        <w:t>.</w:t>
      </w:r>
      <w:r w:rsidR="00E13282">
        <w:t xml:space="preserve"> Multiregional Input–Output Database</w:t>
      </w:r>
      <w:r w:rsidR="00936726">
        <w:t xml:space="preserve"> (July 2023)</w:t>
      </w:r>
      <w:r w:rsidR="00E13282">
        <w:t>;</w:t>
      </w:r>
      <w:r w:rsidR="00E13282" w:rsidRPr="008F0425">
        <w:t xml:space="preserve"> </w:t>
      </w:r>
      <w:r w:rsidR="008F0425">
        <w:t>Asian Development Bank estimates.</w:t>
      </w:r>
    </w:p>
    <w:p w14:paraId="1F02A0C9" w14:textId="6D51CB32" w:rsidR="006A2A30" w:rsidRDefault="006A2A30" w:rsidP="0059666D">
      <w:r>
        <w:t xml:space="preserve">While the sum of REX, REF, FVA, and PDC—what we call indirect trade—comprise GVCs under the trade-based approach, all trade in intermediates comprise GVCs in the production-based approach (see </w:t>
      </w:r>
      <w:r>
        <w:fldChar w:fldCharType="begin"/>
      </w:r>
      <w:r>
        <w:instrText xml:space="preserve"> REF _Ref77751741 \h </w:instrText>
      </w:r>
      <w:r>
        <w:fldChar w:fldCharType="separate"/>
      </w:r>
      <w:r w:rsidRPr="009F0FF5">
        <w:t xml:space="preserve">Box </w:t>
      </w:r>
      <w:r>
        <w:rPr>
          <w:noProof/>
        </w:rPr>
        <w:t>3</w:t>
      </w:r>
      <w:r>
        <w:fldChar w:fldCharType="end"/>
      </w:r>
      <w:r>
        <w:t xml:space="preserve">). This is indicated in </w:t>
      </w:r>
      <w:r>
        <w:fldChar w:fldCharType="begin"/>
      </w:r>
      <w:r>
        <w:instrText xml:space="preserve"> REF _Ref77745389 \h </w:instrText>
      </w:r>
      <w:r>
        <w:fldChar w:fldCharType="separate"/>
      </w:r>
      <w:r>
        <w:t xml:space="preserve">Figure </w:t>
      </w:r>
      <w:r>
        <w:rPr>
          <w:noProof/>
          <w:cs/>
        </w:rPr>
        <w:t>‎</w:t>
      </w:r>
      <w:r>
        <w:rPr>
          <w:noProof/>
        </w:rPr>
        <w:t>3</w:t>
      </w:r>
      <w:r>
        <w:t>.</w:t>
      </w:r>
      <w:r>
        <w:rPr>
          <w:noProof/>
        </w:rPr>
        <w:t>1</w:t>
      </w:r>
      <w:r>
        <w:fldChar w:fldCharType="end"/>
      </w:r>
      <w:r>
        <w:t xml:space="preserve"> by the boxed regions, which are just indirect trade plus the portion of DAVAX that consist of intermediate exports. In this approach, almost all of Kazakhstan's exports are counted as GVCs. This is mainly because most of its exports consist of oil, which is used as an input to production. </w:t>
      </w:r>
    </w:p>
    <w:p w14:paraId="06BBFC7A" w14:textId="2530F056" w:rsidR="009E0391" w:rsidRDefault="00936726" w:rsidP="009E0391">
      <w:r>
        <w:t>Kazakhstan</w:t>
      </w:r>
      <w:r w:rsidR="000F2FE3">
        <w:t xml:space="preserve">’s top trading partners </w:t>
      </w:r>
      <w:r>
        <w:t xml:space="preserve">are </w:t>
      </w:r>
      <w:r w:rsidR="009E0391">
        <w:t>its two large neighbors</w:t>
      </w:r>
      <w:r>
        <w:t xml:space="preserve"> the People's Republic of China (PRC) and the Russian Federation</w:t>
      </w:r>
      <w:r w:rsidR="00B75F07">
        <w:t xml:space="preserve">, though the 2022 Russian invasion of Ukraine appears to have </w:t>
      </w:r>
      <w:r w:rsidR="009E0391">
        <w:t>brought Kazakhstan much closer to the PRC</w:t>
      </w:r>
      <w:r w:rsidR="00B75F07">
        <w:t xml:space="preserve">. </w:t>
      </w:r>
      <w:r w:rsidR="00B75F07">
        <w:fldChar w:fldCharType="begin"/>
      </w:r>
      <w:r w:rsidR="00B75F07">
        <w:instrText xml:space="preserve"> REF _Ref77768646 \h </w:instrText>
      </w:r>
      <w:r w:rsidR="00B75F07">
        <w:fldChar w:fldCharType="separate"/>
      </w:r>
      <w:r w:rsidR="00B75F07">
        <w:t xml:space="preserve">Figure </w:t>
      </w:r>
      <w:r w:rsidR="00B75F07">
        <w:rPr>
          <w:noProof/>
          <w:cs/>
        </w:rPr>
        <w:t>‎</w:t>
      </w:r>
      <w:r w:rsidR="00B75F07">
        <w:rPr>
          <w:noProof/>
        </w:rPr>
        <w:t>3</w:t>
      </w:r>
      <w:r w:rsidR="00B75F07">
        <w:t>.</w:t>
      </w:r>
      <w:r w:rsidR="00B75F07">
        <w:rPr>
          <w:noProof/>
        </w:rPr>
        <w:t>2</w:t>
      </w:r>
      <w:r w:rsidR="00B75F07">
        <w:fldChar w:fldCharType="end"/>
      </w:r>
      <w:r w:rsidR="00B75F07">
        <w:t xml:space="preserve"> shows that in 2021, 17.7% of exports went to the PRC</w:t>
      </w:r>
      <w:r w:rsidR="009E0391">
        <w:t xml:space="preserve"> while 13.0% went to the</w:t>
      </w:r>
      <w:r w:rsidR="00B75F07">
        <w:t xml:space="preserve"> Russian Federation</w:t>
      </w:r>
      <w:r w:rsidR="009E0391">
        <w:t xml:space="preserve">. </w:t>
      </w:r>
      <w:r w:rsidR="00B75F07">
        <w:t xml:space="preserve">The PRC's lead widened in 2022 as its share rose to 20.1% while the Russian Federation's share dropped to </w:t>
      </w:r>
      <w:r w:rsidR="00B75F07">
        <w:lastRenderedPageBreak/>
        <w:t xml:space="preserve">9.0%. This pattern is replicated when looking only at DAVAX, which is no surprise since DAVAX is the largest component of Kazakhstan's exports (see </w:t>
      </w:r>
      <w:r w:rsidR="00B75F07">
        <w:fldChar w:fldCharType="begin"/>
      </w:r>
      <w:r w:rsidR="00B75F07">
        <w:instrText xml:space="preserve"> REF _Ref77745389 \h </w:instrText>
      </w:r>
      <w:r w:rsidR="00B75F07">
        <w:fldChar w:fldCharType="separate"/>
      </w:r>
      <w:r w:rsidR="00B75F07">
        <w:t xml:space="preserve">Figure </w:t>
      </w:r>
      <w:r w:rsidR="00B75F07">
        <w:rPr>
          <w:noProof/>
          <w:cs/>
        </w:rPr>
        <w:t>‎</w:t>
      </w:r>
      <w:r w:rsidR="00B75F07">
        <w:rPr>
          <w:noProof/>
        </w:rPr>
        <w:t>3</w:t>
      </w:r>
      <w:r w:rsidR="00B75F07">
        <w:t>.</w:t>
      </w:r>
      <w:r w:rsidR="00B75F07">
        <w:rPr>
          <w:noProof/>
        </w:rPr>
        <w:t>1</w:t>
      </w:r>
      <w:r w:rsidR="00B75F07">
        <w:fldChar w:fldCharType="end"/>
      </w:r>
      <w:r w:rsidR="00B75F07">
        <w:t>).</w:t>
      </w:r>
      <w:r w:rsidR="009E0391" w:rsidRPr="009E0391">
        <w:t xml:space="preserve"> </w:t>
      </w:r>
      <w:r w:rsidR="009E0391">
        <w:t xml:space="preserve">For REX exports, or the portion of exports that go on to be reexported, Austria was Kazakhstan's top partner in 2021 with a 10.5% share, but this dropped to 6.3% in 2022. The PRC's share, meanwhile, rose from 9.6% to 11.5%; it has risen from third to first place. </w:t>
      </w:r>
    </w:p>
    <w:p w14:paraId="7218657B" w14:textId="72ACF7D3" w:rsidR="00F51ED9" w:rsidRDefault="00B55748" w:rsidP="00F51ED9">
      <w:pPr>
        <w:pStyle w:val="Caption"/>
      </w:pPr>
      <w:bookmarkStart w:id="31" w:name="_Ref77768646"/>
      <w:bookmarkStart w:id="32" w:name="_Toc83849805"/>
      <w:r>
        <w:rPr>
          <w:noProof/>
        </w:rPr>
        <w:drawing>
          <wp:anchor distT="0" distB="0" distL="114300" distR="114300" simplePos="0" relativeHeight="251745280" behindDoc="0" locked="0" layoutInCell="1" allowOverlap="1" wp14:anchorId="0AFF79C0" wp14:editId="36CB2CDA">
            <wp:simplePos x="0" y="0"/>
            <wp:positionH relativeFrom="column">
              <wp:posOffset>0</wp:posOffset>
            </wp:positionH>
            <wp:positionV relativeFrom="paragraph">
              <wp:posOffset>194310</wp:posOffset>
            </wp:positionV>
            <wp:extent cx="5731510" cy="3580765"/>
            <wp:effectExtent l="0" t="0" r="0" b="635"/>
            <wp:wrapSquare wrapText="bothSides"/>
            <wp:docPr id="2113954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54548" name="Picture 2113954548"/>
                    <pic:cNvPicPr/>
                  </pic:nvPicPr>
                  <pic:blipFill>
                    <a:blip r:embed="rId19">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F51ED9">
        <w:t xml:space="preserve">Figure </w:t>
      </w:r>
      <w:fldSimple w:instr=" STYLEREF 1 \s ">
        <w:r w:rsidR="00D57A44">
          <w:rPr>
            <w:noProof/>
            <w:cs/>
          </w:rPr>
          <w:t>‎</w:t>
        </w:r>
        <w:r w:rsidR="00D57A44">
          <w:rPr>
            <w:noProof/>
          </w:rPr>
          <w:t>3</w:t>
        </w:r>
      </w:fldSimple>
      <w:r w:rsidR="003F26C2">
        <w:t>.</w:t>
      </w:r>
      <w:fldSimple w:instr=" SEQ Figure \* ARABIC \s 1 ">
        <w:r w:rsidR="00D57A44">
          <w:rPr>
            <w:noProof/>
          </w:rPr>
          <w:t>2</w:t>
        </w:r>
      </w:fldSimple>
      <w:bookmarkEnd w:id="31"/>
      <w:r w:rsidR="00F51ED9">
        <w:t xml:space="preserve">: Top </w:t>
      </w:r>
      <w:r w:rsidR="00E720E3">
        <w:t xml:space="preserve">Ten </w:t>
      </w:r>
      <w:r w:rsidR="00F51ED9">
        <w:t>Trading Partners by Value</w:t>
      </w:r>
      <w:r w:rsidR="000E667B">
        <w:t xml:space="preserve"> </w:t>
      </w:r>
      <w:r w:rsidR="00F51ED9">
        <w:t xml:space="preserve">Added Category, </w:t>
      </w:r>
      <w:r w:rsidR="00D9006C">
        <w:t>Kazakhstan</w:t>
      </w:r>
      <w:r w:rsidR="00F51ED9">
        <w:t>, 202</w:t>
      </w:r>
      <w:bookmarkEnd w:id="32"/>
      <w:r w:rsidR="004D1875">
        <w:t>1</w:t>
      </w:r>
      <w:r w:rsidR="00C020C3">
        <w:t xml:space="preserve"> </w:t>
      </w:r>
      <w:r w:rsidR="001C41D7">
        <w:t>vs</w:t>
      </w:r>
      <w:r w:rsidR="00C020C3">
        <w:t xml:space="preserve"> 2022</w:t>
      </w:r>
    </w:p>
    <w:p w14:paraId="2CFA1061" w14:textId="43AAF7F0" w:rsidR="00F51ED9" w:rsidRDefault="00B55748" w:rsidP="000B2115">
      <w:pPr>
        <w:pStyle w:val="NotesAbbreviations"/>
      </w:pPr>
      <w:r>
        <w:t>AUT = Austria, BGR = Bulgaria, FRA = France</w:t>
      </w:r>
      <w:r w:rsidR="00F51ED9">
        <w:t xml:space="preserve">, GER = Germany, </w:t>
      </w:r>
      <w:r>
        <w:t xml:space="preserve">GRC = Greece, </w:t>
      </w:r>
      <w:r w:rsidR="00F51ED9">
        <w:t xml:space="preserve">ITA = Italy, JPN = Japan, </w:t>
      </w:r>
      <w:r>
        <w:t xml:space="preserve">KOR, MAL = Malaysia, </w:t>
      </w:r>
      <w:r w:rsidR="00F51ED9">
        <w:t xml:space="preserve">NET = Netherlands, PRC = People’s Republic of China, RUS = Russia, </w:t>
      </w:r>
      <w:r>
        <w:t xml:space="preserve">SIN = Singapore, </w:t>
      </w:r>
      <w:r w:rsidR="00F51ED9">
        <w:t>SPA = Spain, UKG = United Kingdom, USA = United States</w:t>
      </w:r>
      <w:r w:rsidR="00626460">
        <w:t xml:space="preserve">. </w:t>
      </w:r>
    </w:p>
    <w:p w14:paraId="105313E9" w14:textId="68E162E9" w:rsidR="00F51ED9" w:rsidRDefault="00F51ED9" w:rsidP="000B2115">
      <w:pPr>
        <w:pStyle w:val="Notes"/>
      </w:pPr>
      <w:r>
        <w:t xml:space="preserve">Notes: </w:t>
      </w:r>
      <w:r w:rsidR="000B2115">
        <w:tab/>
      </w:r>
      <w:r w:rsidR="00B55748">
        <w:t xml:space="preserve">Top ten are based on 2021 values. </w:t>
      </w:r>
      <w:r>
        <w:t>Gross exports are decomposed using the methodology in Asian Development Bank (2021).</w:t>
      </w:r>
      <w:r w:rsidRPr="0043125D">
        <w:t xml:space="preserve"> </w:t>
      </w:r>
      <w:r>
        <w:t>DAVAX are directly absorbed domestic value</w:t>
      </w:r>
      <w:r w:rsidR="000E667B">
        <w:t xml:space="preserve"> </w:t>
      </w:r>
      <w:r>
        <w:t>added exports. REX are domestic value</w:t>
      </w:r>
      <w:r w:rsidR="000E667B">
        <w:t xml:space="preserve"> </w:t>
      </w:r>
      <w:r>
        <w:t>added exports reexported by direct importer and eventually absorbed abroad. FVA are foreign value</w:t>
      </w:r>
      <w:r w:rsidR="001C41D7">
        <w:t xml:space="preserve"> </w:t>
      </w:r>
      <w:r>
        <w:t>added embedded in gross exports.</w:t>
      </w:r>
    </w:p>
    <w:p w14:paraId="10ED12BE" w14:textId="6AC3000E" w:rsidR="00230F01" w:rsidRDefault="00230F01" w:rsidP="00230F01">
      <w:pPr>
        <w:pStyle w:val="NotesBottom"/>
      </w:pPr>
      <w:r>
        <w:t xml:space="preserve">Sources: </w:t>
      </w:r>
      <w:r>
        <w:tab/>
      </w:r>
      <w:r w:rsidRPr="00E13282">
        <w:t xml:space="preserve">Asian Development Bank. 2021. </w:t>
      </w:r>
      <w:r w:rsidRPr="00E13282">
        <w:rPr>
          <w:i/>
          <w:iCs/>
        </w:rPr>
        <w:t>Key Indicators for Asia and the Pacific 2021</w:t>
      </w:r>
      <w:r w:rsidRPr="00E13282">
        <w:t>. Manila, Philippines: Asian Development Bank</w:t>
      </w:r>
      <w:r>
        <w:t>; Asian Development Bank</w:t>
      </w:r>
      <w:r w:rsidR="001C10D2">
        <w:t>.</w:t>
      </w:r>
      <w:r>
        <w:t xml:space="preserve"> Multiregional Input–Output Database</w:t>
      </w:r>
      <w:r w:rsidR="00C020C3">
        <w:t xml:space="preserve"> (July 2023</w:t>
      </w:r>
      <w:r>
        <w:t>);</w:t>
      </w:r>
      <w:r w:rsidRPr="008F0425">
        <w:t xml:space="preserve"> </w:t>
      </w:r>
      <w:r>
        <w:t>Asian Development Bank estimates.</w:t>
      </w:r>
    </w:p>
    <w:p w14:paraId="2A0FC0A8" w14:textId="1CFA15F6" w:rsidR="00B75F07" w:rsidRDefault="00F030DD" w:rsidP="008D17E0">
      <w:r>
        <w:t xml:space="preserve">One possible explanation for </w:t>
      </w:r>
      <w:r w:rsidR="009E0391">
        <w:t>the PRC's rise in importance in Kazakhstan's trade</w:t>
      </w:r>
      <w:r>
        <w:t xml:space="preserve"> can be seen in the foreign value added origins of Kazakhstan's exports. Rather than retreating, the Russian Federation's share here has risen dramatically from 7.9% to 33.9%. It is well known that the Russian Federation has moved closer economically to the PRC following Western sanctions (Wang 2023). Kazakhstan therefore appears to </w:t>
      </w:r>
      <w:r w:rsidR="009E0391">
        <w:t xml:space="preserve">have become a </w:t>
      </w:r>
      <w:r>
        <w:t>conduit through which Russian value added reaches the PRC.</w:t>
      </w:r>
      <w:r w:rsidR="009E0391">
        <w:t xml:space="preserve"> Nevertheless, the fact that FVA from the PRC also rose dramatically (from 8.9% in 2021 to 14.1% in 2022) speaks to a tightening integration between Kazakhstan and the PRC independent of the Russian Federation.</w:t>
      </w:r>
    </w:p>
    <w:p w14:paraId="7F5A4F7C" w14:textId="3B535B5F" w:rsidR="00BD2830" w:rsidRDefault="005E36FC" w:rsidP="008D17E0">
      <w:pPr>
        <w:rPr>
          <w:rFonts w:eastAsia="Calibri" w:cstheme="minorHAnsi"/>
          <w:color w:val="000000" w:themeColor="text1"/>
          <w:szCs w:val="22"/>
        </w:rPr>
      </w:pPr>
      <w:r>
        <w:t xml:space="preserve">Quantifying the importance of GVCs in </w:t>
      </w:r>
      <w:r w:rsidR="00D636C1">
        <w:t>Kazakhstan's</w:t>
      </w:r>
      <w:r>
        <w:t xml:space="preserve"> economy is the GVC participation rate</w:t>
      </w:r>
      <w:r w:rsidR="00D636C1">
        <w:t>, which is just the amount of GVC trade expressed as a share of some base</w:t>
      </w:r>
      <w:r>
        <w:t xml:space="preserve">. </w:t>
      </w:r>
      <w:r w:rsidR="00D636C1">
        <w:t>As mentioned briefly above, t</w:t>
      </w:r>
      <w:r>
        <w:t>wo approaches are possible: a trade-based approach</w:t>
      </w:r>
      <w:r w:rsidR="00D636C1">
        <w:t xml:space="preserve"> and a production-based </w:t>
      </w:r>
      <w:r w:rsidR="00D636C1">
        <w:lastRenderedPageBreak/>
        <w:t xml:space="preserve">approach. The trade-based participation rate divides indirect trade </w:t>
      </w:r>
      <w:r w:rsidR="004D1875">
        <w:t xml:space="preserve">by </w:t>
      </w:r>
      <w:r w:rsidR="00D636C1">
        <w:t xml:space="preserve">gross exports, thereby measuring the </w:t>
      </w:r>
      <w:r w:rsidR="00D636C1" w:rsidRPr="004D1875">
        <w:rPr>
          <w:i/>
          <w:iCs/>
        </w:rPr>
        <w:t>intensive</w:t>
      </w:r>
      <w:r w:rsidR="00D636C1">
        <w:t xml:space="preserve"> importance of GVCs. </w:t>
      </w:r>
      <w:r w:rsidR="004D1875">
        <w:t>It may further be divided into a forward and a backward participation rate, corresponding to the forward and backward integration into GVCs discussed above</w:t>
      </w:r>
      <w:r w:rsidR="004D1875" w:rsidRPr="00124E17">
        <w:t xml:space="preserve">. </w:t>
      </w:r>
      <w:r w:rsidR="00D636C1">
        <w:t xml:space="preserve">The </w:t>
      </w:r>
      <w:r>
        <w:t xml:space="preserve">production-based approach, </w:t>
      </w:r>
      <w:r w:rsidR="00D636C1">
        <w:t xml:space="preserve">meanwhile, </w:t>
      </w:r>
      <w:r w:rsidR="004D1875">
        <w:t xml:space="preserve">divides indirect plus intermediate trade with </w:t>
      </w:r>
      <w:r>
        <w:t>domestic value</w:t>
      </w:r>
      <w:r w:rsidR="00BA7F19">
        <w:t xml:space="preserve"> </w:t>
      </w:r>
      <w:r>
        <w:t xml:space="preserve">added (i.e. </w:t>
      </w:r>
      <w:r w:rsidR="007970F4">
        <w:t>gross domestic product or GDP</w:t>
      </w:r>
      <w:r>
        <w:t>)</w:t>
      </w:r>
      <w:r w:rsidR="004D1875">
        <w:t xml:space="preserve">, thereby measuring the </w:t>
      </w:r>
      <w:r w:rsidR="004D1875" w:rsidRPr="004D1875">
        <w:rPr>
          <w:i/>
          <w:iCs/>
        </w:rPr>
        <w:t>extensive</w:t>
      </w:r>
      <w:r w:rsidR="004D1875">
        <w:t xml:space="preserve"> importance of GVCs.</w:t>
      </w:r>
      <w:r>
        <w:t xml:space="preserve"> </w:t>
      </w:r>
      <w:r w:rsidR="00BA43C9">
        <w:t>More details on computing participation rates are p</w:t>
      </w:r>
      <w:r w:rsidR="004D1875">
        <w:t>r</w:t>
      </w:r>
      <w:r w:rsidR="00BA43C9">
        <w:t xml:space="preserve">ovided in </w:t>
      </w:r>
      <w:r w:rsidRPr="00124E17">
        <w:rPr>
          <w:rFonts w:eastAsia="Calibri" w:cstheme="minorHAnsi"/>
          <w:color w:val="000000" w:themeColor="text1"/>
          <w:szCs w:val="22"/>
        </w:rPr>
        <w:fldChar w:fldCharType="begin"/>
      </w:r>
      <w:r w:rsidRPr="00124E17">
        <w:rPr>
          <w:rFonts w:eastAsia="Calibri" w:cstheme="minorHAnsi"/>
          <w:color w:val="000000" w:themeColor="text1"/>
          <w:szCs w:val="22"/>
        </w:rPr>
        <w:instrText xml:space="preserve"> REF _Ref77751741 </w:instrText>
      </w:r>
      <w:r w:rsidR="00124E17" w:rsidRPr="00124E17">
        <w:rPr>
          <w:rFonts w:eastAsia="Calibri" w:cstheme="minorHAnsi"/>
          <w:color w:val="000000" w:themeColor="text1"/>
          <w:szCs w:val="22"/>
        </w:rPr>
        <w:instrText xml:space="preserve"> \* MERGEFORMAT </w:instrText>
      </w:r>
      <w:r w:rsidRPr="00124E17">
        <w:rPr>
          <w:rFonts w:eastAsia="Calibri" w:cstheme="minorHAnsi"/>
          <w:color w:val="000000" w:themeColor="text1"/>
          <w:szCs w:val="22"/>
        </w:rPr>
        <w:fldChar w:fldCharType="separate"/>
      </w:r>
      <w:r w:rsidR="00D57A44" w:rsidRPr="009F0FF5">
        <w:t xml:space="preserve">Box </w:t>
      </w:r>
      <w:r w:rsidR="00D57A44">
        <w:rPr>
          <w:noProof/>
        </w:rPr>
        <w:t>3</w:t>
      </w:r>
      <w:r w:rsidRPr="00124E17">
        <w:rPr>
          <w:rFonts w:eastAsia="Calibri" w:cstheme="minorHAnsi"/>
          <w:color w:val="000000" w:themeColor="text1"/>
          <w:szCs w:val="22"/>
        </w:rPr>
        <w:fldChar w:fldCharType="end"/>
      </w:r>
      <w:r>
        <w:rPr>
          <w:rFonts w:eastAsia="Calibri" w:cstheme="minorHAnsi"/>
          <w:color w:val="000000" w:themeColor="text1"/>
          <w:szCs w:val="22"/>
        </w:rPr>
        <w:t>.</w:t>
      </w:r>
    </w:p>
    <w:p w14:paraId="6E91E122" w14:textId="3F97A715" w:rsidR="004F2F8C" w:rsidRPr="004D1875" w:rsidRDefault="00716285" w:rsidP="00A219C0">
      <w:pPr>
        <w:rPr>
          <w:color w:val="FF0000"/>
        </w:rPr>
      </w:pPr>
      <w:r>
        <w:fldChar w:fldCharType="begin"/>
      </w:r>
      <w:r>
        <w:instrText xml:space="preserve"> REF _Ref77769841 </w:instrText>
      </w:r>
      <w:r w:rsidR="008D17E0">
        <w:instrText xml:space="preserve"> \* MERGEFORMAT </w:instrText>
      </w:r>
      <w:r>
        <w:fldChar w:fldCharType="separate"/>
      </w:r>
      <w:r w:rsidR="00D57A44">
        <w:t xml:space="preserve">Figure </w:t>
      </w:r>
      <w:r w:rsidR="00D57A44">
        <w:rPr>
          <w:noProof/>
          <w:cs/>
        </w:rPr>
        <w:t>‎</w:t>
      </w:r>
      <w:r w:rsidR="00D57A44">
        <w:rPr>
          <w:noProof/>
        </w:rPr>
        <w:t>3.3</w:t>
      </w:r>
      <w:r>
        <w:rPr>
          <w:noProof/>
        </w:rPr>
        <w:fldChar w:fldCharType="end"/>
      </w:r>
      <w:r w:rsidR="006B783E">
        <w:t xml:space="preserve"> looks at the historical trend in </w:t>
      </w:r>
      <w:r w:rsidR="004D1875">
        <w:t>Kazakhstan'</w:t>
      </w:r>
      <w:r w:rsidR="004D1875" w:rsidRPr="00EC2411">
        <w:t>s</w:t>
      </w:r>
      <w:r w:rsidR="005644DA" w:rsidRPr="00EC2411">
        <w:t xml:space="preserve"> </w:t>
      </w:r>
      <w:r w:rsidR="006B783E" w:rsidRPr="00EC2411">
        <w:t>participation rates while</w:t>
      </w:r>
      <w:r w:rsidR="00A219C0" w:rsidRPr="00EC2411">
        <w:t xml:space="preserve"> </w:t>
      </w:r>
      <w:fldSimple w:instr=" REF _Ref83841136 ">
        <w:r w:rsidR="00D57A44" w:rsidRPr="00EC2411">
          <w:t xml:space="preserve">Figure </w:t>
        </w:r>
        <w:r w:rsidR="00D57A44" w:rsidRPr="00EC2411">
          <w:rPr>
            <w:noProof/>
            <w:cs/>
          </w:rPr>
          <w:t>‎</w:t>
        </w:r>
        <w:r w:rsidR="00D57A44" w:rsidRPr="00EC2411">
          <w:rPr>
            <w:noProof/>
          </w:rPr>
          <w:t>3</w:t>
        </w:r>
        <w:r w:rsidR="00D57A44" w:rsidRPr="00EC2411">
          <w:t>.</w:t>
        </w:r>
        <w:r w:rsidR="00D57A44" w:rsidRPr="00EC2411">
          <w:rPr>
            <w:noProof/>
          </w:rPr>
          <w:t>4</w:t>
        </w:r>
      </w:fldSimple>
      <w:r w:rsidR="00167DDE" w:rsidRPr="00EC2411">
        <w:t xml:space="preserve"> </w:t>
      </w:r>
      <w:r w:rsidR="006B783E" w:rsidRPr="00EC2411">
        <w:t xml:space="preserve">compares these rates </w:t>
      </w:r>
      <w:r w:rsidR="000F4D32" w:rsidRPr="00EC2411">
        <w:t>with those of</w:t>
      </w:r>
      <w:r w:rsidR="006B783E" w:rsidRPr="00EC2411">
        <w:t xml:space="preserve"> </w:t>
      </w:r>
      <w:r w:rsidR="00265820" w:rsidRPr="00EC2411">
        <w:t>related</w:t>
      </w:r>
      <w:r w:rsidR="006B783E" w:rsidRPr="00EC2411">
        <w:t xml:space="preserve"> economies.</w:t>
      </w:r>
      <w:r w:rsidR="008415C6" w:rsidRPr="00EC2411">
        <w:t xml:space="preserve"> </w:t>
      </w:r>
      <w:r w:rsidR="00D21135" w:rsidRPr="00EC2411">
        <w:t xml:space="preserve">The fact that forward participation is much higher than backward participation in the trade-based approach implies that </w:t>
      </w:r>
      <w:r w:rsidR="00EC2411" w:rsidRPr="00EC2411">
        <w:t>Kazakhstan</w:t>
      </w:r>
      <w:r w:rsidR="00D21135" w:rsidRPr="00EC2411">
        <w:t xml:space="preserve"> tends to </w:t>
      </w:r>
      <w:r w:rsidR="009C775D" w:rsidRPr="00EC2411">
        <w:t xml:space="preserve">be situated at the more upstream sections of GVCs. That is, </w:t>
      </w:r>
      <w:r w:rsidR="00EC2411" w:rsidRPr="00EC2411">
        <w:t>Kazakhstan's</w:t>
      </w:r>
      <w:r w:rsidR="009C775D" w:rsidRPr="00EC2411">
        <w:t xml:space="preserve"> inputs </w:t>
      </w:r>
      <w:r w:rsidR="00EC2411" w:rsidRPr="00EC2411">
        <w:t xml:space="preserve">(mainly oil) </w:t>
      </w:r>
      <w:r w:rsidR="009C775D" w:rsidRPr="00EC2411">
        <w:t>are used by other e</w:t>
      </w:r>
      <w:r w:rsidR="005D082A" w:rsidRPr="00EC2411">
        <w:t>conomies</w:t>
      </w:r>
      <w:r w:rsidR="009C775D" w:rsidRPr="00EC2411">
        <w:t xml:space="preserve"> to a greater </w:t>
      </w:r>
      <w:r w:rsidR="006F13E5" w:rsidRPr="00EC2411">
        <w:t>degree than</w:t>
      </w:r>
      <w:r w:rsidR="009C775D" w:rsidRPr="00EC2411">
        <w:t xml:space="preserve"> other economies’ inputs</w:t>
      </w:r>
      <w:r w:rsidR="005D082A" w:rsidRPr="00EC2411">
        <w:t xml:space="preserve"> are used by </w:t>
      </w:r>
      <w:r w:rsidR="00EC2411" w:rsidRPr="00EC2411">
        <w:t>Kazakhstan</w:t>
      </w:r>
      <w:r w:rsidR="009C775D" w:rsidRPr="00EC2411">
        <w:t xml:space="preserve">. </w:t>
      </w:r>
      <w:r w:rsidR="00EC2411" w:rsidRPr="00EC2411">
        <w:t xml:space="preserve">As of 2022, the forward trade-based GVC participation rate stood at 37.5% while the backward rate was 9.2%. This gives an overall trade-based GVC participation rate of 46.7%, which as seen in </w:t>
      </w:r>
      <w:r w:rsidR="00EC2411" w:rsidRPr="00EC2411">
        <w:fldChar w:fldCharType="begin"/>
      </w:r>
      <w:r w:rsidR="00EC2411" w:rsidRPr="00EC2411">
        <w:instrText xml:space="preserve"> REF _Ref83841136 \h </w:instrText>
      </w:r>
      <w:r w:rsidR="00EC2411" w:rsidRPr="00EC2411">
        <w:fldChar w:fldCharType="separate"/>
      </w:r>
      <w:r w:rsidR="00EC2411" w:rsidRPr="00EC2411">
        <w:t xml:space="preserve">Figure </w:t>
      </w:r>
      <w:r w:rsidR="00EC2411" w:rsidRPr="00EC2411">
        <w:rPr>
          <w:noProof/>
          <w:cs/>
        </w:rPr>
        <w:t>‎</w:t>
      </w:r>
      <w:r w:rsidR="00EC2411" w:rsidRPr="00EC2411">
        <w:rPr>
          <w:noProof/>
        </w:rPr>
        <w:t>3</w:t>
      </w:r>
      <w:r w:rsidR="00EC2411" w:rsidRPr="00EC2411">
        <w:t>.</w:t>
      </w:r>
      <w:r w:rsidR="00EC2411" w:rsidRPr="00EC2411">
        <w:rPr>
          <w:noProof/>
        </w:rPr>
        <w:t>4</w:t>
      </w:r>
      <w:r w:rsidR="00EC2411" w:rsidRPr="00EC2411">
        <w:fldChar w:fldCharType="end"/>
      </w:r>
      <w:r w:rsidR="00EC2411" w:rsidRPr="00EC2411">
        <w:t>, is below the world average.</w:t>
      </w:r>
    </w:p>
    <w:p w14:paraId="3E1E5CAA" w14:textId="11B0BE29" w:rsidR="001F7AE3" w:rsidRDefault="001C41D7" w:rsidP="001F7AE3">
      <w:pPr>
        <w:pStyle w:val="Caption"/>
      </w:pPr>
      <w:bookmarkStart w:id="33" w:name="_Ref77769841"/>
      <w:bookmarkStart w:id="34" w:name="_Toc83849806"/>
      <w:r>
        <w:rPr>
          <w:noProof/>
        </w:rPr>
        <w:drawing>
          <wp:anchor distT="0" distB="0" distL="114300" distR="114300" simplePos="0" relativeHeight="251746304" behindDoc="0" locked="0" layoutInCell="1" allowOverlap="1" wp14:anchorId="4F6DC8C7" wp14:editId="2DD104D5">
            <wp:simplePos x="0" y="0"/>
            <wp:positionH relativeFrom="column">
              <wp:posOffset>0</wp:posOffset>
            </wp:positionH>
            <wp:positionV relativeFrom="paragraph">
              <wp:posOffset>202565</wp:posOffset>
            </wp:positionV>
            <wp:extent cx="5731510" cy="3226435"/>
            <wp:effectExtent l="0" t="0" r="0" b="0"/>
            <wp:wrapSquare wrapText="bothSides"/>
            <wp:docPr id="25831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1581" name="Picture 25831581"/>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14:sizeRelH relativeFrom="page">
              <wp14:pctWidth>0</wp14:pctWidth>
            </wp14:sizeRelH>
            <wp14:sizeRelV relativeFrom="page">
              <wp14:pctHeight>0</wp14:pctHeight>
            </wp14:sizeRelV>
          </wp:anchor>
        </w:drawing>
      </w:r>
      <w:r w:rsidR="001F7AE3">
        <w:t xml:space="preserve">Figure </w:t>
      </w:r>
      <w:fldSimple w:instr=" STYLEREF 1 \s ">
        <w:r w:rsidR="00D57A44">
          <w:rPr>
            <w:noProof/>
            <w:cs/>
          </w:rPr>
          <w:t>‎</w:t>
        </w:r>
        <w:r w:rsidR="00D57A44">
          <w:rPr>
            <w:noProof/>
          </w:rPr>
          <w:t>3</w:t>
        </w:r>
      </w:fldSimple>
      <w:r w:rsidR="003F26C2">
        <w:t>.</w:t>
      </w:r>
      <w:fldSimple w:instr=" SEQ Figure \* ARABIC \s 1 ">
        <w:r w:rsidR="00D57A44">
          <w:rPr>
            <w:noProof/>
          </w:rPr>
          <w:t>3</w:t>
        </w:r>
      </w:fldSimple>
      <w:bookmarkEnd w:id="33"/>
      <w:r w:rsidR="001F7AE3">
        <w:t xml:space="preserve">: Global Value Chain Participation Rates, </w:t>
      </w:r>
      <w:r>
        <w:t>Kazakhstan</w:t>
      </w:r>
      <w:r w:rsidR="000C0FA8">
        <w:t xml:space="preserve">, </w:t>
      </w:r>
      <w:r w:rsidR="001F7AE3">
        <w:t>2000, 2007–202</w:t>
      </w:r>
      <w:bookmarkEnd w:id="34"/>
      <w:r>
        <w:t>2</w:t>
      </w:r>
    </w:p>
    <w:p w14:paraId="0DB7B312" w14:textId="44878C4B" w:rsidR="00E961C2" w:rsidRDefault="00E961C2" w:rsidP="000B2115">
      <w:pPr>
        <w:pStyle w:val="Notes"/>
      </w:pPr>
      <w:r>
        <w:t xml:space="preserve">Notes: </w:t>
      </w:r>
      <w:r w:rsidR="000B2115">
        <w:tab/>
      </w:r>
      <w:r w:rsidR="001367C5">
        <w:t>Participation rates are</w:t>
      </w:r>
      <w:r>
        <w:t xml:space="preserve"> computed using the methodology in Asian Development Bank (2021).</w:t>
      </w:r>
      <w:r w:rsidR="001367C5">
        <w:t xml:space="preserve"> The forward trade-based participation rate is the share of domestic value-added exports re-exported by the direct importer in gross exports. The backward trade-based participation rate is the share of foreign value-added and pure double-counting in gross exports</w:t>
      </w:r>
      <w:r w:rsidR="0026067B">
        <w:t>. The production-based participation rate is the share of unfinished exports in gross exports.</w:t>
      </w:r>
    </w:p>
    <w:p w14:paraId="4BEBA3BE" w14:textId="3685C11B" w:rsidR="00B36AD0" w:rsidRDefault="00B36AD0" w:rsidP="00B36AD0">
      <w:pPr>
        <w:pStyle w:val="NotesBottom"/>
      </w:pPr>
      <w:bookmarkStart w:id="35" w:name="_Ref77773933"/>
      <w:r>
        <w:t xml:space="preserve">Sources: </w:t>
      </w:r>
      <w:r>
        <w:tab/>
      </w:r>
      <w:r w:rsidRPr="00E13282">
        <w:t xml:space="preserve">Asian Development Bank. 2021. </w:t>
      </w:r>
      <w:r w:rsidRPr="00E13282">
        <w:rPr>
          <w:i/>
          <w:iCs/>
        </w:rPr>
        <w:t>Key Indicators for Asia and the Pacific 2021</w:t>
      </w:r>
      <w:r w:rsidRPr="00E13282">
        <w:t>. Manila, Philippines: Asian Development Bank</w:t>
      </w:r>
      <w:r>
        <w:t xml:space="preserve">; Asian Development Bank. </w:t>
      </w:r>
      <w:r w:rsidR="001C41D7">
        <w:t>Multiregional Input–Output Database (July 2023);</w:t>
      </w:r>
      <w:r w:rsidR="001C41D7" w:rsidRPr="008F0425">
        <w:t xml:space="preserve"> </w:t>
      </w:r>
      <w:r>
        <w:t>Asian Development Bank estimates.</w:t>
      </w:r>
    </w:p>
    <w:p w14:paraId="2C8B44DC" w14:textId="53D0A31C" w:rsidR="00EC2411" w:rsidRDefault="00EC2411" w:rsidP="00B65C89">
      <w:bookmarkStart w:id="36" w:name="_Ref80105692"/>
      <w:bookmarkEnd w:id="35"/>
      <w:r>
        <w:t xml:space="preserve">While Kazakhstan's trade-based participation rates have been relatively stable over the last decade, its production-based trade has declined markedly. The GVCs in its economy as a whole peaked at 45.7% in 2008; by 2022, it stands at just 27.3%. Given the prominence of oil </w:t>
      </w:r>
      <w:r>
        <w:lastRenderedPageBreak/>
        <w:t xml:space="preserve">in Kazakhstan's GVC sector, the volatility in its production-based participation rate is likely a result of the volatility in global oil prices. Indeed, the 2015 nadir in GVC participation (24.5%) coincides with </w:t>
      </w:r>
      <w:r w:rsidR="00CD5874">
        <w:t xml:space="preserve">the end of the oil price boom (see </w:t>
      </w:r>
      <w:r w:rsidR="00CD5874">
        <w:fldChar w:fldCharType="begin"/>
      </w:r>
      <w:r w:rsidR="00CD5874">
        <w:instrText xml:space="preserve"> REF _Ref140049265 \h </w:instrText>
      </w:r>
      <w:r w:rsidR="00CD5874">
        <w:fldChar w:fldCharType="separate"/>
      </w:r>
      <w:r w:rsidR="00CD5874">
        <w:t xml:space="preserve">Figure </w:t>
      </w:r>
      <w:r w:rsidR="00CD5874">
        <w:rPr>
          <w:noProof/>
          <w:cs/>
        </w:rPr>
        <w:t>‎</w:t>
      </w:r>
      <w:r w:rsidR="00CD5874">
        <w:rPr>
          <w:noProof/>
        </w:rPr>
        <w:t>2</w:t>
      </w:r>
      <w:r w:rsidR="00CD5874">
        <w:t>.</w:t>
      </w:r>
      <w:r w:rsidR="00CD5874">
        <w:rPr>
          <w:noProof/>
        </w:rPr>
        <w:t>1</w:t>
      </w:r>
      <w:r w:rsidR="00CD5874">
        <w:fldChar w:fldCharType="end"/>
      </w:r>
      <w:r w:rsidR="00CD5874">
        <w:t>).</w:t>
      </w:r>
    </w:p>
    <w:p w14:paraId="0BCD7FE5" w14:textId="40522845" w:rsidR="00CD5874" w:rsidRDefault="00CD5874" w:rsidP="00B65C89">
      <w:r>
        <w:fldChar w:fldCharType="begin"/>
      </w:r>
      <w:r>
        <w:instrText xml:space="preserve"> REF _Ref83841136 \h </w:instrText>
      </w:r>
      <w:r>
        <w:fldChar w:fldCharType="separate"/>
      </w:r>
      <w:r>
        <w:t xml:space="preserve">Figure </w:t>
      </w:r>
      <w:r>
        <w:rPr>
          <w:noProof/>
          <w:cs/>
        </w:rPr>
        <w:t>‎</w:t>
      </w:r>
      <w:r>
        <w:rPr>
          <w:noProof/>
        </w:rPr>
        <w:t>3</w:t>
      </w:r>
      <w:r>
        <w:t>.</w:t>
      </w:r>
      <w:r>
        <w:rPr>
          <w:noProof/>
        </w:rPr>
        <w:t>4</w:t>
      </w:r>
      <w:r>
        <w:fldChar w:fldCharType="end"/>
      </w:r>
      <w:r>
        <w:t xml:space="preserve"> contextualizes Kazakhstan's participation rates by comparing it with its neighbors and fellow oil exporters. Its trade-based participation rate trails that of </w:t>
      </w:r>
      <w:r w:rsidR="00FD3B8A">
        <w:t>fellow Central Asian economies</w:t>
      </w:r>
      <w:r>
        <w:t xml:space="preserve"> Kyrgyz Republic</w:t>
      </w:r>
      <w:r w:rsidR="00FD3B8A">
        <w:t xml:space="preserve">, </w:t>
      </w:r>
      <w:r>
        <w:t>Georgia</w:t>
      </w:r>
      <w:r w:rsidR="00FD3B8A">
        <w:t xml:space="preserve">, and Mongolia. Among oil exporters, it is well below the participation rate of Brunei Darussalam but remains ahead of the Russian Federation and Saudi Arabia. As for its production-based participation, despite having declined over the decades, it remains well above the world average. </w:t>
      </w:r>
    </w:p>
    <w:p w14:paraId="30ED7031" w14:textId="0742755E" w:rsidR="00167DDE" w:rsidRPr="00167DDE" w:rsidRDefault="0056399A" w:rsidP="00167DDE">
      <w:pPr>
        <w:pStyle w:val="Caption"/>
      </w:pPr>
      <w:bookmarkStart w:id="37" w:name="_Ref83841136"/>
      <w:bookmarkStart w:id="38" w:name="_Toc83849807"/>
      <w:r>
        <w:rPr>
          <w:noProof/>
        </w:rPr>
        <w:drawing>
          <wp:anchor distT="0" distB="0" distL="114300" distR="114300" simplePos="0" relativeHeight="251747328" behindDoc="0" locked="0" layoutInCell="1" allowOverlap="1" wp14:anchorId="68E14AAD" wp14:editId="1B7825ED">
            <wp:simplePos x="0" y="0"/>
            <wp:positionH relativeFrom="column">
              <wp:posOffset>0</wp:posOffset>
            </wp:positionH>
            <wp:positionV relativeFrom="paragraph">
              <wp:posOffset>192059</wp:posOffset>
            </wp:positionV>
            <wp:extent cx="5731510" cy="2327910"/>
            <wp:effectExtent l="0" t="0" r="0" b="0"/>
            <wp:wrapSquare wrapText="bothSides"/>
            <wp:docPr id="2320895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89561" name="Picture 232089561"/>
                    <pic:cNvPicPr/>
                  </pic:nvPicPr>
                  <pic:blipFill>
                    <a:blip r:embed="rId21">
                      <a:extLst>
                        <a:ext uri="{28A0092B-C50C-407E-A947-70E740481C1C}">
                          <a14:useLocalDpi xmlns:a14="http://schemas.microsoft.com/office/drawing/2010/main" val="0"/>
                        </a:ext>
                      </a:extLst>
                    </a:blip>
                    <a:stretch>
                      <a:fillRect/>
                    </a:stretch>
                  </pic:blipFill>
                  <pic:spPr>
                    <a:xfrm>
                      <a:off x="0" y="0"/>
                      <a:ext cx="5731510" cy="2327910"/>
                    </a:xfrm>
                    <a:prstGeom prst="rect">
                      <a:avLst/>
                    </a:prstGeom>
                  </pic:spPr>
                </pic:pic>
              </a:graphicData>
            </a:graphic>
            <wp14:sizeRelH relativeFrom="page">
              <wp14:pctWidth>0</wp14:pctWidth>
            </wp14:sizeRelH>
            <wp14:sizeRelV relativeFrom="page">
              <wp14:pctHeight>0</wp14:pctHeight>
            </wp14:sizeRelV>
          </wp:anchor>
        </w:drawing>
      </w:r>
      <w:r w:rsidR="00167DDE">
        <w:t xml:space="preserve">Figure </w:t>
      </w:r>
      <w:fldSimple w:instr=" STYLEREF 1 \s ">
        <w:r w:rsidR="00D57A44">
          <w:rPr>
            <w:noProof/>
            <w:cs/>
          </w:rPr>
          <w:t>‎</w:t>
        </w:r>
        <w:r w:rsidR="00D57A44">
          <w:rPr>
            <w:noProof/>
          </w:rPr>
          <w:t>3</w:t>
        </w:r>
      </w:fldSimple>
      <w:r w:rsidR="003F26C2">
        <w:t>.</w:t>
      </w:r>
      <w:fldSimple w:instr=" SEQ Figure \* ARABIC \s 1 ">
        <w:r w:rsidR="00D57A44">
          <w:rPr>
            <w:noProof/>
          </w:rPr>
          <w:t>4</w:t>
        </w:r>
      </w:fldSimple>
      <w:bookmarkEnd w:id="36"/>
      <w:bookmarkEnd w:id="37"/>
      <w:r w:rsidR="00167DDE">
        <w:t xml:space="preserve">: Global Value Chain Participation Rates, Selected </w:t>
      </w:r>
      <w:r w:rsidR="00D514CF">
        <w:t>Countries</w:t>
      </w:r>
      <w:r w:rsidR="00167DDE">
        <w:t>, 2000, 2010, 202</w:t>
      </w:r>
      <w:bookmarkEnd w:id="38"/>
      <w:r>
        <w:t>2</w:t>
      </w:r>
    </w:p>
    <w:p w14:paraId="51AB8A8B" w14:textId="2146954A" w:rsidR="004201A5" w:rsidRDefault="004201A5" w:rsidP="000B2115">
      <w:pPr>
        <w:pStyle w:val="Notes"/>
      </w:pPr>
      <w:r>
        <w:t xml:space="preserve">Notes: </w:t>
      </w:r>
      <w:r w:rsidR="000B2115">
        <w:tab/>
      </w:r>
      <w:r>
        <w:t>Participation rates are computed using the methodology in Asian Development Bank (2021). The trade-based participation rate is the share of indirect trade in gross exports. The production-based participation rate is the share of unfinished exports in gross exports.</w:t>
      </w:r>
    </w:p>
    <w:p w14:paraId="29F59D0C" w14:textId="437645FD" w:rsidR="00B36AD0" w:rsidRDefault="00B36AD0" w:rsidP="00B36AD0">
      <w:pPr>
        <w:pStyle w:val="NotesBottom"/>
      </w:pPr>
      <w:r>
        <w:t xml:space="preserve">Sources: </w:t>
      </w:r>
      <w:r>
        <w:tab/>
      </w:r>
      <w:r w:rsidRPr="00E13282">
        <w:t xml:space="preserve">Asian Development Bank. 2021. </w:t>
      </w:r>
      <w:r w:rsidRPr="00E13282">
        <w:rPr>
          <w:i/>
          <w:iCs/>
        </w:rPr>
        <w:t>Key Indicators for Asia and the Pacific 2021</w:t>
      </w:r>
      <w:r w:rsidRPr="00E13282">
        <w:t>. Manila, Philippines: Asian Development Bank</w:t>
      </w:r>
      <w:r>
        <w:t>; Asian Development Bank. Multiregional Input–Output Database</w:t>
      </w:r>
      <w:r w:rsidR="00FD3B8A">
        <w:t xml:space="preserve"> (July 2023</w:t>
      </w:r>
      <w:r>
        <w:t>);</w:t>
      </w:r>
      <w:r w:rsidRPr="008F0425">
        <w:t xml:space="preserve"> </w:t>
      </w:r>
      <w:r>
        <w:t>Asian Development Bank estimates.</w:t>
      </w:r>
    </w:p>
    <w:p w14:paraId="3B71C0EA" w14:textId="2215FFD8" w:rsidR="0064219A" w:rsidRDefault="0064219A" w:rsidP="0064219A">
      <w:bookmarkStart w:id="39" w:name="_Ref77775430"/>
      <w:bookmarkStart w:id="40" w:name="_Toc83849808"/>
      <w:r>
        <w:t xml:space="preserve">Aggregate-level rates may mask differences across sectors. With this in mind, </w:t>
      </w:r>
      <w:fldSimple w:instr=" REF _Ref77775430 ">
        <w:r>
          <w:t xml:space="preserve">Figure </w:t>
        </w:r>
        <w:r>
          <w:rPr>
            <w:noProof/>
            <w:cs/>
          </w:rPr>
          <w:t>‎</w:t>
        </w:r>
        <w:r>
          <w:rPr>
            <w:noProof/>
          </w:rPr>
          <w:t>3</w:t>
        </w:r>
        <w:r>
          <w:t>.</w:t>
        </w:r>
        <w:r>
          <w:rPr>
            <w:noProof/>
          </w:rPr>
          <w:t>5</w:t>
        </w:r>
      </w:fldSimple>
      <w:r>
        <w:t xml:space="preserve"> applies the exports decomposition framework at the sector level. Sectors here are identified by the sector that actually exports, rather than the sector from which the value added originated from. Thus, mining exports, for example, may contain value added from other sectors, but the good that is actually exported is classified under the mining sector. This approach was chosen to allow for comparability with the aggregate decomposition. </w:t>
      </w:r>
    </w:p>
    <w:p w14:paraId="3E69327C" w14:textId="05E2BD09" w:rsidR="0064219A" w:rsidRDefault="0064219A" w:rsidP="00487BBC">
      <w:r>
        <w:t>The sector with the highest (trade-based) rate of GVC participation was mining, with a forward rate of 43.9% and a backward rate of 9.5% in 2022. As it makes up 59.7% of gross exports</w:t>
      </w:r>
      <w:r w:rsidR="00B34E1F">
        <w:t xml:space="preserve"> ($39.9 billion)</w:t>
      </w:r>
      <w:r>
        <w:t xml:space="preserve">, the mining sector </w:t>
      </w:r>
      <w:r w:rsidR="00487BBC">
        <w:t xml:space="preserve">undoubtedly </w:t>
      </w:r>
      <w:r>
        <w:t xml:space="preserve">leads trends in Kazakhstan's overall GVC participation. </w:t>
      </w:r>
      <w:r w:rsidR="00A23541">
        <w:t xml:space="preserve">Other sectors with relatively high participation rates like water transport services and leather and wood manufacturing have miniscule exports (less than 0.1% of the total) and so are not really relevant for Kazakhstan. Its most significant GVC sector besides mining is metals manufacturing, </w:t>
      </w:r>
      <w:r w:rsidR="00656FB8">
        <w:t>which holds a respectable 17.9% share of total exports</w:t>
      </w:r>
      <w:r w:rsidR="00B34E1F">
        <w:t xml:space="preserve"> ($11.9 billion)</w:t>
      </w:r>
      <w:r w:rsidR="00656FB8">
        <w:t xml:space="preserve">. Its </w:t>
      </w:r>
      <w:r w:rsidR="00A23541">
        <w:t xml:space="preserve">forward and backward participation rates are </w:t>
      </w:r>
      <w:r w:rsidR="00A23541" w:rsidRPr="00A23541">
        <w:t>36.1%</w:t>
      </w:r>
      <w:r w:rsidR="00A23541">
        <w:t xml:space="preserve"> and </w:t>
      </w:r>
      <w:r w:rsidR="00A23541" w:rsidRPr="00A23541">
        <w:t>8.8%</w:t>
      </w:r>
      <w:r w:rsidR="00656FB8">
        <w:t xml:space="preserve">, placing it </w:t>
      </w:r>
      <w:r w:rsidR="00656FB8">
        <w:lastRenderedPageBreak/>
        <w:t>relatively upstream in the production chain like mining. Given that metals manufacturing is associated with more sophisticated, higher value added production processes than mining, it is a good candidate sector for Kazakhstan to expand to in its pursuit of diversification.</w:t>
      </w:r>
    </w:p>
    <w:p w14:paraId="6C6EFF9C" w14:textId="3590FC23" w:rsidR="00C816E3" w:rsidRDefault="00C816E3" w:rsidP="00C816E3">
      <w:pPr>
        <w:pStyle w:val="Caption"/>
      </w:pPr>
      <w:r>
        <w:t xml:space="preserve">Figure </w:t>
      </w:r>
      <w:fldSimple w:instr=" STYLEREF 1 \s ">
        <w:r w:rsidR="00D57A44">
          <w:rPr>
            <w:noProof/>
            <w:cs/>
          </w:rPr>
          <w:t>‎</w:t>
        </w:r>
        <w:r w:rsidR="00D57A44">
          <w:rPr>
            <w:noProof/>
          </w:rPr>
          <w:t>3</w:t>
        </w:r>
      </w:fldSimple>
      <w:r w:rsidR="003F26C2">
        <w:t>.</w:t>
      </w:r>
      <w:fldSimple w:instr=" SEQ Figure \* ARABIC \s 1 ">
        <w:r w:rsidR="00D57A44">
          <w:rPr>
            <w:noProof/>
          </w:rPr>
          <w:t>5</w:t>
        </w:r>
      </w:fldSimple>
      <w:bookmarkEnd w:id="39"/>
      <w:r>
        <w:t>: Decomposition of Exports into Value</w:t>
      </w:r>
      <w:r w:rsidR="00B75F07">
        <w:t xml:space="preserve"> </w:t>
      </w:r>
      <w:r>
        <w:t xml:space="preserve">Added Categories by Sector, </w:t>
      </w:r>
      <w:r w:rsidR="00B75F07">
        <w:t>Kazakhstan</w:t>
      </w:r>
      <w:r w:rsidR="00D56170">
        <w:t xml:space="preserve">, </w:t>
      </w:r>
      <w:r>
        <w:t>202</w:t>
      </w:r>
      <w:bookmarkEnd w:id="40"/>
      <w:r w:rsidR="00B75F07">
        <w:t>2</w:t>
      </w:r>
      <w:r w:rsidR="00B75F07">
        <w:rPr>
          <w:noProof/>
        </w:rPr>
        <w:drawing>
          <wp:anchor distT="0" distB="0" distL="114300" distR="114300" simplePos="0" relativeHeight="251748352" behindDoc="0" locked="0" layoutInCell="1" allowOverlap="1" wp14:anchorId="68D5F069" wp14:editId="29496AAE">
            <wp:simplePos x="0" y="0"/>
            <wp:positionH relativeFrom="column">
              <wp:posOffset>0</wp:posOffset>
            </wp:positionH>
            <wp:positionV relativeFrom="paragraph">
              <wp:posOffset>424815</wp:posOffset>
            </wp:positionV>
            <wp:extent cx="5731510" cy="6085840"/>
            <wp:effectExtent l="0" t="0" r="0" b="0"/>
            <wp:wrapSquare wrapText="bothSides"/>
            <wp:docPr id="1423936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36494" name="Picture 1423936494"/>
                    <pic:cNvPicPr/>
                  </pic:nvPicPr>
                  <pic:blipFill>
                    <a:blip r:embed="rId22">
                      <a:extLst>
                        <a:ext uri="{28A0092B-C50C-407E-A947-70E740481C1C}">
                          <a14:useLocalDpi xmlns:a14="http://schemas.microsoft.com/office/drawing/2010/main" val="0"/>
                        </a:ext>
                      </a:extLst>
                    </a:blip>
                    <a:stretch>
                      <a:fillRect/>
                    </a:stretch>
                  </pic:blipFill>
                  <pic:spPr>
                    <a:xfrm>
                      <a:off x="0" y="0"/>
                      <a:ext cx="5731510" cy="6085840"/>
                    </a:xfrm>
                    <a:prstGeom prst="rect">
                      <a:avLst/>
                    </a:prstGeom>
                  </pic:spPr>
                </pic:pic>
              </a:graphicData>
            </a:graphic>
            <wp14:sizeRelH relativeFrom="page">
              <wp14:pctWidth>0</wp14:pctWidth>
            </wp14:sizeRelH>
            <wp14:sizeRelV relativeFrom="page">
              <wp14:pctHeight>0</wp14:pctHeight>
            </wp14:sizeRelV>
          </wp:anchor>
        </w:drawing>
      </w:r>
    </w:p>
    <w:p w14:paraId="4D3B335E" w14:textId="68EF2E5F" w:rsidR="00C816E3" w:rsidRDefault="00C816E3" w:rsidP="000B2115">
      <w:pPr>
        <w:pStyle w:val="Notes"/>
      </w:pPr>
      <w:r>
        <w:t xml:space="preserve">Notes: </w:t>
      </w:r>
      <w:r w:rsidR="000B2115">
        <w:tab/>
      </w:r>
      <w:r>
        <w:t xml:space="preserve">Gross exports are decomposed using the methodology in Asian Development Bank (2021). DAVAX are directly absorbed domestic value-added exports. REX are domestic value-added exports re-exported by direct importer and eventually absorbed abroad. REF are domestic value-added exports re-exported by direct importer and eventually returned to and absorbed at home. FVA are foreign value-added embedded in gross exports. PDC are pure double-counting, a result of value-added crossing the same border more than once. </w:t>
      </w:r>
      <w:r w:rsidR="00F36D8D">
        <w:t xml:space="preserve">Sectors </w:t>
      </w:r>
      <w:r w:rsidR="00E83BEE">
        <w:t>disaggregation is</w:t>
      </w:r>
      <w:r w:rsidR="00F36D8D">
        <w:t xml:space="preserve"> by </w:t>
      </w:r>
      <w:r w:rsidR="00E83BEE">
        <w:t xml:space="preserve">export </w:t>
      </w:r>
      <w:r w:rsidR="00F36D8D">
        <w:t>sector.</w:t>
      </w:r>
    </w:p>
    <w:p w14:paraId="4E9693D9" w14:textId="77777777" w:rsidR="00B36AD0" w:rsidRDefault="00B36AD0" w:rsidP="00B36AD0">
      <w:pPr>
        <w:pStyle w:val="NotesBottom"/>
      </w:pPr>
      <w:r>
        <w:t xml:space="preserve">Sources: </w:t>
      </w:r>
      <w:r>
        <w:tab/>
      </w:r>
      <w:r w:rsidRPr="00E13282">
        <w:t xml:space="preserve">Asian Development Bank. 2021. </w:t>
      </w:r>
      <w:r w:rsidRPr="00E13282">
        <w:rPr>
          <w:i/>
          <w:iCs/>
        </w:rPr>
        <w:t>Key Indicators for Asia and the Pacific 2021</w:t>
      </w:r>
      <w:r w:rsidRPr="00E13282">
        <w:t>. Manila, Philippines: Asian Development Bank</w:t>
      </w:r>
      <w:r>
        <w:t xml:space="preserve">; Asian Development Bank. Multiregional Input–Output Database. </w:t>
      </w:r>
      <w:r w:rsidRPr="0004229A">
        <w:t>https://mrio.adbx.online</w:t>
      </w:r>
      <w:r>
        <w:t xml:space="preserve"> (accessed 1 August 2021);</w:t>
      </w:r>
      <w:r w:rsidRPr="008F0425">
        <w:t xml:space="preserve"> </w:t>
      </w:r>
      <w:r>
        <w:t>Asian Development Bank estimates.</w:t>
      </w:r>
    </w:p>
    <w:p w14:paraId="4A8B26E6" w14:textId="0DF5F28D" w:rsidR="000E0F2F" w:rsidRDefault="005A3C23" w:rsidP="009F0EE6">
      <w:r>
        <w:lastRenderedPageBreak/>
        <w:t xml:space="preserve">To formalize the idea of </w:t>
      </w:r>
      <w:proofErr w:type="spellStart"/>
      <w:r>
        <w:t>upstreamness</w:t>
      </w:r>
      <w:proofErr w:type="spellEnd"/>
      <w:r>
        <w:t xml:space="preserve"> and </w:t>
      </w:r>
      <w:proofErr w:type="spellStart"/>
      <w:r>
        <w:t>downstreamness</w:t>
      </w:r>
      <w:proofErr w:type="spellEnd"/>
      <w:r>
        <w:t xml:space="preserve"> in GVCs, it helps to have a</w:t>
      </w:r>
      <w:r w:rsidR="00635A0A">
        <w:t xml:space="preserve"> measure </w:t>
      </w:r>
      <w:r>
        <w:t xml:space="preserve">of production </w:t>
      </w:r>
      <w:r w:rsidR="00635A0A">
        <w:t>length</w:t>
      </w:r>
      <w:r w:rsidR="003E02A9">
        <w:t>s</w:t>
      </w:r>
      <w:r w:rsidR="00635A0A">
        <w:t>.</w:t>
      </w:r>
      <w:r w:rsidR="000E0F2F">
        <w:t xml:space="preserve"> Distance in production can be measured if one adopts the simplification of treating value chains like actual “chains”</w:t>
      </w:r>
      <w:r w:rsidR="00956CB2">
        <w:t>—</w:t>
      </w:r>
      <w:r w:rsidR="000E0F2F">
        <w:t xml:space="preserve">that is, </w:t>
      </w:r>
      <w:r w:rsidR="00731ACE">
        <w:t xml:space="preserve">as a </w:t>
      </w:r>
      <w:r w:rsidR="00DD3442">
        <w:t>sequence</w:t>
      </w:r>
      <w:r w:rsidR="00731ACE">
        <w:t xml:space="preserve"> of</w:t>
      </w:r>
      <w:r w:rsidR="000E0F2F">
        <w:t xml:space="preserve"> stages </w:t>
      </w:r>
      <w:r w:rsidR="00731ACE">
        <w:t>that progress</w:t>
      </w:r>
      <w:r w:rsidR="00DD3442">
        <w:t>es</w:t>
      </w:r>
      <w:r w:rsidR="00731ACE">
        <w:t xml:space="preserve"> in one direction </w:t>
      </w:r>
      <w:r w:rsidR="000E0F2F">
        <w:t xml:space="preserve">from beginning to end. </w:t>
      </w:r>
      <w:r w:rsidR="00792D2F">
        <w:t xml:space="preserve">Any given firm, therefore, may be positioned in its value chain by measuring, on the one hand, the number of stages separating its output from final consumers, and on the other, the number of stages separating its output from primary inputs. </w:t>
      </w:r>
      <w:r w:rsidR="00731ACE">
        <w:t>These are forward and backward</w:t>
      </w:r>
      <w:r w:rsidR="00132C9D">
        <w:t xml:space="preserve"> production</w:t>
      </w:r>
      <w:r w:rsidR="00731ACE">
        <w:t xml:space="preserve"> lengths, respectively. Averaging these lengths for all the firms in a sector or economy gives average production lengths</w:t>
      </w:r>
      <w:r w:rsidR="003308FF">
        <w:t xml:space="preserve">. Furthermore, isolating the GVC component of a firm’s production results in GVC production lengths. </w:t>
      </w:r>
      <w:fldSimple w:instr=" REF _Ref77778934 ">
        <w:r w:rsidR="00D57A44" w:rsidRPr="004656A0">
          <w:t xml:space="preserve">Box </w:t>
        </w:r>
        <w:r w:rsidR="00D57A44">
          <w:rPr>
            <w:noProof/>
          </w:rPr>
          <w:t>4</w:t>
        </w:r>
      </w:fldSimple>
      <w:r w:rsidR="00CF4198">
        <w:t xml:space="preserve"> p</w:t>
      </w:r>
      <w:r w:rsidR="003308FF">
        <w:t>rovides more details.</w:t>
      </w:r>
    </w:p>
    <w:tbl>
      <w:tblPr>
        <w:tblStyle w:val="TableGrid"/>
        <w:tblW w:w="0" w:type="auto"/>
        <w:tblLook w:val="04A0" w:firstRow="1" w:lastRow="0" w:firstColumn="1" w:lastColumn="0" w:noHBand="0" w:noVBand="1"/>
      </w:tblPr>
      <w:tblGrid>
        <w:gridCol w:w="9016"/>
      </w:tblGrid>
      <w:tr w:rsidR="003308FF" w14:paraId="2A2BE8B9" w14:textId="77777777" w:rsidTr="00CF4198">
        <w:tc>
          <w:tcPr>
            <w:tcW w:w="9016" w:type="dxa"/>
          </w:tcPr>
          <w:p w14:paraId="7988CED6" w14:textId="5BCD8329" w:rsidR="003308FF" w:rsidRPr="004656A0" w:rsidRDefault="003308FF" w:rsidP="004656A0">
            <w:pPr>
              <w:pStyle w:val="Caption"/>
            </w:pPr>
            <w:bookmarkStart w:id="41" w:name="_Ref77778934"/>
            <w:bookmarkStart w:id="42" w:name="_Toc139902363"/>
            <w:r w:rsidRPr="004656A0">
              <w:t xml:space="preserve">Box </w:t>
            </w:r>
            <w:fldSimple w:instr=" SEQ Box \* ARABIC ">
              <w:r w:rsidR="00D57A44">
                <w:rPr>
                  <w:noProof/>
                </w:rPr>
                <w:t>4</w:t>
              </w:r>
            </w:fldSimple>
            <w:bookmarkEnd w:id="41"/>
            <w:r w:rsidRPr="004656A0">
              <w:t xml:space="preserve">: </w:t>
            </w:r>
            <w:r w:rsidR="00B51CF4" w:rsidRPr="004656A0">
              <w:t>Measuring</w:t>
            </w:r>
            <w:r w:rsidR="00CF4198" w:rsidRPr="004656A0">
              <w:t xml:space="preserve"> Average Production Lengths</w:t>
            </w:r>
            <w:bookmarkEnd w:id="42"/>
          </w:p>
          <w:p w14:paraId="7C3F819E" w14:textId="63D52143" w:rsidR="003308FF" w:rsidRDefault="00CF4198" w:rsidP="00254055">
            <w:pPr>
              <w:pStyle w:val="Box"/>
            </w:pPr>
            <w:r>
              <w:t xml:space="preserve">While production can take many forms, it is useful to conceive of it as a series of sequential stages </w:t>
            </w:r>
            <w:r w:rsidR="00187454">
              <w:t>where</w:t>
            </w:r>
            <w:r>
              <w:t xml:space="preserve"> each stage </w:t>
            </w:r>
            <w:r w:rsidR="00187454">
              <w:t xml:space="preserve">adds </w:t>
            </w:r>
            <w:r>
              <w:t xml:space="preserve">value until a finished product </w:t>
            </w:r>
            <w:r w:rsidR="00187454">
              <w:t>results</w:t>
            </w:r>
            <w:r>
              <w:t xml:space="preserve"> </w:t>
            </w:r>
            <w:r w:rsidR="00626460">
              <w:t>at</w:t>
            </w:r>
            <w:r w:rsidR="00187454">
              <w:t xml:space="preserve"> </w:t>
            </w:r>
            <w:r>
              <w:t xml:space="preserve">the very end. </w:t>
            </w:r>
            <w:r w:rsidR="00187454">
              <w:t>This simplification allows for the calculation of a firm’s production length, computed from two perspectives. The forward length counts the number of stages separating the firm’s output from the final consumer. The backward length counts the number of stages separating its output from primary inputs. Averaging these lengths for all the firms in a sector or economy gives average production lengths.</w:t>
            </w:r>
          </w:p>
          <w:p w14:paraId="17FC9977" w14:textId="38D77D87" w:rsidR="00187454" w:rsidRDefault="00187454" w:rsidP="00254055">
            <w:pPr>
              <w:pStyle w:val="Box"/>
            </w:pPr>
            <w:proofErr w:type="spellStart"/>
            <w:r>
              <w:t>Antràs</w:t>
            </w:r>
            <w:proofErr w:type="spellEnd"/>
            <w:r>
              <w:t xml:space="preserve"> and </w:t>
            </w:r>
            <w:proofErr w:type="spellStart"/>
            <w:r>
              <w:t>Chor</w:t>
            </w:r>
            <w:proofErr w:type="spellEnd"/>
            <w:r>
              <w:t xml:space="preserve"> (</w:t>
            </w:r>
            <w:r w:rsidR="00856389">
              <w:t>2013</w:t>
            </w:r>
            <w:r>
              <w:t xml:space="preserve">) propose a methodology for computing average production lengths using information in an input–output table. They first identify the share of an entity’s output produced after every possible number of stages. They then use these to take a weighted average of the integers 1, 2, 3, 4, and so on. </w:t>
            </w:r>
            <w:r w:rsidR="005535AB">
              <w:t xml:space="preserve">The result provides the number of stages the </w:t>
            </w:r>
            <w:r w:rsidR="00626460">
              <w:t xml:space="preserve">bulk of the </w:t>
            </w:r>
            <w:r w:rsidR="005535AB">
              <w:t>entity’s production concentrates on.</w:t>
            </w:r>
          </w:p>
          <w:p w14:paraId="09A403A1" w14:textId="3A49DAF7" w:rsidR="00114171" w:rsidRDefault="005535AB" w:rsidP="00254055">
            <w:pPr>
              <w:pStyle w:val="Box"/>
            </w:pPr>
            <w:r>
              <w:t>Wang, Wei, Yu, and Zhu (2017b) refine this by defining average lengths for both forward and backward perspectives. Not only can adding them give the total length of a particular value chain, taking their ratio also gives the relative position of the entity in that chain, whether it is relatively more upstream (longer forward length compared with backward length) or more downstream.</w:t>
            </w:r>
            <w:r w:rsidR="00BA4F1F">
              <w:t xml:space="preserve"> Moreover, they apply the decomposition of production in Wang, Wei, Yu, and Zhu (2017a) to isolate the global value chain (GVC) activity of the entity, </w:t>
            </w:r>
            <w:r w:rsidR="00114171">
              <w:t>defined according to the production-based approach (</w:t>
            </w:r>
            <w:r w:rsidR="00114171" w:rsidRPr="00813F27">
              <w:t xml:space="preserve">see </w:t>
            </w:r>
            <w:fldSimple w:instr=" REF _Ref77751741  \* MERGEFORMAT ">
              <w:r w:rsidR="00D57A44" w:rsidRPr="009F0FF5">
                <w:t xml:space="preserve">Box </w:t>
              </w:r>
              <w:r w:rsidR="00D57A44">
                <w:rPr>
                  <w:noProof/>
                </w:rPr>
                <w:t>3</w:t>
              </w:r>
            </w:fldSimple>
            <w:r w:rsidR="00114171" w:rsidRPr="00813F27">
              <w:t>).</w:t>
            </w:r>
            <w:r w:rsidR="00114171">
              <w:t xml:space="preserve"> </w:t>
            </w:r>
          </w:p>
          <w:p w14:paraId="6B753A09" w14:textId="77777777" w:rsidR="00B42758" w:rsidRDefault="00114171" w:rsidP="00254055">
            <w:pPr>
              <w:pStyle w:val="Box"/>
            </w:pPr>
            <w:r>
              <w:t xml:space="preserve">The resulting </w:t>
            </w:r>
            <w:r w:rsidR="00BA4F1F">
              <w:t xml:space="preserve">GVC </w:t>
            </w:r>
            <w:r>
              <w:t xml:space="preserve">production </w:t>
            </w:r>
            <w:r w:rsidR="00BA4F1F">
              <w:t xml:space="preserve">lengths may be divided into </w:t>
            </w:r>
            <w:r w:rsidR="0002189C">
              <w:t>two</w:t>
            </w:r>
            <w:r w:rsidR="00BA4F1F">
              <w:t xml:space="preserve"> segments: </w:t>
            </w:r>
            <w:r w:rsidR="001618EB">
              <w:t>t</w:t>
            </w:r>
            <w:r w:rsidR="00BA4F1F">
              <w:t>he number of stages that occur within the domestic economy of the exporter</w:t>
            </w:r>
            <w:r w:rsidR="001618EB">
              <w:t xml:space="preserve"> and t</w:t>
            </w:r>
            <w:r w:rsidR="00BA4F1F">
              <w:t xml:space="preserve">he number of stages that occur </w:t>
            </w:r>
            <w:r w:rsidR="004930A9">
              <w:t>abroad</w:t>
            </w:r>
            <w:r w:rsidR="00BA4F1F">
              <w:t>.</w:t>
            </w:r>
            <w:r w:rsidR="00C4515B">
              <w:t xml:space="preserve"> </w:t>
            </w:r>
          </w:p>
          <w:p w14:paraId="54185422" w14:textId="7D8768DE" w:rsidR="00FF6558" w:rsidRDefault="00FF6558" w:rsidP="00254055">
            <w:pPr>
              <w:pStyle w:val="Box"/>
            </w:pPr>
            <w:r>
              <w:t>When computing lengths at the sector level, Wang, et al.’s (2017b) methodology identify sectors by the origin of value</w:t>
            </w:r>
            <w:r w:rsidR="00546E6A">
              <w:t xml:space="preserve"> </w:t>
            </w:r>
            <w:r>
              <w:t>added.</w:t>
            </w:r>
          </w:p>
          <w:p w14:paraId="13930D1D" w14:textId="04EF5EB1" w:rsidR="00E83850" w:rsidRPr="00653CBF" w:rsidRDefault="00653CBF" w:rsidP="00254055">
            <w:pPr>
              <w:pStyle w:val="Box"/>
              <w:rPr>
                <w:b/>
                <w:bCs/>
              </w:rPr>
            </w:pPr>
            <w:r w:rsidRPr="00653CBF">
              <w:rPr>
                <w:b/>
                <w:bCs/>
              </w:rPr>
              <w:t>References</w:t>
            </w:r>
          </w:p>
          <w:p w14:paraId="30FF34E7" w14:textId="27E0A928" w:rsidR="00856389" w:rsidRPr="00254055" w:rsidRDefault="00856389" w:rsidP="00254055">
            <w:pPr>
              <w:pStyle w:val="BoxReferences"/>
            </w:pPr>
            <w:r w:rsidRPr="00254055">
              <w:t xml:space="preserve">P. </w:t>
            </w:r>
            <w:proofErr w:type="spellStart"/>
            <w:r w:rsidRPr="00254055">
              <w:t>Antràs</w:t>
            </w:r>
            <w:proofErr w:type="spellEnd"/>
            <w:r w:rsidRPr="00254055">
              <w:t xml:space="preserve"> and D. </w:t>
            </w:r>
            <w:proofErr w:type="spellStart"/>
            <w:r w:rsidRPr="00254055">
              <w:t>Chor</w:t>
            </w:r>
            <w:proofErr w:type="spellEnd"/>
            <w:r w:rsidRPr="00254055">
              <w:t xml:space="preserve">. 2013. Organizing the Global Value Chain. </w:t>
            </w:r>
            <w:proofErr w:type="spellStart"/>
            <w:r w:rsidRPr="00945B19">
              <w:rPr>
                <w:i/>
                <w:iCs/>
              </w:rPr>
              <w:t>Econometrica</w:t>
            </w:r>
            <w:proofErr w:type="spellEnd"/>
            <w:r w:rsidR="000C383A">
              <w:t>.</w:t>
            </w:r>
            <w:r w:rsidRPr="00254055">
              <w:t xml:space="preserve"> 81(6)</w:t>
            </w:r>
            <w:r w:rsidR="002F4F56">
              <w:t xml:space="preserve">. </w:t>
            </w:r>
            <w:r w:rsidRPr="00254055">
              <w:t xml:space="preserve">pp. 2127–2204. </w:t>
            </w:r>
          </w:p>
          <w:p w14:paraId="0D02F6D6" w14:textId="7FBC0466" w:rsidR="00856389" w:rsidRPr="00254055" w:rsidRDefault="00856389" w:rsidP="00254055">
            <w:pPr>
              <w:pStyle w:val="BoxReferences"/>
            </w:pPr>
            <w:r w:rsidRPr="00254055">
              <w:t xml:space="preserve">Z. Wang, S. Wei, X. Yu, and K. Zhu. 2017a. </w:t>
            </w:r>
            <w:r w:rsidR="004B041B" w:rsidRPr="00254055">
              <w:t>Measures of Participation in</w:t>
            </w:r>
            <w:r w:rsidRPr="00254055">
              <w:t xml:space="preserve"> Global Value Chain</w:t>
            </w:r>
            <w:r w:rsidR="004B041B" w:rsidRPr="00254055">
              <w:t>s and Global Business Cycles</w:t>
            </w:r>
            <w:r w:rsidRPr="00254055">
              <w:t xml:space="preserve">. </w:t>
            </w:r>
            <w:r w:rsidRPr="008361EF">
              <w:rPr>
                <w:i/>
                <w:iCs/>
              </w:rPr>
              <w:t>NBER Working Paper</w:t>
            </w:r>
            <w:r w:rsidR="008F3F7C" w:rsidRPr="008F3F7C">
              <w:t>.</w:t>
            </w:r>
            <w:r w:rsidRPr="008F3F7C">
              <w:t xml:space="preserve"> No. </w:t>
            </w:r>
            <w:r w:rsidR="004B041B" w:rsidRPr="008F3F7C">
              <w:t>23222</w:t>
            </w:r>
            <w:r w:rsidRPr="00254055">
              <w:t>. Cambridge, MA: National Bureau of Economic Research.</w:t>
            </w:r>
          </w:p>
          <w:p w14:paraId="54BE78C4" w14:textId="6B01C665" w:rsidR="00E83850" w:rsidRDefault="004B041B" w:rsidP="00254055">
            <w:pPr>
              <w:pStyle w:val="BoxReferences"/>
            </w:pPr>
            <w:r w:rsidRPr="00254055">
              <w:t xml:space="preserve">Z. Wang, S. Wei, X. Yu, and K. Zhu. 2017b. Characterizing Global Value Chains: Production Length and </w:t>
            </w:r>
            <w:proofErr w:type="spellStart"/>
            <w:r w:rsidRPr="00254055">
              <w:t>Upstreamness</w:t>
            </w:r>
            <w:proofErr w:type="spellEnd"/>
            <w:r w:rsidRPr="00254055">
              <w:t xml:space="preserve">. </w:t>
            </w:r>
            <w:r w:rsidRPr="008361EF">
              <w:rPr>
                <w:i/>
                <w:iCs/>
              </w:rPr>
              <w:t>NBER Working Paper</w:t>
            </w:r>
            <w:r w:rsidR="008F3F7C" w:rsidRPr="008F3F7C">
              <w:t>.</w:t>
            </w:r>
            <w:r w:rsidRPr="008F3F7C">
              <w:t xml:space="preserve"> No. 23261</w:t>
            </w:r>
            <w:r w:rsidRPr="00254055">
              <w:t>. Cambridge, MA: National Bureau of Economic Research.</w:t>
            </w:r>
          </w:p>
        </w:tc>
      </w:tr>
    </w:tbl>
    <w:p w14:paraId="111BCD22" w14:textId="77777777" w:rsidR="001756AC" w:rsidRDefault="001756AC" w:rsidP="009F0EE6"/>
    <w:p w14:paraId="2F4C7115" w14:textId="557E979C" w:rsidR="00FF6558" w:rsidRDefault="00B45A35" w:rsidP="00FF6558">
      <w:r>
        <w:lastRenderedPageBreak/>
        <w:t>Longer production lengths, by involving more rounds of value</w:t>
      </w:r>
      <w:r w:rsidR="009C41B8">
        <w:t xml:space="preserve"> </w:t>
      </w:r>
      <w:r>
        <w:t>added contribution, are associated with more complex value chains</w:t>
      </w:r>
      <w:r w:rsidR="00B21F15">
        <w:t xml:space="preserve"> (</w:t>
      </w:r>
      <w:proofErr w:type="spellStart"/>
      <w:r w:rsidR="00B21F15">
        <w:t>Escaith</w:t>
      </w:r>
      <w:proofErr w:type="spellEnd"/>
      <w:r w:rsidR="00B21F15">
        <w:t xml:space="preserve"> </w:t>
      </w:r>
      <w:r w:rsidR="00A75288">
        <w:t>and</w:t>
      </w:r>
      <w:r w:rsidR="00B21F15">
        <w:t xml:space="preserve"> Inomata 2013)</w:t>
      </w:r>
      <w:r>
        <w:t xml:space="preserve">. Thus, it complements the essentially binary approach of the GVC participation rate, which </w:t>
      </w:r>
      <w:r w:rsidR="003A1882">
        <w:t>classifies</w:t>
      </w:r>
      <w:r>
        <w:t xml:space="preserve"> each dollar of export</w:t>
      </w:r>
      <w:r w:rsidR="003A1882">
        <w:t>s</w:t>
      </w:r>
      <w:r>
        <w:t xml:space="preserve"> as either belonging to GVCs or not.</w:t>
      </w:r>
      <w:r w:rsidR="000E0F2F">
        <w:t xml:space="preserve"> </w:t>
      </w:r>
      <w:r w:rsidR="005C3881">
        <w:t>In</w:t>
      </w:r>
      <w:r w:rsidR="009C41B8">
        <w:t xml:space="preserve"> </w:t>
      </w:r>
      <w:r w:rsidR="009C41B8">
        <w:fldChar w:fldCharType="begin"/>
      </w:r>
      <w:r w:rsidR="009C41B8">
        <w:instrText xml:space="preserve"> REF _Ref77780487 \h </w:instrText>
      </w:r>
      <w:r w:rsidR="009C41B8">
        <w:fldChar w:fldCharType="separate"/>
      </w:r>
      <w:r w:rsidR="009C41B8">
        <w:t xml:space="preserve">Figure </w:t>
      </w:r>
      <w:r w:rsidR="009C41B8">
        <w:rPr>
          <w:noProof/>
          <w:cs/>
        </w:rPr>
        <w:t>‎</w:t>
      </w:r>
      <w:r w:rsidR="009C41B8">
        <w:rPr>
          <w:noProof/>
        </w:rPr>
        <w:t>3</w:t>
      </w:r>
      <w:r w:rsidR="009C41B8">
        <w:t>.</w:t>
      </w:r>
      <w:r w:rsidR="009C41B8">
        <w:rPr>
          <w:noProof/>
        </w:rPr>
        <w:t>6</w:t>
      </w:r>
      <w:r w:rsidR="009C41B8">
        <w:fldChar w:fldCharType="end"/>
      </w:r>
      <w:r w:rsidR="005C3881">
        <w:t xml:space="preserve">, GVC lengths in </w:t>
      </w:r>
      <w:r w:rsidR="009C41B8">
        <w:t>Kazakhstan</w:t>
      </w:r>
      <w:r w:rsidR="005C3881">
        <w:t xml:space="preserve"> at both the aggregate and </w:t>
      </w:r>
      <w:r w:rsidR="00E35D7D">
        <w:t xml:space="preserve">the </w:t>
      </w:r>
      <w:r w:rsidR="005C3881">
        <w:t>sector level for the years 2000, 2010, and 202</w:t>
      </w:r>
      <w:r w:rsidR="009C41B8">
        <w:t>2</w:t>
      </w:r>
      <w:r w:rsidR="005C3881">
        <w:t xml:space="preserve"> are plotted</w:t>
      </w:r>
      <w:r w:rsidR="00E35D7D">
        <w:t>, specifically highlighting changes between 2000 and 2010 and between 2010 and 202</w:t>
      </w:r>
      <w:r w:rsidR="009C41B8">
        <w:t>2</w:t>
      </w:r>
      <w:r w:rsidR="00E35D7D">
        <w:t xml:space="preserve">. </w:t>
      </w:r>
      <w:r w:rsidR="00FA1AFF">
        <w:t>Note that in</w:t>
      </w:r>
      <w:r w:rsidR="00FF6558">
        <w:t xml:space="preserve"> contrast to </w:t>
      </w:r>
      <w:fldSimple w:instr=" REF _Ref77775430 ">
        <w:r w:rsidR="00D57A44">
          <w:t xml:space="preserve">Figure </w:t>
        </w:r>
        <w:r w:rsidR="00D57A44">
          <w:rPr>
            <w:noProof/>
            <w:cs/>
          </w:rPr>
          <w:t>‎</w:t>
        </w:r>
        <w:r w:rsidR="00D57A44">
          <w:rPr>
            <w:noProof/>
          </w:rPr>
          <w:t>3</w:t>
        </w:r>
        <w:r w:rsidR="00D57A44">
          <w:t>.</w:t>
        </w:r>
        <w:r w:rsidR="00D57A44">
          <w:rPr>
            <w:noProof/>
          </w:rPr>
          <w:t>5</w:t>
        </w:r>
      </w:fldSimple>
      <w:r w:rsidR="00FF6558">
        <w:t xml:space="preserve">, sectors here are identified by the </w:t>
      </w:r>
      <w:r w:rsidR="000E1B14">
        <w:t>sector from which the value</w:t>
      </w:r>
      <w:r w:rsidR="006626D1">
        <w:t xml:space="preserve"> </w:t>
      </w:r>
      <w:r w:rsidR="000E1B14">
        <w:t>added originated from</w:t>
      </w:r>
      <w:r w:rsidR="00FA1AFF">
        <w:t xml:space="preserve"> following the Wang, et al. (2017b) methodology</w:t>
      </w:r>
      <w:r w:rsidR="000E1B14">
        <w:t xml:space="preserve">. </w:t>
      </w:r>
    </w:p>
    <w:p w14:paraId="4C945CC2" w14:textId="5D530CAC" w:rsidR="00A6479D" w:rsidRPr="009C41B8" w:rsidRDefault="00A6479D" w:rsidP="00A6479D">
      <w:pPr>
        <w:rPr>
          <w:color w:val="FF0000"/>
        </w:rPr>
      </w:pPr>
      <w:r>
        <w:t xml:space="preserve">At the aggregate, total GVC length </w:t>
      </w:r>
      <w:r w:rsidR="00800F2C">
        <w:t>was at</w:t>
      </w:r>
      <w:r w:rsidRPr="00010D4C">
        <w:rPr>
          <w:color w:val="000000" w:themeColor="text1"/>
        </w:rPr>
        <w:t xml:space="preserve"> </w:t>
      </w:r>
      <w:r w:rsidR="00010D4C" w:rsidRPr="00010D4C">
        <w:rPr>
          <w:color w:val="000000" w:themeColor="text1"/>
        </w:rPr>
        <w:t xml:space="preserve">8.32 </w:t>
      </w:r>
      <w:r w:rsidRPr="00010D4C">
        <w:rPr>
          <w:color w:val="000000" w:themeColor="text1"/>
        </w:rPr>
        <w:t>stages in 2000,</w:t>
      </w:r>
      <w:r w:rsidR="00800F2C">
        <w:rPr>
          <w:color w:val="000000" w:themeColor="text1"/>
        </w:rPr>
        <w:t xml:space="preserve"> shortened slightly to</w:t>
      </w:r>
      <w:r w:rsidRPr="00010D4C">
        <w:rPr>
          <w:color w:val="000000" w:themeColor="text1"/>
        </w:rPr>
        <w:t xml:space="preserve"> 8.</w:t>
      </w:r>
      <w:r w:rsidR="00010D4C" w:rsidRPr="00010D4C">
        <w:rPr>
          <w:color w:val="000000" w:themeColor="text1"/>
        </w:rPr>
        <w:t>24</w:t>
      </w:r>
      <w:r w:rsidRPr="00010D4C">
        <w:rPr>
          <w:color w:val="000000" w:themeColor="text1"/>
        </w:rPr>
        <w:t xml:space="preserve"> in 2010, </w:t>
      </w:r>
      <w:r w:rsidR="00800F2C">
        <w:rPr>
          <w:color w:val="000000" w:themeColor="text1"/>
        </w:rPr>
        <w:t>then lengthened to</w:t>
      </w:r>
      <w:r w:rsidR="00010D4C" w:rsidRPr="00010D4C">
        <w:rPr>
          <w:color w:val="000000" w:themeColor="text1"/>
        </w:rPr>
        <w:t xml:space="preserve"> </w:t>
      </w:r>
      <w:r w:rsidRPr="00010D4C">
        <w:rPr>
          <w:color w:val="000000" w:themeColor="text1"/>
        </w:rPr>
        <w:t>8.</w:t>
      </w:r>
      <w:r w:rsidR="00010D4C" w:rsidRPr="00010D4C">
        <w:rPr>
          <w:color w:val="000000" w:themeColor="text1"/>
        </w:rPr>
        <w:t>46</w:t>
      </w:r>
      <w:r w:rsidRPr="00010D4C">
        <w:rPr>
          <w:color w:val="000000" w:themeColor="text1"/>
        </w:rPr>
        <w:t xml:space="preserve"> </w:t>
      </w:r>
      <w:r w:rsidR="00010D4C" w:rsidRPr="00010D4C">
        <w:rPr>
          <w:color w:val="000000" w:themeColor="text1"/>
        </w:rPr>
        <w:t>in</w:t>
      </w:r>
      <w:r w:rsidRPr="00010D4C">
        <w:rPr>
          <w:color w:val="000000" w:themeColor="text1"/>
        </w:rPr>
        <w:t xml:space="preserve"> 202</w:t>
      </w:r>
      <w:r w:rsidR="00010D4C" w:rsidRPr="00010D4C">
        <w:rPr>
          <w:color w:val="000000" w:themeColor="text1"/>
        </w:rPr>
        <w:t>2</w:t>
      </w:r>
      <w:r w:rsidRPr="00010D4C">
        <w:rPr>
          <w:color w:val="000000" w:themeColor="text1"/>
        </w:rPr>
        <w:t xml:space="preserve">. Across sectors, the general conclusion is that lengths </w:t>
      </w:r>
      <w:r w:rsidR="00010D4C" w:rsidRPr="00010D4C">
        <w:rPr>
          <w:color w:val="000000" w:themeColor="text1"/>
        </w:rPr>
        <w:t>decreased</w:t>
      </w:r>
      <w:r w:rsidRPr="00010D4C">
        <w:rPr>
          <w:color w:val="000000" w:themeColor="text1"/>
        </w:rPr>
        <w:t xml:space="preserve"> between 2000 and 2010 </w:t>
      </w:r>
      <w:r w:rsidR="00010D4C" w:rsidRPr="00010D4C">
        <w:rPr>
          <w:color w:val="000000" w:themeColor="text1"/>
        </w:rPr>
        <w:t>then increased</w:t>
      </w:r>
      <w:r w:rsidRPr="00010D4C">
        <w:rPr>
          <w:color w:val="000000" w:themeColor="text1"/>
        </w:rPr>
        <w:t xml:space="preserve"> between 2010 and 202</w:t>
      </w:r>
      <w:r w:rsidR="00010D4C" w:rsidRPr="00010D4C">
        <w:rPr>
          <w:color w:val="000000" w:themeColor="text1"/>
        </w:rPr>
        <w:t>2</w:t>
      </w:r>
      <w:r w:rsidRPr="00010D4C">
        <w:rPr>
          <w:color w:val="000000" w:themeColor="text1"/>
        </w:rPr>
        <w:t xml:space="preserve">. </w:t>
      </w:r>
      <w:r w:rsidR="00010D4C" w:rsidRPr="00010D4C">
        <w:rPr>
          <w:color w:val="000000" w:themeColor="text1"/>
        </w:rPr>
        <w:t>The mining sector</w:t>
      </w:r>
      <w:r w:rsidR="00010D4C">
        <w:rPr>
          <w:color w:val="000000" w:themeColor="text1"/>
        </w:rPr>
        <w:t xml:space="preserve"> has </w:t>
      </w:r>
      <w:r w:rsidR="00800F2C">
        <w:rPr>
          <w:color w:val="000000" w:themeColor="text1"/>
        </w:rPr>
        <w:t xml:space="preserve">been </w:t>
      </w:r>
      <w:r w:rsidR="00010D4C">
        <w:rPr>
          <w:color w:val="000000" w:themeColor="text1"/>
        </w:rPr>
        <w:t>lengthen</w:t>
      </w:r>
      <w:r w:rsidR="00800F2C">
        <w:rPr>
          <w:color w:val="000000" w:themeColor="text1"/>
        </w:rPr>
        <w:t>ing</w:t>
      </w:r>
      <w:r w:rsidR="00010D4C">
        <w:rPr>
          <w:color w:val="000000" w:themeColor="text1"/>
        </w:rPr>
        <w:t xml:space="preserve"> consistently throughout the decades, from 7.83 stages in 2000, to 8.06 in 2010, to 8.36 in 2022.</w:t>
      </w:r>
      <w:r w:rsidR="00800F2C">
        <w:rPr>
          <w:color w:val="000000" w:themeColor="text1"/>
        </w:rPr>
        <w:t xml:space="preserve"> The same is not true for metals, which was 8.27 stages long in 2000 but only 8.19 stages long in 2022. Insofar as more production stages imply greater complexity, this suggests that Kazakhstan's metals sector has remained at the same level of sophistication for over two decades.</w:t>
      </w:r>
    </w:p>
    <w:p w14:paraId="46E6136F" w14:textId="04B29BE7" w:rsidR="0053063A" w:rsidRDefault="00B75F07" w:rsidP="0053063A">
      <w:pPr>
        <w:pStyle w:val="Caption"/>
      </w:pPr>
      <w:bookmarkStart w:id="43" w:name="_Ref77780487"/>
      <w:bookmarkStart w:id="44" w:name="_Toc83849809"/>
      <w:r>
        <w:rPr>
          <w:noProof/>
        </w:rPr>
        <w:drawing>
          <wp:anchor distT="0" distB="0" distL="114300" distR="114300" simplePos="0" relativeHeight="251749376" behindDoc="0" locked="0" layoutInCell="1" allowOverlap="1" wp14:anchorId="32FEF824" wp14:editId="7D90A58C">
            <wp:simplePos x="0" y="0"/>
            <wp:positionH relativeFrom="column">
              <wp:posOffset>0</wp:posOffset>
            </wp:positionH>
            <wp:positionV relativeFrom="paragraph">
              <wp:posOffset>192059</wp:posOffset>
            </wp:positionV>
            <wp:extent cx="5731510" cy="3580765"/>
            <wp:effectExtent l="0" t="0" r="0" b="0"/>
            <wp:wrapSquare wrapText="bothSides"/>
            <wp:docPr id="8570425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42508" name="Picture 857042508"/>
                    <pic:cNvPicPr/>
                  </pic:nvPicPr>
                  <pic:blipFill>
                    <a:blip r:embed="rId23">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53063A">
        <w:t xml:space="preserve">Figure </w:t>
      </w:r>
      <w:fldSimple w:instr=" STYLEREF 1 \s ">
        <w:r w:rsidR="00D57A44">
          <w:rPr>
            <w:noProof/>
            <w:cs/>
          </w:rPr>
          <w:t>‎</w:t>
        </w:r>
        <w:r w:rsidR="00D57A44">
          <w:rPr>
            <w:noProof/>
          </w:rPr>
          <w:t>3</w:t>
        </w:r>
      </w:fldSimple>
      <w:r w:rsidR="003F26C2">
        <w:t>.</w:t>
      </w:r>
      <w:fldSimple w:instr=" SEQ Figure \* ARABIC \s 1 ">
        <w:r w:rsidR="00D57A44">
          <w:rPr>
            <w:noProof/>
          </w:rPr>
          <w:t>6</w:t>
        </w:r>
      </w:fldSimple>
      <w:bookmarkEnd w:id="43"/>
      <w:r w:rsidR="0053063A">
        <w:t xml:space="preserve">: </w:t>
      </w:r>
      <w:r w:rsidR="007B0184">
        <w:t>GVC</w:t>
      </w:r>
      <w:r w:rsidR="0053063A">
        <w:t xml:space="preserve"> Production Lengths</w:t>
      </w:r>
      <w:r w:rsidR="00937F6D">
        <w:t xml:space="preserve"> </w:t>
      </w:r>
      <w:r w:rsidR="0053063A">
        <w:t xml:space="preserve">by Sector, </w:t>
      </w:r>
      <w:r w:rsidR="009C41B8">
        <w:t>Kazakhstan</w:t>
      </w:r>
      <w:r w:rsidR="008027F2">
        <w:t xml:space="preserve">, </w:t>
      </w:r>
      <w:r w:rsidR="00937F6D">
        <w:t>2000, 2010, 202</w:t>
      </w:r>
      <w:bookmarkEnd w:id="44"/>
      <w:r>
        <w:t>2</w:t>
      </w:r>
    </w:p>
    <w:p w14:paraId="09670DBA" w14:textId="09E6CFE9" w:rsidR="0053063A" w:rsidRDefault="00783CD8" w:rsidP="00653CBF">
      <w:pPr>
        <w:pStyle w:val="NotesAbbreviations"/>
      </w:pPr>
      <w:r>
        <w:t xml:space="preserve">AHF = </w:t>
      </w:r>
      <w:r w:rsidR="007D481E">
        <w:t>a</w:t>
      </w:r>
      <w:r w:rsidR="003D30AB" w:rsidRPr="003D30AB">
        <w:t>griculture, hunting, forestry and fishing</w:t>
      </w:r>
      <w:r w:rsidR="009E6D7A">
        <w:t>;</w:t>
      </w:r>
      <w:r>
        <w:t xml:space="preserve"> </w:t>
      </w:r>
      <w:r w:rsidR="00BF119F">
        <w:t>GVC = global value chain</w:t>
      </w:r>
      <w:r w:rsidR="009E6D7A">
        <w:t>;</w:t>
      </w:r>
      <w:r w:rsidR="00BF119F">
        <w:t xml:space="preserve"> </w:t>
      </w:r>
      <w:r w:rsidR="00010D4C">
        <w:t>MFM</w:t>
      </w:r>
      <w:r w:rsidR="00503A75">
        <w:t xml:space="preserve"> = </w:t>
      </w:r>
      <w:r w:rsidR="00010D4C">
        <w:t>basic metals and fabricated metal</w:t>
      </w:r>
      <w:r w:rsidR="009E6D7A">
        <w:t>;</w:t>
      </w:r>
      <w:r w:rsidR="00503A75">
        <w:t xml:space="preserve"> </w:t>
      </w:r>
      <w:r w:rsidR="00010D4C">
        <w:t>MIN = m</w:t>
      </w:r>
      <w:r w:rsidR="00010D4C" w:rsidRPr="003D30AB">
        <w:t>ining and quarrying</w:t>
      </w:r>
      <w:r w:rsidR="00010D4C">
        <w:t>; WST = w</w:t>
      </w:r>
      <w:r w:rsidR="00010D4C" w:rsidRPr="00010D4C">
        <w:t>holesale trade, except of motor vehicles and motorcycles</w:t>
      </w:r>
      <w:r w:rsidR="00B44A90">
        <w:t xml:space="preserve">. </w:t>
      </w:r>
    </w:p>
    <w:p w14:paraId="2046DBDC" w14:textId="42D990E7" w:rsidR="00A6213C" w:rsidRDefault="00A6213C" w:rsidP="00653CBF">
      <w:pPr>
        <w:pStyle w:val="Notes"/>
      </w:pPr>
      <w:r>
        <w:t>Notes:</w:t>
      </w:r>
      <w:r w:rsidR="00224DEC" w:rsidRPr="00224DEC">
        <w:t xml:space="preserve"> </w:t>
      </w:r>
      <w:r w:rsidR="00653CBF">
        <w:tab/>
      </w:r>
      <w:r w:rsidR="00224DEC">
        <w:t xml:space="preserve">Average </w:t>
      </w:r>
      <w:r w:rsidR="00874AE4">
        <w:t xml:space="preserve">global value chain </w:t>
      </w:r>
      <w:r w:rsidR="00224DEC">
        <w:t>production lengths are computed using the methodology of Wang, Wei, Yu, and Zhu (2017).</w:t>
      </w:r>
      <w:r w:rsidR="00F70F71">
        <w:t xml:space="preserve"> Values are the sum of forward and backward lengths. </w:t>
      </w:r>
      <w:r w:rsidR="00C42AE6">
        <w:t>Sectors with no global value chain production have no lengths and are not included in the chart.</w:t>
      </w:r>
      <w:r w:rsidR="00A25D4E">
        <w:t xml:space="preserve"> Sectors </w:t>
      </w:r>
      <w:r w:rsidR="00E90EB0">
        <w:t>are disaggregated by value-added origins</w:t>
      </w:r>
      <w:r w:rsidR="00A25D4E">
        <w:t xml:space="preserve">. </w:t>
      </w:r>
    </w:p>
    <w:p w14:paraId="2EF2FA7B" w14:textId="271CD0A2" w:rsidR="000D4991" w:rsidRDefault="00860741" w:rsidP="00EC75A5">
      <w:pPr>
        <w:pStyle w:val="NotesBottom"/>
      </w:pPr>
      <w:r>
        <w:t xml:space="preserve">Sources: </w:t>
      </w:r>
      <w:r>
        <w:tab/>
      </w:r>
      <w:r w:rsidRPr="00860741">
        <w:t xml:space="preserve">Z. Wang, S. Wei, X. Yu, and K. Zhu. 2017. Characterizing Global Value Chains: Production Length and </w:t>
      </w:r>
      <w:proofErr w:type="spellStart"/>
      <w:r w:rsidRPr="00860741">
        <w:t>Upstreamness</w:t>
      </w:r>
      <w:proofErr w:type="spellEnd"/>
      <w:r w:rsidRPr="00860741">
        <w:t xml:space="preserve">. </w:t>
      </w:r>
      <w:r w:rsidRPr="00860741">
        <w:rPr>
          <w:i/>
          <w:iCs/>
        </w:rPr>
        <w:t>NBER Working Paper No. 23261</w:t>
      </w:r>
      <w:r w:rsidRPr="00860741">
        <w:t>. Cambridge, MA: National Bureau of Economic Research</w:t>
      </w:r>
      <w:r>
        <w:t xml:space="preserve">; Asian Development Bank. Multiregional Input–Output Database </w:t>
      </w:r>
      <w:r w:rsidR="00010D4C">
        <w:t>(July 2023</w:t>
      </w:r>
      <w:r>
        <w:t>);</w:t>
      </w:r>
      <w:r w:rsidRPr="008F0425">
        <w:t xml:space="preserve"> </w:t>
      </w:r>
      <w:r>
        <w:t>Asian Development Bank estimates.</w:t>
      </w:r>
    </w:p>
    <w:p w14:paraId="20E19AD2" w14:textId="04F286F0" w:rsidR="00BA0ED4" w:rsidRDefault="00000000" w:rsidP="00DE6145">
      <w:fldSimple w:instr=" REF _Ref77797948 ">
        <w:r w:rsidR="00D57A44">
          <w:t xml:space="preserve">Figure </w:t>
        </w:r>
        <w:r w:rsidR="00D57A44">
          <w:rPr>
            <w:noProof/>
            <w:cs/>
          </w:rPr>
          <w:t>‎</w:t>
        </w:r>
        <w:r w:rsidR="00D57A44">
          <w:rPr>
            <w:noProof/>
          </w:rPr>
          <w:t>3</w:t>
        </w:r>
        <w:r w:rsidR="00D57A44">
          <w:t>.</w:t>
        </w:r>
        <w:r w:rsidR="00D57A44">
          <w:rPr>
            <w:noProof/>
          </w:rPr>
          <w:t>7</w:t>
        </w:r>
      </w:fldSimple>
      <w:r w:rsidR="00DA000F">
        <w:t xml:space="preserve"> takes a closer look at </w:t>
      </w:r>
      <w:r w:rsidR="00A25D4E">
        <w:t xml:space="preserve">the forward </w:t>
      </w:r>
      <w:r w:rsidR="00DA000F">
        <w:t xml:space="preserve">GVC length by </w:t>
      </w:r>
      <w:r w:rsidR="00FF6558">
        <w:t xml:space="preserve">breaking it down into </w:t>
      </w:r>
      <w:r w:rsidR="00205A78">
        <w:t>two</w:t>
      </w:r>
      <w:r w:rsidR="00FF6558">
        <w:t xml:space="preserve"> segments: stages that occur within the domestic economy</w:t>
      </w:r>
      <w:r w:rsidR="00205A78">
        <w:t xml:space="preserve"> and</w:t>
      </w:r>
      <w:r w:rsidR="00FF6558">
        <w:t xml:space="preserve"> stages that occur abroad. </w:t>
      </w:r>
      <w:r w:rsidR="00DE6145">
        <w:t xml:space="preserve">Note that this only looks at the forward GVC length, meaning production stages are counted from when value added is created in Kazakhstan; the stages that foreign value added underwent are not counted. In the aggregate, 1.64 stages of the GVC sector occur domestically while 2.84 stages occur abroad, for a total GVC production length of 4.48. Mining has a shorter GVC production length at 4.20 stages. Moreover, much of it occurs abroad: 2.95 stages versus the 1.25 stages that occur domestically. This suggests that Kazakhstan exports largely raw mining products, leaving it to foreign firms to process the materials further. The same is the case for the metals sector, where 1.39 stages occur domestically and 2.70 stages occur abroad. </w:t>
      </w:r>
    </w:p>
    <w:p w14:paraId="72B6099F" w14:textId="33662CB2" w:rsidR="00E9016F" w:rsidRDefault="00E9016F" w:rsidP="00E9016F">
      <w:pPr>
        <w:pStyle w:val="Caption"/>
      </w:pPr>
      <w:bookmarkStart w:id="45" w:name="_Ref77797948"/>
      <w:bookmarkStart w:id="46" w:name="_Toc83849810"/>
      <w:r>
        <w:t xml:space="preserve">Figure </w:t>
      </w:r>
      <w:fldSimple w:instr=" STYLEREF 1 \s ">
        <w:r w:rsidR="00D57A44">
          <w:rPr>
            <w:noProof/>
            <w:cs/>
          </w:rPr>
          <w:t>‎</w:t>
        </w:r>
        <w:r w:rsidR="00D57A44">
          <w:rPr>
            <w:noProof/>
          </w:rPr>
          <w:t>3</w:t>
        </w:r>
      </w:fldSimple>
      <w:r w:rsidR="003F26C2">
        <w:t>.</w:t>
      </w:r>
      <w:fldSimple w:instr=" SEQ Figure \* ARABIC \s 1 ">
        <w:r w:rsidR="00D57A44">
          <w:rPr>
            <w:noProof/>
          </w:rPr>
          <w:t>7</w:t>
        </w:r>
      </w:fldSimple>
      <w:bookmarkEnd w:id="45"/>
      <w:r>
        <w:t xml:space="preserve">: </w:t>
      </w:r>
      <w:r w:rsidR="00A25D4E">
        <w:t xml:space="preserve">Forward </w:t>
      </w:r>
      <w:r>
        <w:t xml:space="preserve">GVCs Lengths for Selected Sectors, </w:t>
      </w:r>
      <w:r w:rsidR="008027F2">
        <w:t xml:space="preserve">Pakistan, </w:t>
      </w:r>
      <w:r w:rsidR="005846E9">
        <w:t>2000, 2010, 20</w:t>
      </w:r>
      <w:r w:rsidR="00B75F07">
        <w:t>20</w:t>
      </w:r>
      <w:r w:rsidR="005846E9">
        <w:t xml:space="preserve">, </w:t>
      </w:r>
      <w:r>
        <w:t>202</w:t>
      </w:r>
      <w:bookmarkEnd w:id="46"/>
      <w:r w:rsidR="00B75F07">
        <w:rPr>
          <w:noProof/>
        </w:rPr>
        <w:drawing>
          <wp:anchor distT="0" distB="0" distL="114300" distR="114300" simplePos="0" relativeHeight="251750400" behindDoc="0" locked="0" layoutInCell="1" allowOverlap="1" wp14:anchorId="5F5EBDEF" wp14:editId="745675B8">
            <wp:simplePos x="0" y="0"/>
            <wp:positionH relativeFrom="column">
              <wp:posOffset>0</wp:posOffset>
            </wp:positionH>
            <wp:positionV relativeFrom="paragraph">
              <wp:posOffset>212090</wp:posOffset>
            </wp:positionV>
            <wp:extent cx="5731510" cy="3580765"/>
            <wp:effectExtent l="0" t="0" r="0" b="0"/>
            <wp:wrapSquare wrapText="bothSides"/>
            <wp:docPr id="16554938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93879" name="Picture 1655493879"/>
                    <pic:cNvPicPr/>
                  </pic:nvPicPr>
                  <pic:blipFill>
                    <a:blip r:embed="rId24">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B75F07">
        <w:t>2</w:t>
      </w:r>
    </w:p>
    <w:p w14:paraId="3B9D4739" w14:textId="6C68BDA0" w:rsidR="00F20E0B" w:rsidRDefault="00F20E0B" w:rsidP="009C2A5D">
      <w:pPr>
        <w:pStyle w:val="NotesAbbreviations"/>
      </w:pPr>
      <w:r>
        <w:t>GVC = global value chain</w:t>
      </w:r>
      <w:r w:rsidR="00B24E27">
        <w:t>.</w:t>
      </w:r>
    </w:p>
    <w:p w14:paraId="1BC2250F" w14:textId="36EF3D8C" w:rsidR="00F20E0B" w:rsidRDefault="00F20E0B" w:rsidP="009C2A5D">
      <w:pPr>
        <w:pStyle w:val="Notes"/>
      </w:pPr>
      <w:r>
        <w:t>Notes:</w:t>
      </w:r>
      <w:r w:rsidRPr="00224DEC">
        <w:t xml:space="preserve"> </w:t>
      </w:r>
      <w:r w:rsidR="009C2A5D">
        <w:tab/>
      </w:r>
      <w:r>
        <w:t xml:space="preserve">Average </w:t>
      </w:r>
      <w:r w:rsidR="00874AE4">
        <w:t xml:space="preserve">global value chain </w:t>
      </w:r>
      <w:r>
        <w:t xml:space="preserve">production lengths are computed using the methodology of Wang, Wei, Yu, and Zhu (2017). </w:t>
      </w:r>
      <w:r w:rsidR="00DD654A">
        <w:t>Sectors are disaggregated by value-added origins</w:t>
      </w:r>
      <w:r w:rsidR="00A25D4E">
        <w:t>.</w:t>
      </w:r>
    </w:p>
    <w:p w14:paraId="79511713" w14:textId="30696EAF" w:rsidR="00EC75A5" w:rsidRDefault="00EC75A5" w:rsidP="00EC75A5">
      <w:pPr>
        <w:pStyle w:val="NotesBottom"/>
      </w:pPr>
      <w:r>
        <w:t xml:space="preserve">Sources: </w:t>
      </w:r>
      <w:r>
        <w:tab/>
      </w:r>
      <w:r w:rsidRPr="00860741">
        <w:t xml:space="preserve">Z. Wang, S. Wei, X. Yu, and K. Zhu. 2017. Characterizing Global Value Chains: Production Length and </w:t>
      </w:r>
      <w:proofErr w:type="spellStart"/>
      <w:r w:rsidRPr="00860741">
        <w:t>Upstreamness</w:t>
      </w:r>
      <w:proofErr w:type="spellEnd"/>
      <w:r w:rsidRPr="00860741">
        <w:t xml:space="preserve">. </w:t>
      </w:r>
      <w:r w:rsidRPr="00860741">
        <w:rPr>
          <w:i/>
          <w:iCs/>
        </w:rPr>
        <w:t>NBER Working Paper No. 23261</w:t>
      </w:r>
      <w:r w:rsidRPr="00860741">
        <w:t>. Cambridge, MA: National Bureau of Economic Research</w:t>
      </w:r>
      <w:r>
        <w:t>; Asian Development Bank. Multiregional Input–Output Database</w:t>
      </w:r>
      <w:r w:rsidR="00E7116C">
        <w:t xml:space="preserve"> (July 2023</w:t>
      </w:r>
      <w:r>
        <w:t>);</w:t>
      </w:r>
      <w:r w:rsidRPr="008F0425">
        <w:t xml:space="preserve"> </w:t>
      </w:r>
      <w:r>
        <w:t>Asian Development Bank estimates.</w:t>
      </w:r>
    </w:p>
    <w:p w14:paraId="2C71B428" w14:textId="725BAC4E" w:rsidR="00C55D8C" w:rsidRDefault="00DE6145" w:rsidP="00C55D8C">
      <w:r>
        <w:t xml:space="preserve">The only major sector for which </w:t>
      </w:r>
      <w:r w:rsidR="005109C2">
        <w:t xml:space="preserve">both </w:t>
      </w:r>
      <w:r>
        <w:t xml:space="preserve">domestic </w:t>
      </w:r>
      <w:r w:rsidR="005109C2">
        <w:t xml:space="preserve">and foreign </w:t>
      </w:r>
      <w:r>
        <w:t>stages are increasingly significantly is wholesale trade. Forward GVC length here was 4.26 stages in 2000, of which 1.79 occu</w:t>
      </w:r>
      <w:r w:rsidR="005109C2">
        <w:t>rred domestically and 2.47 occurred abroad. By 2022, forward length was at 4.93 stages, of which 2.16 was domestic and 2.78 was foreign. The lengthening of wholesale trade suggests that exports here have been growing in complexity, with its value added undergoing more and more production stages both domestically and abroad.</w:t>
      </w:r>
    </w:p>
    <w:p w14:paraId="547DC355" w14:textId="3D652EB7" w:rsidR="00F83973" w:rsidRPr="00D11556" w:rsidRDefault="00A40B81" w:rsidP="00F03940">
      <w:r>
        <w:lastRenderedPageBreak/>
        <w:t>In conclusion, this</w:t>
      </w:r>
      <w:r w:rsidR="000779E8">
        <w:t xml:space="preserve"> survey into </w:t>
      </w:r>
      <w:r w:rsidR="005953B2">
        <w:t>Kazakhstan's</w:t>
      </w:r>
      <w:r w:rsidR="000779E8">
        <w:t xml:space="preserve"> GVC activities </w:t>
      </w:r>
      <w:r w:rsidR="004238CE">
        <w:t xml:space="preserve">points to an economy </w:t>
      </w:r>
      <w:r w:rsidR="005953B2">
        <w:t xml:space="preserve">whose GVC participation revolves mainly around the export of oil, a major input to production used the world over. Unfortunately, Kazakhstan appears to have remained in the relatively simple </w:t>
      </w:r>
      <w:r w:rsidR="00F03940">
        <w:t>segment</w:t>
      </w:r>
      <w:r w:rsidR="005953B2">
        <w:t xml:space="preserve"> of </w:t>
      </w:r>
      <w:r w:rsidR="00F03940">
        <w:t>this</w:t>
      </w:r>
      <w:r w:rsidR="005953B2">
        <w:t xml:space="preserve"> value chain, exporting raw materials that </w:t>
      </w:r>
      <w:r w:rsidR="00F03940">
        <w:t xml:space="preserve">other countries process. The only other significant GVC sector is metals manufacturing, which is the second-largest source of exports. However, it likewise remains on the simple end of the value chain. In terms of trading partners, Kazakhstan appears to be moving closer to the PRC at the expense of the Russian Federation. </w:t>
      </w:r>
      <w:r w:rsidR="00F83973">
        <w:rPr>
          <w:rFonts w:ascii="Calibri" w:eastAsia="Calibri" w:hAnsi="Calibri" w:cs="Calibri"/>
        </w:rPr>
        <w:br w:type="page"/>
      </w:r>
    </w:p>
    <w:p w14:paraId="117FB6F2" w14:textId="211C36F4" w:rsidR="00F83973" w:rsidRDefault="004329D6" w:rsidP="004329D6">
      <w:pPr>
        <w:pStyle w:val="Heading1"/>
      </w:pPr>
      <w:bookmarkStart w:id="47" w:name="_Toc83849789"/>
      <w:r>
        <w:lastRenderedPageBreak/>
        <w:t>Specialization and Competitiveness</w:t>
      </w:r>
      <w:bookmarkEnd w:id="47"/>
    </w:p>
    <w:p w14:paraId="00A260D7" w14:textId="3BB2BA83" w:rsidR="004329D6" w:rsidRDefault="00F077AD" w:rsidP="00603400">
      <w:r>
        <w:t xml:space="preserve">This chapter uses GVC-adjusted versions of two classic trade indicators to explore </w:t>
      </w:r>
      <w:r w:rsidR="001C1FE5">
        <w:t>Kazakhstan's</w:t>
      </w:r>
      <w:r>
        <w:t xml:space="preserve"> specialization and competitiveness. </w:t>
      </w:r>
      <w:r w:rsidR="00712730">
        <w:t>First, t</w:t>
      </w:r>
      <w:r w:rsidR="00C26C76">
        <w:t>he revealed comparative advantage index</w:t>
      </w:r>
      <w:r w:rsidR="007A0F4C">
        <w:t xml:space="preserve">, proposed by Balassa (1965), </w:t>
      </w:r>
      <w:r w:rsidR="000539C6">
        <w:t>describes patterns of specialization</w:t>
      </w:r>
      <w:r w:rsidR="0088260F">
        <w:t xml:space="preserve"> given </w:t>
      </w:r>
      <w:r w:rsidR="00B027B0">
        <w:t>a country</w:t>
      </w:r>
      <w:r w:rsidR="0088260F">
        <w:t>’s trade flows</w:t>
      </w:r>
      <w:r w:rsidR="00626460">
        <w:t>.</w:t>
      </w:r>
      <w:r w:rsidR="004F7748">
        <w:t xml:space="preserve"> </w:t>
      </w:r>
      <w:r w:rsidR="00CB158B">
        <w:t>Second, the real effective exchange rate</w:t>
      </w:r>
      <w:r w:rsidR="00FF0C14">
        <w:t>, developed by the International Monetary Fund (</w:t>
      </w:r>
      <w:proofErr w:type="spellStart"/>
      <w:r w:rsidR="00E22972">
        <w:t>Bayoumi</w:t>
      </w:r>
      <w:proofErr w:type="spellEnd"/>
      <w:r w:rsidR="00FF0C14">
        <w:t xml:space="preserve"> </w:t>
      </w:r>
      <w:r w:rsidR="00E22972">
        <w:t>2005</w:t>
      </w:r>
      <w:r w:rsidR="00FF0C14">
        <w:t>),</w:t>
      </w:r>
      <w:r w:rsidR="00CB158B">
        <w:t xml:space="preserve"> </w:t>
      </w:r>
      <w:r w:rsidR="00FF0C14">
        <w:t xml:space="preserve">summarizes </w:t>
      </w:r>
      <w:r w:rsidR="00EA35DE">
        <w:t xml:space="preserve">changes in </w:t>
      </w:r>
      <w:r w:rsidR="00FF0C14">
        <w:t>the price levels of a</w:t>
      </w:r>
      <w:r w:rsidR="00B027B0">
        <w:t xml:space="preserve"> country</w:t>
      </w:r>
      <w:r w:rsidR="00FF0C14">
        <w:t>’s exports relative to its competitors</w:t>
      </w:r>
      <w:r w:rsidR="004F0B97">
        <w:t xml:space="preserve">, thereby </w:t>
      </w:r>
      <w:r w:rsidR="00EF64B9">
        <w:t>measur</w:t>
      </w:r>
      <w:r w:rsidR="004F0B97">
        <w:t>ing</w:t>
      </w:r>
      <w:r w:rsidR="00EF64B9">
        <w:t xml:space="preserve"> price competitiveness.</w:t>
      </w:r>
      <w:r w:rsidR="00942B2C">
        <w:t xml:space="preserve"> Using the frameworks discussed in the previous chapter, both these indicators may be adjusted to reflect value</w:t>
      </w:r>
      <w:r w:rsidR="001B590A">
        <w:t xml:space="preserve"> </w:t>
      </w:r>
      <w:r w:rsidR="00942B2C">
        <w:t xml:space="preserve">added rather than gross flows, </w:t>
      </w:r>
      <w:r w:rsidR="00561919">
        <w:t xml:space="preserve">lending them new relevance in the GVC era. </w:t>
      </w:r>
    </w:p>
    <w:p w14:paraId="2C3C123D" w14:textId="35BD17EF" w:rsidR="00A16A0A" w:rsidRDefault="004713AC" w:rsidP="00824EF4">
      <w:r>
        <w:t xml:space="preserve">The </w:t>
      </w:r>
      <w:r w:rsidR="00A35D41">
        <w:t>concept</w:t>
      </w:r>
      <w:r>
        <w:t xml:space="preserve"> of comparative advantage originated </w:t>
      </w:r>
      <w:r w:rsidR="00A35D41">
        <w:t>with</w:t>
      </w:r>
      <w:r>
        <w:t xml:space="preserve"> the English economist David Ricardo in the 19</w:t>
      </w:r>
      <w:r w:rsidRPr="004713AC">
        <w:rPr>
          <w:vertAlign w:val="superscript"/>
        </w:rPr>
        <w:t>th</w:t>
      </w:r>
      <w:r>
        <w:t xml:space="preserve"> century. </w:t>
      </w:r>
      <w:r w:rsidR="00737199">
        <w:t>Balassa operationali</w:t>
      </w:r>
      <w:r w:rsidR="00F15FC7">
        <w:t>zed</w:t>
      </w:r>
      <w:r w:rsidR="00737199">
        <w:t xml:space="preserve"> </w:t>
      </w:r>
      <w:r w:rsidR="00F15FC7">
        <w:t>it</w:t>
      </w:r>
      <w:r w:rsidR="00737199">
        <w:t xml:space="preserve"> </w:t>
      </w:r>
      <w:r w:rsidR="00F15FC7">
        <w:t xml:space="preserve">with his </w:t>
      </w:r>
      <w:r w:rsidR="00447E68">
        <w:t xml:space="preserve">revealed comparative advantage (RCA) </w:t>
      </w:r>
      <w:r w:rsidR="00A16A0A">
        <w:t>index</w:t>
      </w:r>
      <w:r w:rsidR="00F15FC7">
        <w:t>,</w:t>
      </w:r>
      <w:r w:rsidR="00A16A0A">
        <w:t xml:space="preserve"> a ratio </w:t>
      </w:r>
      <w:r w:rsidR="00F15FC7">
        <w:t xml:space="preserve">that compares the share of a sector in a given </w:t>
      </w:r>
      <w:r w:rsidR="003B17BE">
        <w:t>country</w:t>
      </w:r>
      <w:r w:rsidR="00F15FC7">
        <w:t xml:space="preserve">’s exports to the </w:t>
      </w:r>
      <w:r w:rsidR="003B17BE">
        <w:t xml:space="preserve">average </w:t>
      </w:r>
      <w:r w:rsidR="00F15FC7">
        <w:t xml:space="preserve">share of that sector </w:t>
      </w:r>
      <w:r w:rsidR="003B17BE">
        <w:t>across all</w:t>
      </w:r>
      <w:r w:rsidR="00F15FC7">
        <w:t xml:space="preserve"> </w:t>
      </w:r>
      <w:r w:rsidR="003B17BE">
        <w:t>countries</w:t>
      </w:r>
      <w:r w:rsidR="00F15FC7">
        <w:t xml:space="preserve">. </w:t>
      </w:r>
      <w:r w:rsidR="00C62E31">
        <w:t>By convention, an RCA index of greater than 1 indicates a comparative advantage in that sector.</w:t>
      </w:r>
      <w:r w:rsidR="003729AD">
        <w:t xml:space="preserve"> This chapter uses two versions of the RCA index to examine Pakistan’s </w:t>
      </w:r>
      <w:r w:rsidR="00002ADC">
        <w:t xml:space="preserve">sectoral </w:t>
      </w:r>
      <w:r w:rsidR="003729AD">
        <w:t xml:space="preserve">specialization: the standard RCA that uses gross exports and a GVC-adjusted RCA that uses value-added exports. Details of this methodology are in </w:t>
      </w:r>
      <w:fldSimple w:instr=" REF _Ref79068191  \* MERGEFORMAT ">
        <w:r w:rsidR="00D57A44" w:rsidRPr="004656A0">
          <w:t xml:space="preserve">Box </w:t>
        </w:r>
        <w:r w:rsidR="00D57A44">
          <w:rPr>
            <w:noProof/>
          </w:rPr>
          <w:t>5</w:t>
        </w:r>
      </w:fldSimple>
      <w:r w:rsidR="003729AD">
        <w:t>.</w:t>
      </w:r>
      <w:r w:rsidR="00C62E31">
        <w:t xml:space="preserve"> </w:t>
      </w:r>
    </w:p>
    <w:tbl>
      <w:tblPr>
        <w:tblStyle w:val="TableGrid"/>
        <w:tblW w:w="0" w:type="auto"/>
        <w:tblLook w:val="04A0" w:firstRow="1" w:lastRow="0" w:firstColumn="1" w:lastColumn="0" w:noHBand="0" w:noVBand="1"/>
      </w:tblPr>
      <w:tblGrid>
        <w:gridCol w:w="9016"/>
      </w:tblGrid>
      <w:tr w:rsidR="004E6784" w14:paraId="4D864A6F" w14:textId="77777777" w:rsidTr="00F15FC7">
        <w:tc>
          <w:tcPr>
            <w:tcW w:w="9016" w:type="dxa"/>
          </w:tcPr>
          <w:p w14:paraId="27AB8C90" w14:textId="780EA98D" w:rsidR="004E6784" w:rsidRPr="004656A0" w:rsidRDefault="004E6784" w:rsidP="004656A0">
            <w:pPr>
              <w:pStyle w:val="Caption"/>
            </w:pPr>
            <w:bookmarkStart w:id="48" w:name="_Ref79068191"/>
            <w:bookmarkStart w:id="49" w:name="_Toc139902364"/>
            <w:r w:rsidRPr="004656A0">
              <w:t xml:space="preserve">Box </w:t>
            </w:r>
            <w:fldSimple w:instr=" SEQ Box \* ARABIC ">
              <w:r w:rsidR="00D57A44">
                <w:rPr>
                  <w:noProof/>
                </w:rPr>
                <w:t>5</w:t>
              </w:r>
            </w:fldSimple>
            <w:bookmarkEnd w:id="48"/>
            <w:r w:rsidRPr="004656A0">
              <w:t>: Calculating the Revealed Comparative Advantage Index</w:t>
            </w:r>
            <w:bookmarkEnd w:id="49"/>
          </w:p>
          <w:p w14:paraId="37EBAD22" w14:textId="30A3645F" w:rsidR="003C7A1F" w:rsidRDefault="00E177DF" w:rsidP="003E6808">
            <w:pPr>
              <w:pStyle w:val="Box"/>
            </w:pPr>
            <w:r>
              <w:t>C</w:t>
            </w:r>
            <w:r w:rsidR="00737199">
              <w:t xml:space="preserve">omparative advantage is used to explain prevailing patterns of trade, the theory being that </w:t>
            </w:r>
            <w:r w:rsidR="003B17BE">
              <w:t>countries</w:t>
            </w:r>
            <w:r w:rsidR="00737199">
              <w:t xml:space="preserve"> export goods and services they have a comparative advantage in and import the rest. </w:t>
            </w:r>
            <w:r w:rsidR="003C7A1F">
              <w:t xml:space="preserve">If there are two goods, cars and shirts, and two </w:t>
            </w:r>
            <w:r w:rsidR="003B17BE">
              <w:t>countries</w:t>
            </w:r>
            <w:r w:rsidR="003C7A1F">
              <w:t>, A and B, and if A’s proficiency in making cars relative to shirts is better than B’s proficiency in making cars relative to shirts, then A will be exporting cars to B</w:t>
            </w:r>
            <w:r w:rsidR="00D945A2">
              <w:t xml:space="preserve"> and B will be exporting shirts to A</w:t>
            </w:r>
            <w:r w:rsidR="003C7A1F">
              <w:t xml:space="preserve">. </w:t>
            </w:r>
            <w:r w:rsidR="00870B3E">
              <w:t xml:space="preserve">Note that B might be absolutely better than A at making </w:t>
            </w:r>
            <w:r w:rsidR="003D1A85">
              <w:t xml:space="preserve">both </w:t>
            </w:r>
            <w:r w:rsidR="00870B3E">
              <w:t>cars</w:t>
            </w:r>
            <w:r w:rsidR="003D1A85">
              <w:t xml:space="preserve"> and shirts</w:t>
            </w:r>
            <w:r w:rsidR="00870B3E">
              <w:t xml:space="preserve">: what is crucial </w:t>
            </w:r>
            <w:r w:rsidR="00EB4862">
              <w:t>is</w:t>
            </w:r>
            <w:r w:rsidR="00870B3E">
              <w:t xml:space="preserve"> </w:t>
            </w:r>
            <w:r w:rsidR="00870B3E" w:rsidRPr="00870B3E">
              <w:rPr>
                <w:i/>
                <w:iCs/>
              </w:rPr>
              <w:t>comparative</w:t>
            </w:r>
            <w:r w:rsidR="00870B3E">
              <w:t xml:space="preserve"> proficiency.</w:t>
            </w:r>
          </w:p>
          <w:p w14:paraId="02F42FD1" w14:textId="7EE9CFBA" w:rsidR="00E177DF" w:rsidRDefault="00870B3E" w:rsidP="003E6808">
            <w:pPr>
              <w:pStyle w:val="Box"/>
            </w:pPr>
            <w:r>
              <w:t xml:space="preserve">Balassa </w:t>
            </w:r>
            <w:r w:rsidR="00C668C2">
              <w:t xml:space="preserve">(1965) </w:t>
            </w:r>
            <w:r>
              <w:t xml:space="preserve">operationalized this concept </w:t>
            </w:r>
            <w:r w:rsidR="004276E9">
              <w:t xml:space="preserve">with </w:t>
            </w:r>
            <w:r>
              <w:t>a ratio</w:t>
            </w:r>
            <w:r w:rsidR="00781409">
              <w:t xml:space="preserve"> called the revealed comparative advantage (RCA) index</w:t>
            </w:r>
            <w:r>
              <w:t xml:space="preserve">. </w:t>
            </w:r>
            <w:r w:rsidR="004276E9">
              <w:t xml:space="preserve">Take the share of sector </w:t>
            </w:r>
            <m:oMath>
              <m:r>
                <w:rPr>
                  <w:rFonts w:ascii="Cambria Math" w:hAnsi="Cambria Math"/>
                </w:rPr>
                <m:t>i</m:t>
              </m:r>
            </m:oMath>
            <w:r w:rsidR="004276E9">
              <w:t xml:space="preserve"> in a given </w:t>
            </w:r>
            <w:r w:rsidR="00DD037D">
              <w:t>country</w:t>
            </w:r>
            <w:r w:rsidR="004276E9">
              <w:t xml:space="preserve">’s exports and compare it with the average share of sector </w:t>
            </w:r>
            <m:oMath>
              <m:r>
                <w:rPr>
                  <w:rFonts w:ascii="Cambria Math" w:hAnsi="Cambria Math"/>
                </w:rPr>
                <m:t>i</m:t>
              </m:r>
            </m:oMath>
            <w:r w:rsidR="004276E9">
              <w:t xml:space="preserve"> </w:t>
            </w:r>
            <w:r w:rsidR="00626460">
              <w:t>across</w:t>
            </w:r>
            <w:r w:rsidR="004276E9">
              <w:t xml:space="preserve"> all </w:t>
            </w:r>
            <w:r w:rsidR="00177A7D">
              <w:t>countries</w:t>
            </w:r>
            <w:r w:rsidR="004276E9">
              <w:t xml:space="preserve">’ exports. </w:t>
            </w:r>
            <w:r w:rsidR="004D5DE3">
              <w:t xml:space="preserve">If it is higher, then the </w:t>
            </w:r>
            <w:r w:rsidR="00DA3CD4">
              <w:t>country</w:t>
            </w:r>
            <w:r w:rsidR="004D5DE3">
              <w:t xml:space="preserve">’s export make-up “reveals” it to have a comparative advantage in sector </w:t>
            </w:r>
            <m:oMath>
              <m:r>
                <w:rPr>
                  <w:rFonts w:ascii="Cambria Math" w:hAnsi="Cambria Math"/>
                </w:rPr>
                <m:t>i</m:t>
              </m:r>
            </m:oMath>
            <w:r w:rsidR="004D5DE3">
              <w:t xml:space="preserve">. If it is lower, then it reveals </w:t>
            </w:r>
            <w:r w:rsidR="006223A2">
              <w:t>the absence of</w:t>
            </w:r>
            <w:r w:rsidR="004D5DE3">
              <w:t xml:space="preserve"> a comparative advantage in that sector. </w:t>
            </w:r>
            <w:r w:rsidR="00115676">
              <w:t>Formally,</w:t>
            </w:r>
            <w:r w:rsidR="006C3F55">
              <w:t xml:space="preserve"> </w:t>
            </w:r>
            <w:r w:rsidR="00DA3CD4">
              <w:t>country</w:t>
            </w:r>
            <w:r w:rsidR="006C3F55">
              <w:t xml:space="preserve"> </w:t>
            </w:r>
            <m:oMath>
              <m:r>
                <w:rPr>
                  <w:rFonts w:ascii="Cambria Math" w:hAnsi="Cambria Math"/>
                </w:rPr>
                <m:t>s</m:t>
              </m:r>
            </m:oMath>
            <w:r w:rsidR="006C3F55">
              <w:t xml:space="preserve">’s RCA index for </w:t>
            </w:r>
            <w:r w:rsidR="002B04D1">
              <w:t xml:space="preserve">sector </w:t>
            </w:r>
            <m:oMath>
              <m:r>
                <w:rPr>
                  <w:rFonts w:ascii="Cambria Math" w:hAnsi="Cambria Math"/>
                </w:rPr>
                <m:t>i</m:t>
              </m:r>
            </m:oMath>
            <w:r w:rsidR="002B04D1">
              <w:rPr>
                <w:iCs/>
              </w:rPr>
              <w:t xml:space="preserve"> is given by</w:t>
            </w:r>
          </w:p>
          <w:p w14:paraId="446A15E6" w14:textId="1A21F017" w:rsidR="00115676" w:rsidRDefault="00115676" w:rsidP="003E6808">
            <w:pPr>
              <w:pStyle w:val="Box"/>
            </w:pPr>
            <m:oMathPara>
              <m:oMath>
                <m:r>
                  <w:rPr>
                    <w:rFonts w:ascii="Cambria Math" w:hAnsi="Cambria Math"/>
                  </w:rPr>
                  <m:t>RC</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s,i</m:t>
                        </m:r>
                      </m:e>
                    </m:d>
                  </m:sub>
                </m:sSub>
                <m:r>
                  <w:rPr>
                    <w:rFonts w:ascii="Cambria Math" w:hAnsi="Cambria Math"/>
                  </w:rPr>
                  <m:t>=</m:t>
                </m:r>
                <m:f>
                  <m:fPr>
                    <m:ctrlPr>
                      <w:rPr>
                        <w:rFonts w:ascii="Cambria Math" w:hAnsi="Cambria Math"/>
                        <w:i/>
                      </w:rPr>
                    </m:ctrlPr>
                  </m:fPr>
                  <m:num>
                    <m:r>
                      <w:rPr>
                        <w:rFonts w:ascii="Cambria Math" w:hAnsi="Cambria Math"/>
                      </w:rPr>
                      <m:t>Export</m:t>
                    </m:r>
                    <m:sSub>
                      <m:sSubPr>
                        <m:ctrlPr>
                          <w:rPr>
                            <w:rFonts w:ascii="Cambria Math" w:hAnsi="Cambria Math"/>
                            <w:i/>
                          </w:rPr>
                        </m:ctrlPr>
                      </m:sSubPr>
                      <m:e>
                        <m:r>
                          <w:rPr>
                            <w:rFonts w:ascii="Cambria Math" w:hAnsi="Cambria Math"/>
                          </w:rPr>
                          <m:t>s</m:t>
                        </m:r>
                      </m:e>
                      <m:sub>
                        <m:d>
                          <m:dPr>
                            <m:ctrlPr>
                              <w:rPr>
                                <w:rFonts w:ascii="Cambria Math" w:hAnsi="Cambria Math"/>
                                <w:i/>
                              </w:rPr>
                            </m:ctrlPr>
                          </m:dPr>
                          <m:e>
                            <m:r>
                              <w:rPr>
                                <w:rFonts w:ascii="Cambria Math" w:hAnsi="Cambria Math"/>
                              </w:rPr>
                              <m:t>s,i</m:t>
                            </m:r>
                          </m:e>
                        </m:d>
                      </m:sub>
                    </m:sSub>
                    <m:r>
                      <w:rPr>
                        <w:rFonts w:ascii="Cambria Math" w:hAnsi="Cambria Math"/>
                      </w:rPr>
                      <m:t>/Export</m:t>
                    </m:r>
                    <m:sSub>
                      <m:sSubPr>
                        <m:ctrlPr>
                          <w:rPr>
                            <w:rFonts w:ascii="Cambria Math" w:hAnsi="Cambria Math"/>
                            <w:i/>
                          </w:rPr>
                        </m:ctrlPr>
                      </m:sSubPr>
                      <m:e>
                        <m:r>
                          <w:rPr>
                            <w:rFonts w:ascii="Cambria Math" w:hAnsi="Cambria Math"/>
                          </w:rPr>
                          <m:t>s</m:t>
                        </m:r>
                      </m:e>
                      <m:sub>
                        <m:r>
                          <w:rPr>
                            <w:rFonts w:ascii="Cambria Math" w:hAnsi="Cambria Math"/>
                          </w:rPr>
                          <m:t>s</m:t>
                        </m:r>
                      </m:sub>
                    </m:sSub>
                  </m:num>
                  <m:den>
                    <m:nary>
                      <m:naryPr>
                        <m:chr m:val="∑"/>
                        <m:limLoc m:val="subSup"/>
                        <m:supHide m:val="1"/>
                        <m:ctrlPr>
                          <w:rPr>
                            <w:rFonts w:ascii="Cambria Math" w:hAnsi="Cambria Math"/>
                            <w:i/>
                          </w:rPr>
                        </m:ctrlPr>
                      </m:naryPr>
                      <m:sub>
                        <m:r>
                          <w:rPr>
                            <w:rFonts w:ascii="Cambria Math" w:hAnsi="Cambria Math"/>
                          </w:rPr>
                          <m:t>r</m:t>
                        </m:r>
                      </m:sub>
                      <m:sup/>
                      <m:e>
                        <m:r>
                          <w:rPr>
                            <w:rFonts w:ascii="Cambria Math" w:hAnsi="Cambria Math"/>
                          </w:rPr>
                          <m:t>Export</m:t>
                        </m:r>
                        <m:sSub>
                          <m:sSubPr>
                            <m:ctrlPr>
                              <w:rPr>
                                <w:rFonts w:ascii="Cambria Math" w:hAnsi="Cambria Math"/>
                                <w:i/>
                              </w:rPr>
                            </m:ctrlPr>
                          </m:sSubPr>
                          <m:e>
                            <m:r>
                              <w:rPr>
                                <w:rFonts w:ascii="Cambria Math" w:hAnsi="Cambria Math"/>
                              </w:rPr>
                              <m:t>s</m:t>
                            </m:r>
                          </m:e>
                          <m:sub>
                            <m:d>
                              <m:dPr>
                                <m:ctrlPr>
                                  <w:rPr>
                                    <w:rFonts w:ascii="Cambria Math" w:hAnsi="Cambria Math"/>
                                    <w:i/>
                                  </w:rPr>
                                </m:ctrlPr>
                              </m:dPr>
                              <m:e>
                                <m:r>
                                  <w:rPr>
                                    <w:rFonts w:ascii="Cambria Math" w:hAnsi="Cambria Math"/>
                                  </w:rPr>
                                  <m:t>r,i</m:t>
                                </m:r>
                              </m:e>
                            </m:d>
                          </m:sub>
                        </m:sSub>
                        <m:r>
                          <w:rPr>
                            <w:rFonts w:ascii="Cambria Math" w:hAnsi="Cambria Math"/>
                          </w:rPr>
                          <m:t>/Export</m:t>
                        </m:r>
                        <m:sSub>
                          <m:sSubPr>
                            <m:ctrlPr>
                              <w:rPr>
                                <w:rFonts w:ascii="Cambria Math" w:hAnsi="Cambria Math"/>
                                <w:i/>
                              </w:rPr>
                            </m:ctrlPr>
                          </m:sSubPr>
                          <m:e>
                            <m:r>
                              <w:rPr>
                                <w:rFonts w:ascii="Cambria Math" w:hAnsi="Cambria Math"/>
                              </w:rPr>
                              <m:t>s</m:t>
                            </m:r>
                          </m:e>
                          <m:sub>
                            <m:r>
                              <w:rPr>
                                <w:rFonts w:ascii="Cambria Math" w:hAnsi="Cambria Math"/>
                              </w:rPr>
                              <m:t>r</m:t>
                            </m:r>
                          </m:sub>
                        </m:sSub>
                      </m:e>
                    </m:nary>
                  </m:den>
                </m:f>
              </m:oMath>
            </m:oMathPara>
          </w:p>
          <w:p w14:paraId="1CD552B2" w14:textId="041ACE7A" w:rsidR="004E6784" w:rsidRDefault="00611EF4" w:rsidP="003E6808">
            <w:pPr>
              <w:pStyle w:val="Box"/>
            </w:pPr>
            <w:r>
              <w:t xml:space="preserve">where the denominator sums across all economies </w:t>
            </w:r>
            <m:oMath>
              <m:r>
                <w:rPr>
                  <w:rFonts w:ascii="Cambria Math" w:hAnsi="Cambria Math"/>
                </w:rPr>
                <m:t>r</m:t>
              </m:r>
            </m:oMath>
            <w:r>
              <w:t xml:space="preserve"> in the world.</w:t>
            </w:r>
            <w:r w:rsidR="00602E45">
              <w:t xml:space="preserve"> An RCA </w:t>
            </w:r>
            <w:r w:rsidR="007F7FB3">
              <w:t xml:space="preserve">index </w:t>
            </w:r>
            <w:r w:rsidR="00602E45">
              <w:t xml:space="preserve">of higher than 1 indicates a comparative advantage in that sector while </w:t>
            </w:r>
            <w:r w:rsidR="007F7FB3">
              <w:t xml:space="preserve">an index </w:t>
            </w:r>
            <w:r w:rsidR="00602E45">
              <w:t xml:space="preserve">lower than 1 indicates </w:t>
            </w:r>
            <w:r w:rsidR="006E5896">
              <w:t xml:space="preserve">the </w:t>
            </w:r>
            <w:r w:rsidR="00602E45">
              <w:t xml:space="preserve">lack of a comparative advantage. </w:t>
            </w:r>
          </w:p>
          <w:p w14:paraId="3299B5A1" w14:textId="23A0D184" w:rsidR="00AF1FF2" w:rsidRDefault="00AF1FF2" w:rsidP="003E6808">
            <w:pPr>
              <w:pStyle w:val="Box"/>
            </w:pPr>
            <w:r>
              <w:t>As discussed in Asian Development Bank (2021)</w:t>
            </w:r>
            <w:r w:rsidR="00BB13E2">
              <w:t xml:space="preserve">, </w:t>
            </w:r>
            <w:r w:rsidR="00801B48">
              <w:t xml:space="preserve">the RCA index may be </w:t>
            </w:r>
            <w:r w:rsidR="00904081">
              <w:t xml:space="preserve">adjusted to account for global value chains by </w:t>
            </w:r>
            <w:r w:rsidR="00E81BC6">
              <w:t xml:space="preserve">using </w:t>
            </w:r>
            <w:r w:rsidR="00904081">
              <w:t>value-added exports. This removes foreign value</w:t>
            </w:r>
            <w:r w:rsidR="005B74EC">
              <w:t xml:space="preserve"> </w:t>
            </w:r>
            <w:r w:rsidR="00904081">
              <w:t xml:space="preserve">added and pure double-counting from the </w:t>
            </w:r>
            <w:r w:rsidR="00A05D6B">
              <w:t>country</w:t>
            </w:r>
            <w:r w:rsidR="00904081">
              <w:t>’s exports</w:t>
            </w:r>
            <w:r w:rsidR="00F72E4C">
              <w:t xml:space="preserve">, resulting in an RCA index that is based on </w:t>
            </w:r>
            <w:r w:rsidR="008A78D7">
              <w:t xml:space="preserve">domestic </w:t>
            </w:r>
            <w:r w:rsidR="00F72E4C">
              <w:t>value</w:t>
            </w:r>
            <w:r w:rsidR="001B590A">
              <w:t xml:space="preserve"> </w:t>
            </w:r>
            <w:r w:rsidR="00F72E4C">
              <w:t>added flows</w:t>
            </w:r>
            <w:r w:rsidR="003628F0">
              <w:t xml:space="preserve"> that are absorbed abroad</w:t>
            </w:r>
            <w:r w:rsidR="00F72E4C">
              <w:t xml:space="preserve"> (see </w:t>
            </w:r>
            <w:fldSimple w:instr=" REF _Ref77751741  \* MERGEFORMAT ">
              <w:r w:rsidR="00D57A44" w:rsidRPr="009F0FF5">
                <w:t xml:space="preserve">Box </w:t>
              </w:r>
              <w:r w:rsidR="00D57A44">
                <w:rPr>
                  <w:noProof/>
                </w:rPr>
                <w:t>3</w:t>
              </w:r>
            </w:fldSimple>
            <w:r w:rsidR="00F72E4C">
              <w:t>)</w:t>
            </w:r>
            <w:r w:rsidR="00904081">
              <w:t>.</w:t>
            </w:r>
            <w:r w:rsidR="009D5E99">
              <w:t xml:space="preserve"> In this chapter, sector </w:t>
            </w:r>
            <w:proofErr w:type="spellStart"/>
            <w:r w:rsidR="009D5E99">
              <w:t>disaggregations</w:t>
            </w:r>
            <w:proofErr w:type="spellEnd"/>
            <w:r w:rsidR="009D5E99">
              <w:t xml:space="preserve"> are by value</w:t>
            </w:r>
            <w:r w:rsidR="001B590A">
              <w:t xml:space="preserve"> </w:t>
            </w:r>
            <w:r w:rsidR="009D5E99">
              <w:t>added origins.</w:t>
            </w:r>
          </w:p>
          <w:p w14:paraId="0082E665" w14:textId="5FDEE69A" w:rsidR="000A153F" w:rsidRPr="00BF09C9" w:rsidRDefault="000A153F" w:rsidP="003E6808">
            <w:pPr>
              <w:pStyle w:val="Box"/>
              <w:rPr>
                <w:b/>
                <w:bCs/>
              </w:rPr>
            </w:pPr>
            <w:r w:rsidRPr="00BF09C9">
              <w:rPr>
                <w:b/>
                <w:bCs/>
              </w:rPr>
              <w:lastRenderedPageBreak/>
              <w:t>References</w:t>
            </w:r>
          </w:p>
          <w:p w14:paraId="3FC30DD4" w14:textId="77777777" w:rsidR="00BF09C9" w:rsidRDefault="00BF09C9" w:rsidP="00BF09C9">
            <w:pPr>
              <w:pStyle w:val="BoxReferences"/>
            </w:pPr>
            <w:r>
              <w:t xml:space="preserve">Asian Development Bank. 2021. </w:t>
            </w:r>
            <w:r w:rsidRPr="007F7DC5">
              <w:rPr>
                <w:i/>
                <w:iCs/>
              </w:rPr>
              <w:t>Key Indica</w:t>
            </w:r>
            <w:r>
              <w:rPr>
                <w:i/>
                <w:iCs/>
              </w:rPr>
              <w:t>t</w:t>
            </w:r>
            <w:r w:rsidRPr="007F7DC5">
              <w:rPr>
                <w:i/>
                <w:iCs/>
              </w:rPr>
              <w:t>ors for Asia and the Pacific</w:t>
            </w:r>
            <w:r>
              <w:rPr>
                <w:i/>
                <w:iCs/>
              </w:rPr>
              <w:t xml:space="preserve"> 2021</w:t>
            </w:r>
            <w:r>
              <w:t xml:space="preserve">. Manila, Philippines: Asian Development Bank. </w:t>
            </w:r>
          </w:p>
          <w:p w14:paraId="7B3C25E2" w14:textId="49CFA0CE" w:rsidR="000A153F" w:rsidRDefault="000A153F" w:rsidP="00BF09C9">
            <w:pPr>
              <w:pStyle w:val="BoxReferences"/>
            </w:pPr>
            <w:r>
              <w:t xml:space="preserve">B. Balassa. 1965. Trade </w:t>
            </w:r>
            <w:proofErr w:type="spellStart"/>
            <w:r>
              <w:t>Liberalisation</w:t>
            </w:r>
            <w:proofErr w:type="spellEnd"/>
            <w:r>
              <w:t xml:space="preserve"> and “Revealed” Comparative Advantage. </w:t>
            </w:r>
            <w:r w:rsidRPr="001B7C60">
              <w:rPr>
                <w:i/>
                <w:iCs/>
              </w:rPr>
              <w:t>The Manchester School</w:t>
            </w:r>
            <w:r>
              <w:t xml:space="preserve">. </w:t>
            </w:r>
            <w:r w:rsidRPr="00840CD0">
              <w:t>33</w:t>
            </w:r>
            <w:r>
              <w:t>(2). pp. 99–123.</w:t>
            </w:r>
          </w:p>
        </w:tc>
      </w:tr>
    </w:tbl>
    <w:p w14:paraId="33E25D91" w14:textId="77777777" w:rsidR="004E6784" w:rsidRDefault="004E6784" w:rsidP="004E6784"/>
    <w:p w14:paraId="5183B95E" w14:textId="026CFA3F" w:rsidR="001D4AC1" w:rsidRDefault="00D83F48" w:rsidP="004656A0">
      <w:r>
        <w:fldChar w:fldCharType="begin"/>
      </w:r>
      <w:r>
        <w:instrText xml:space="preserve"> REF _Ref79068223 \h </w:instrText>
      </w:r>
      <w:r>
        <w:fldChar w:fldCharType="separate"/>
      </w:r>
      <w:r>
        <w:t xml:space="preserve">Figure </w:t>
      </w:r>
      <w:r>
        <w:rPr>
          <w:noProof/>
          <w:cs/>
        </w:rPr>
        <w:t>‎</w:t>
      </w:r>
      <w:r>
        <w:rPr>
          <w:noProof/>
        </w:rPr>
        <w:t>4</w:t>
      </w:r>
      <w:r>
        <w:t>.</w:t>
      </w:r>
      <w:r>
        <w:rPr>
          <w:noProof/>
        </w:rPr>
        <w:t>1</w:t>
      </w:r>
      <w:r>
        <w:fldChar w:fldCharType="end"/>
      </w:r>
      <w:r>
        <w:t xml:space="preserve"> </w:t>
      </w:r>
      <w:r w:rsidR="00BA031B">
        <w:t xml:space="preserve">charts both RCA indices for </w:t>
      </w:r>
      <w:r w:rsidR="001C1FE5">
        <w:t>Kazakhstan</w:t>
      </w:r>
      <w:r w:rsidR="00BA031B">
        <w:t xml:space="preserve"> across sectors</w:t>
      </w:r>
      <w:r w:rsidR="00B42971">
        <w:t xml:space="preserve">, ranking them from highest to lowest and tracing how these rankings </w:t>
      </w:r>
      <w:r w:rsidR="000F7377">
        <w:t xml:space="preserve">change as the </w:t>
      </w:r>
      <w:r w:rsidR="00B42971">
        <w:t xml:space="preserve">standard </w:t>
      </w:r>
      <w:r w:rsidR="000F7377">
        <w:t>index is adjusted for GVCs</w:t>
      </w:r>
      <w:r w:rsidR="00B42971">
        <w:t xml:space="preserve">. </w:t>
      </w:r>
      <w:r w:rsidR="00412D1B">
        <w:t xml:space="preserve">Given the extraordinary circumstances of the last few years, the underlying data were averaged over 2017–2022 to make observed patterns more reliable. </w:t>
      </w:r>
      <w:r w:rsidR="00744A23">
        <w:t xml:space="preserve">Consistent with previous chapters, </w:t>
      </w:r>
      <w:r w:rsidR="001C1FE5">
        <w:t>mining</w:t>
      </w:r>
      <w:r w:rsidR="00744A23">
        <w:t xml:space="preserve"> ha</w:t>
      </w:r>
      <w:r w:rsidR="006545FB">
        <w:t>d</w:t>
      </w:r>
      <w:r w:rsidR="00744A23">
        <w:t xml:space="preserve"> by far the highest RCA index in </w:t>
      </w:r>
      <w:r w:rsidR="0062570F">
        <w:t>both gross and value added terms</w:t>
      </w:r>
      <w:r w:rsidR="00744A23">
        <w:t xml:space="preserve">. </w:t>
      </w:r>
      <w:r w:rsidR="006272AA">
        <w:t xml:space="preserve">Using gross exports, </w:t>
      </w:r>
      <w:r w:rsidR="001D4AC1">
        <w:t>mining</w:t>
      </w:r>
      <w:r w:rsidR="006272AA">
        <w:t xml:space="preserve"> ha</w:t>
      </w:r>
      <w:r w:rsidR="00F825BF">
        <w:t>d</w:t>
      </w:r>
      <w:r w:rsidR="006272AA">
        <w:t xml:space="preserve"> an index of </w:t>
      </w:r>
      <w:r w:rsidR="001B3D0D">
        <w:t>7.7</w:t>
      </w:r>
      <w:r w:rsidR="006272AA">
        <w:t xml:space="preserve">, meaning its share in </w:t>
      </w:r>
      <w:r w:rsidR="001D4AC1">
        <w:t>Kazakhstan</w:t>
      </w:r>
      <w:r w:rsidR="006272AA">
        <w:t xml:space="preserve">’s exports </w:t>
      </w:r>
      <w:r w:rsidR="002A0070">
        <w:t>was</w:t>
      </w:r>
      <w:r w:rsidR="006272AA">
        <w:t xml:space="preserve"> </w:t>
      </w:r>
      <w:r w:rsidR="001B3D0D">
        <w:t>7.7</w:t>
      </w:r>
      <w:r w:rsidR="006272AA">
        <w:t xml:space="preserve"> times larger than its average share across the world</w:t>
      </w:r>
      <w:r w:rsidR="00925BD6">
        <w:t xml:space="preserve"> in 202</w:t>
      </w:r>
      <w:r w:rsidR="001D4AC1">
        <w:t>2</w:t>
      </w:r>
      <w:r w:rsidR="006272AA">
        <w:t>. Removing foreign value</w:t>
      </w:r>
      <w:r w:rsidR="00CE1029">
        <w:t xml:space="preserve"> </w:t>
      </w:r>
      <w:r w:rsidR="006272AA">
        <w:t xml:space="preserve">added and pure double-counting reduces this to a still-high </w:t>
      </w:r>
      <w:r w:rsidR="001D4AC1">
        <w:t>4.</w:t>
      </w:r>
      <w:r w:rsidR="001B3D0D">
        <w:t>7</w:t>
      </w:r>
      <w:r w:rsidR="006272AA">
        <w:t>.</w:t>
      </w:r>
      <w:r w:rsidR="0072166C">
        <w:t xml:space="preserve"> </w:t>
      </w:r>
      <w:r w:rsidR="001D4AC1">
        <w:t>The related sector of inland transport services also notches high RCA indices—</w:t>
      </w:r>
      <w:r w:rsidR="001B3D0D">
        <w:t>3.1</w:t>
      </w:r>
      <w:r w:rsidR="001D4AC1">
        <w:t xml:space="preserve"> in gross terms and 2.</w:t>
      </w:r>
      <w:r w:rsidR="001B3D0D">
        <w:t>9</w:t>
      </w:r>
      <w:r w:rsidR="001D4AC1">
        <w:t xml:space="preserve"> in value added terms. This likely stems from pipeline</w:t>
      </w:r>
      <w:r w:rsidR="001B3D0D">
        <w:t xml:space="preserve"> services</w:t>
      </w:r>
      <w:r w:rsidR="001D4AC1">
        <w:t xml:space="preserve"> used to transport oil and gas.</w:t>
      </w:r>
    </w:p>
    <w:p w14:paraId="0E2C43F8" w14:textId="405629C0" w:rsidR="004E6784" w:rsidRDefault="001D4AC1" w:rsidP="004656A0">
      <w:r>
        <w:t>The only other sector</w:t>
      </w:r>
      <w:r w:rsidR="006F2640">
        <w:t>s</w:t>
      </w:r>
      <w:r>
        <w:t xml:space="preserve"> for which Kazakhstan has a high RCA index is metals manufacturing, with indices of 2.</w:t>
      </w:r>
      <w:r w:rsidR="00886DE1">
        <w:t>2</w:t>
      </w:r>
      <w:r>
        <w:t xml:space="preserve"> in </w:t>
      </w:r>
      <w:r w:rsidR="00886DE1">
        <w:t xml:space="preserve">both </w:t>
      </w:r>
      <w:r>
        <w:t xml:space="preserve">gross </w:t>
      </w:r>
      <w:r w:rsidR="00886DE1">
        <w:t xml:space="preserve">and value added </w:t>
      </w:r>
      <w:r>
        <w:t>terms</w:t>
      </w:r>
      <w:r w:rsidR="006F2640">
        <w:t>, and wholesale trade services, with indices of 1.3 (gross) and 1.7 (value added)</w:t>
      </w:r>
      <w:r>
        <w:t>. While Kazakhstan does exhibit</w:t>
      </w:r>
      <w:r w:rsidR="006F2640">
        <w:t xml:space="preserve"> an </w:t>
      </w:r>
      <w:r>
        <w:t>RCA ind</w:t>
      </w:r>
      <w:r w:rsidR="006F2640">
        <w:t>ex</w:t>
      </w:r>
      <w:r>
        <w:t xml:space="preserve"> of greater than 1 for </w:t>
      </w:r>
      <w:r w:rsidR="006F2640">
        <w:t>refined fuels in value added terms, it is just barely. This highlights its relatively upstream, low-value added participation in the extractive energy supply chain. Furthermore, emphasizing Kazakhstan's concentration in natural resources are its very low RCA indices for all other manufacturing sectors. Electricals, a staple of fast-growing GVC-oriented economies like Viet Nam, registered gross and value added indices of 1/29 and 1/28. The same pattern is seen for other sophisticated manufacturing sectors like chemicals and transport equipment.</w:t>
      </w:r>
    </w:p>
    <w:p w14:paraId="78B5C5A5" w14:textId="665D8817" w:rsidR="006F2640" w:rsidRDefault="006F2640" w:rsidP="004656A0">
      <w:r>
        <w:t>Another piece of evidence pointing to Kazakhstan's relatively low GVC participation is the fact that the top sectors it is specializing in</w:t>
      </w:r>
      <w:r w:rsidR="005C20AD">
        <w:t xml:space="preserve"> under the gross RCA index are the same under the value added RCA index. In short, trading patterns for the country's largest export sectors are unchanged when foreign value added and pure double-counting are accounted for, suggesting that these are negligible to begin with. Interestingly however, the only major sector for which the two RCA indices differ is agriculture, whose index drops from 1.1 to 0.6. That is, the supposed comparative advantage of Kazakhstan in agriculture is an illusion </w:t>
      </w:r>
      <w:r w:rsidR="00264686">
        <w:t>resulting from exports that are</w:t>
      </w:r>
      <w:r w:rsidR="005C20AD">
        <w:t xml:space="preserve"> inflated by foreign value added. The country, in fact, is less of an agricultural exporter than traditional trade statistics suggest.</w:t>
      </w:r>
    </w:p>
    <w:p w14:paraId="53382EB9" w14:textId="56DFE63A" w:rsidR="004E6784" w:rsidRDefault="003542F5" w:rsidP="004E6784">
      <w:pPr>
        <w:pStyle w:val="Caption"/>
        <w:rPr>
          <w:rFonts w:eastAsia="Calibri" w:cstheme="minorHAnsi"/>
          <w:szCs w:val="22"/>
        </w:rPr>
      </w:pPr>
      <w:bookmarkStart w:id="50" w:name="_Ref79068223"/>
      <w:bookmarkStart w:id="51" w:name="_Toc83849811"/>
      <w:r>
        <w:rPr>
          <w:rFonts w:eastAsia="Calibri" w:cstheme="minorHAnsi"/>
          <w:noProof/>
          <w:szCs w:val="22"/>
        </w:rPr>
        <w:lastRenderedPageBreak/>
        <w:drawing>
          <wp:anchor distT="0" distB="0" distL="114300" distR="114300" simplePos="0" relativeHeight="251756544" behindDoc="0" locked="0" layoutInCell="1" allowOverlap="1" wp14:anchorId="167276BC" wp14:editId="36EB0155">
            <wp:simplePos x="0" y="0"/>
            <wp:positionH relativeFrom="column">
              <wp:posOffset>0</wp:posOffset>
            </wp:positionH>
            <wp:positionV relativeFrom="paragraph">
              <wp:posOffset>187797</wp:posOffset>
            </wp:positionV>
            <wp:extent cx="5731510" cy="4655820"/>
            <wp:effectExtent l="0" t="0" r="0" b="5080"/>
            <wp:wrapSquare wrapText="bothSides"/>
            <wp:docPr id="15265635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63565" name="Picture 1526563565"/>
                    <pic:cNvPicPr/>
                  </pic:nvPicPr>
                  <pic:blipFill>
                    <a:blip r:embed="rId25">
                      <a:extLst>
                        <a:ext uri="{28A0092B-C50C-407E-A947-70E740481C1C}">
                          <a14:useLocalDpi xmlns:a14="http://schemas.microsoft.com/office/drawing/2010/main" val="0"/>
                        </a:ext>
                      </a:extLst>
                    </a:blip>
                    <a:stretch>
                      <a:fillRect/>
                    </a:stretch>
                  </pic:blipFill>
                  <pic:spPr>
                    <a:xfrm>
                      <a:off x="0" y="0"/>
                      <a:ext cx="5731510" cy="4655820"/>
                    </a:xfrm>
                    <a:prstGeom prst="rect">
                      <a:avLst/>
                    </a:prstGeom>
                  </pic:spPr>
                </pic:pic>
              </a:graphicData>
            </a:graphic>
            <wp14:sizeRelH relativeFrom="page">
              <wp14:pctWidth>0</wp14:pctWidth>
            </wp14:sizeRelH>
            <wp14:sizeRelV relativeFrom="page">
              <wp14:pctHeight>0</wp14:pctHeight>
            </wp14:sizeRelV>
          </wp:anchor>
        </w:drawing>
      </w:r>
      <w:r w:rsidR="004E6784">
        <w:t xml:space="preserve">Figure </w:t>
      </w:r>
      <w:fldSimple w:instr=" STYLEREF 1 \s ">
        <w:r w:rsidR="00D57A44">
          <w:rPr>
            <w:noProof/>
            <w:cs/>
          </w:rPr>
          <w:t>‎</w:t>
        </w:r>
        <w:r w:rsidR="00D57A44">
          <w:rPr>
            <w:noProof/>
          </w:rPr>
          <w:t>4</w:t>
        </w:r>
      </w:fldSimple>
      <w:r w:rsidR="003F26C2">
        <w:t>.</w:t>
      </w:r>
      <w:fldSimple w:instr=" SEQ Figure \* ARABIC \s 1 ">
        <w:r w:rsidR="00D57A44">
          <w:rPr>
            <w:noProof/>
          </w:rPr>
          <w:t>1</w:t>
        </w:r>
      </w:fldSimple>
      <w:bookmarkEnd w:id="50"/>
      <w:r w:rsidR="004E6784">
        <w:t xml:space="preserve">: Revealed Comparative Advantage Indices, </w:t>
      </w:r>
      <w:r w:rsidR="001A70B4">
        <w:t>Kazakhstan</w:t>
      </w:r>
      <w:r w:rsidR="004E6784">
        <w:t xml:space="preserve">, </w:t>
      </w:r>
      <w:r>
        <w:t>2017–</w:t>
      </w:r>
      <w:r w:rsidR="004E6784">
        <w:t>202</w:t>
      </w:r>
      <w:bookmarkEnd w:id="51"/>
      <w:r w:rsidR="001A70B4">
        <w:t>2</w:t>
      </w:r>
    </w:p>
    <w:p w14:paraId="2D6560CD" w14:textId="19279FF8" w:rsidR="004E6784" w:rsidRDefault="004E6784" w:rsidP="004E6784">
      <w:pPr>
        <w:pStyle w:val="Notes"/>
      </w:pPr>
      <w:r>
        <w:t>RCA = revealed comparative advantage</w:t>
      </w:r>
      <w:r w:rsidR="00B24E27">
        <w:t xml:space="preserve">. </w:t>
      </w:r>
    </w:p>
    <w:p w14:paraId="253F5A09" w14:textId="302BB1BB" w:rsidR="004E6784" w:rsidRDefault="004E6784" w:rsidP="004E6784">
      <w:pPr>
        <w:pStyle w:val="Notes"/>
      </w:pPr>
      <w:r>
        <w:t xml:space="preserve">Notes: </w:t>
      </w:r>
      <w:r w:rsidR="00151576">
        <w:tab/>
      </w:r>
      <w:r>
        <w:t>Revealed comparative advantage (RCA) index computed according to Balassa (1965) and ADB (2021)</w:t>
      </w:r>
      <w:r w:rsidR="003542F5">
        <w:t>, using averaged data from 2017–2022</w:t>
      </w:r>
      <w:r>
        <w:t xml:space="preserve">. Sectors with revealed comparative advantage indices of greater than 1 are sectors </w:t>
      </w:r>
      <w:r w:rsidR="00E7116C">
        <w:t>Kazakhstan</w:t>
      </w:r>
      <w:r>
        <w:t xml:space="preserve"> is said to have a revealed comparative advantage in. Value-added exports are exports of domestic value</w:t>
      </w:r>
      <w:r w:rsidR="00085886">
        <w:t xml:space="preserve"> </w:t>
      </w:r>
      <w:r>
        <w:t>added that are absorbed abroad disaggregated by origin sectors, computed following ADB (2021). Sectors with no value-added exports are omitted.</w:t>
      </w:r>
    </w:p>
    <w:p w14:paraId="086BA929" w14:textId="35DB4C61" w:rsidR="00CB5314" w:rsidRDefault="00CB5314" w:rsidP="00CB5314">
      <w:pPr>
        <w:pStyle w:val="NotesBottom"/>
      </w:pPr>
      <w:r>
        <w:t xml:space="preserve">Sources: </w:t>
      </w:r>
      <w:r>
        <w:tab/>
      </w:r>
      <w:r w:rsidRPr="00E13282">
        <w:t xml:space="preserve">Asian Development Bank. 2021. </w:t>
      </w:r>
      <w:r w:rsidRPr="00E13282">
        <w:rPr>
          <w:i/>
          <w:iCs/>
        </w:rPr>
        <w:t>Key Indicators for Asia and the Pacific 2021</w:t>
      </w:r>
      <w:r w:rsidRPr="00E13282">
        <w:t>. Manila, Philippines: Asian Development Bank</w:t>
      </w:r>
      <w:r>
        <w:t xml:space="preserve">; </w:t>
      </w:r>
      <w:r w:rsidR="00FC3C48">
        <w:t xml:space="preserve">B. Balassa. 1965. Trade </w:t>
      </w:r>
      <w:proofErr w:type="spellStart"/>
      <w:r w:rsidR="00FC3C48">
        <w:t>Liberalisation</w:t>
      </w:r>
      <w:proofErr w:type="spellEnd"/>
      <w:r w:rsidR="00FC3C48">
        <w:t xml:space="preserve"> and “Revealed” Comparative Advantage. </w:t>
      </w:r>
      <w:r w:rsidR="00FC3C48" w:rsidRPr="001B7C60">
        <w:rPr>
          <w:i/>
          <w:iCs/>
        </w:rPr>
        <w:t>The Manchester School</w:t>
      </w:r>
      <w:r w:rsidR="00FC3C48">
        <w:t xml:space="preserve">. </w:t>
      </w:r>
      <w:r w:rsidR="00FC3C48" w:rsidRPr="00F4192A">
        <w:rPr>
          <w:i/>
          <w:iCs/>
        </w:rPr>
        <w:t>33</w:t>
      </w:r>
      <w:r w:rsidR="00FC3C48">
        <w:t xml:space="preserve">(2). pp. 99–123; </w:t>
      </w:r>
      <w:r>
        <w:t>Asian Development Bank. Multiregional Input–Output Database</w:t>
      </w:r>
      <w:r w:rsidR="00E7116C">
        <w:t xml:space="preserve"> (July 2023</w:t>
      </w:r>
      <w:r>
        <w:t>);</w:t>
      </w:r>
      <w:r w:rsidRPr="008F0425">
        <w:t xml:space="preserve"> </w:t>
      </w:r>
      <w:r>
        <w:t>Asian Development Bank estimates.</w:t>
      </w:r>
    </w:p>
    <w:p w14:paraId="6D137577" w14:textId="33F8B166" w:rsidR="004E6784" w:rsidRDefault="0021042D" w:rsidP="004E6784">
      <w:r>
        <w:rPr>
          <w:lang w:eastAsia="ja-JP"/>
        </w:rPr>
        <w:t>Specialization based on export patterns say nothing about where along the chain a country is specializing in. Is it in the more upstream segments, closer to primary producers? Or is it in the more downstream segments, closer to final consumers?</w:t>
      </w:r>
      <w:r w:rsidR="00D83F48">
        <w:t xml:space="preserve"> </w:t>
      </w:r>
      <w:r w:rsidR="002E101C">
        <w:t xml:space="preserve">Production length indicators can provide a quantitative </w:t>
      </w:r>
      <w:r>
        <w:t>measure</w:t>
      </w:r>
      <w:r w:rsidR="00AD12D8">
        <w:t xml:space="preserve">. </w:t>
      </w:r>
      <w:r w:rsidR="001B590A">
        <w:t xml:space="preserve">As </w:t>
      </w:r>
      <w:r w:rsidR="001B590A">
        <w:t>described in</w:t>
      </w:r>
      <w:r w:rsidR="001B590A">
        <w:t xml:space="preserve"> </w:t>
      </w:r>
      <w:r w:rsidR="001B590A">
        <w:fldChar w:fldCharType="begin"/>
      </w:r>
      <w:r w:rsidR="001B590A">
        <w:instrText xml:space="preserve"> REF _Ref77778934 \h </w:instrText>
      </w:r>
      <w:r w:rsidR="001B590A">
        <w:fldChar w:fldCharType="separate"/>
      </w:r>
      <w:r w:rsidR="001B590A" w:rsidRPr="004656A0">
        <w:t xml:space="preserve">Box </w:t>
      </w:r>
      <w:r w:rsidR="001B590A">
        <w:rPr>
          <w:noProof/>
        </w:rPr>
        <w:t>4</w:t>
      </w:r>
      <w:r w:rsidR="001B590A">
        <w:fldChar w:fldCharType="end"/>
      </w:r>
      <w:r w:rsidR="001B590A">
        <w:t xml:space="preserve">, the </w:t>
      </w:r>
      <w:proofErr w:type="spellStart"/>
      <w:r w:rsidR="001B590A">
        <w:t>methodology o</w:t>
      </w:r>
      <w:proofErr w:type="spellEnd"/>
      <w:r w:rsidR="001B590A">
        <w:t xml:space="preserve">f </w:t>
      </w:r>
      <w:r w:rsidR="001B590A">
        <w:t xml:space="preserve">Wang, Wei, Yu, and Zhu (2017b) </w:t>
      </w:r>
      <w:r w:rsidR="001B590A">
        <w:t>computes the number of</w:t>
      </w:r>
      <w:r w:rsidR="00AD12D8">
        <w:t xml:space="preserve"> forward and backward GVC production </w:t>
      </w:r>
      <w:r w:rsidR="001B590A">
        <w:t>stages for any given sector or country. Comparing the two gives a sense of where the sector or country lies in the production chain: i</w:t>
      </w:r>
      <w:r w:rsidR="0031296C">
        <w:t xml:space="preserve">f the forward length is longer, then </w:t>
      </w:r>
      <w:r w:rsidR="001B590A">
        <w:t xml:space="preserve">it </w:t>
      </w:r>
      <w:r w:rsidR="0031296C">
        <w:t xml:space="preserve">is said to be more upstream, while if the backward length is longer, </w:t>
      </w:r>
      <w:r w:rsidR="001B590A">
        <w:t>it</w:t>
      </w:r>
      <w:r w:rsidR="0031296C">
        <w:t xml:space="preserve"> is mo</w:t>
      </w:r>
      <w:r w:rsidR="0067124E">
        <w:t>r</w:t>
      </w:r>
      <w:r w:rsidR="0031296C">
        <w:t xml:space="preserve">e downstream. </w:t>
      </w:r>
    </w:p>
    <w:p w14:paraId="3D216981" w14:textId="0585516E" w:rsidR="00F25EAD" w:rsidRDefault="0067124E" w:rsidP="004E6784">
      <w:pPr>
        <w:rPr>
          <w:lang w:eastAsia="ja-JP"/>
        </w:rPr>
      </w:pPr>
      <w:r>
        <w:t xml:space="preserve">Using this </w:t>
      </w:r>
      <w:r w:rsidR="001B590A">
        <w:t>approach</w:t>
      </w:r>
      <w:r>
        <w:t xml:space="preserve">, </w:t>
      </w:r>
      <w:r w:rsidR="00F25EAD">
        <w:fldChar w:fldCharType="begin"/>
      </w:r>
      <w:r w:rsidR="00F25EAD">
        <w:rPr>
          <w:lang w:eastAsia="ja-JP"/>
        </w:rPr>
        <w:instrText xml:space="preserve"> REF _Ref79072763 </w:instrText>
      </w:r>
      <w:r w:rsidR="00F25EAD">
        <w:fldChar w:fldCharType="separate"/>
      </w:r>
      <w:r w:rsidR="00D57A44" w:rsidRPr="00440B00">
        <w:t xml:space="preserve">Figure </w:t>
      </w:r>
      <w:r w:rsidR="00D57A44">
        <w:rPr>
          <w:noProof/>
          <w:cs/>
        </w:rPr>
        <w:t>‎</w:t>
      </w:r>
      <w:r w:rsidR="00D57A44">
        <w:rPr>
          <w:noProof/>
        </w:rPr>
        <w:t>4</w:t>
      </w:r>
      <w:r w:rsidR="00D57A44">
        <w:t>.</w:t>
      </w:r>
      <w:r w:rsidR="00D57A44">
        <w:rPr>
          <w:noProof/>
        </w:rPr>
        <w:t>2</w:t>
      </w:r>
      <w:r w:rsidR="00F25EAD">
        <w:fldChar w:fldCharType="end"/>
      </w:r>
      <w:r w:rsidR="00566CBD">
        <w:t xml:space="preserve"> </w:t>
      </w:r>
      <w:r w:rsidR="00533A24">
        <w:t>traces</w:t>
      </w:r>
      <w:r w:rsidR="00566CBD">
        <w:t xml:space="preserve"> </w:t>
      </w:r>
      <w:r w:rsidR="001B590A">
        <w:t>Kazakhstan</w:t>
      </w:r>
      <w:r w:rsidR="00566CBD">
        <w:t xml:space="preserve">’s position in the </w:t>
      </w:r>
      <w:r w:rsidR="001B590A">
        <w:t>mining</w:t>
      </w:r>
      <w:r w:rsidR="00566CBD">
        <w:t xml:space="preserve"> and </w:t>
      </w:r>
      <w:r w:rsidR="001B590A">
        <w:t xml:space="preserve">metals </w:t>
      </w:r>
      <w:r w:rsidR="00566CBD">
        <w:t xml:space="preserve">value chains </w:t>
      </w:r>
      <w:r w:rsidR="00FD129C">
        <w:t>from</w:t>
      </w:r>
      <w:r w:rsidR="00566CBD">
        <w:t xml:space="preserve"> 2010 </w:t>
      </w:r>
      <w:r w:rsidR="00FD129C">
        <w:t xml:space="preserve">to </w:t>
      </w:r>
      <w:r w:rsidR="00566CBD">
        <w:t>202</w:t>
      </w:r>
      <w:r w:rsidR="001B590A">
        <w:t>2</w:t>
      </w:r>
      <w:r w:rsidR="00566CBD">
        <w:t xml:space="preserve">. </w:t>
      </w:r>
      <w:r w:rsidR="006A04D9">
        <w:t xml:space="preserve">For reference, the figure also includes other </w:t>
      </w:r>
      <w:r w:rsidR="00CD4C00">
        <w:t>countries</w:t>
      </w:r>
      <w:r w:rsidR="006A04D9">
        <w:t xml:space="preserve"> that were found to be specializing in these sectors: </w:t>
      </w:r>
      <w:r w:rsidR="001B590A">
        <w:t xml:space="preserve">Brunei Darussalam, Norway, the Russian </w:t>
      </w:r>
      <w:r w:rsidR="001B590A">
        <w:lastRenderedPageBreak/>
        <w:t>Federation, and the United States</w:t>
      </w:r>
      <w:r w:rsidR="006A04D9">
        <w:t xml:space="preserve"> </w:t>
      </w:r>
      <w:r w:rsidR="001B590A">
        <w:t xml:space="preserve">for mining </w:t>
      </w:r>
      <w:r w:rsidR="006A04D9">
        <w:t xml:space="preserve">and </w:t>
      </w:r>
      <w:r w:rsidR="001B590A">
        <w:t>Germany, Japan, the People's Republic of China, and the United States</w:t>
      </w:r>
      <w:r w:rsidR="006A04D9">
        <w:t xml:space="preserve"> for agriculture. </w:t>
      </w:r>
      <w:r w:rsidR="00B03C5C">
        <w:t>Dots above the 45-degree line are</w:t>
      </w:r>
      <w:r w:rsidR="009F690E">
        <w:t xml:space="preserve"> upstream </w:t>
      </w:r>
      <w:r w:rsidR="007A22E8">
        <w:t xml:space="preserve">countries </w:t>
      </w:r>
      <w:r w:rsidR="009F690E">
        <w:t xml:space="preserve">while dots below the 45-degree line are downstream </w:t>
      </w:r>
      <w:r w:rsidR="007A22E8">
        <w:t>countries</w:t>
      </w:r>
      <w:r w:rsidR="009F690E">
        <w:t>.</w:t>
      </w:r>
    </w:p>
    <w:p w14:paraId="23DAB314" w14:textId="74F04BFD" w:rsidR="004E6784" w:rsidRPr="00440B00" w:rsidRDefault="004E5E5B" w:rsidP="00440B00">
      <w:pPr>
        <w:pStyle w:val="Caption"/>
      </w:pPr>
      <w:bookmarkStart w:id="52" w:name="_Ref79072763"/>
      <w:bookmarkStart w:id="53" w:name="_Toc83849812"/>
      <w:r>
        <w:rPr>
          <w:noProof/>
        </w:rPr>
        <w:drawing>
          <wp:anchor distT="0" distB="0" distL="114300" distR="114300" simplePos="0" relativeHeight="251752448" behindDoc="0" locked="0" layoutInCell="1" allowOverlap="1" wp14:anchorId="510DB915" wp14:editId="012D5451">
            <wp:simplePos x="0" y="0"/>
            <wp:positionH relativeFrom="column">
              <wp:posOffset>0</wp:posOffset>
            </wp:positionH>
            <wp:positionV relativeFrom="paragraph">
              <wp:posOffset>190972</wp:posOffset>
            </wp:positionV>
            <wp:extent cx="5731510" cy="3226435"/>
            <wp:effectExtent l="0" t="0" r="0" b="0"/>
            <wp:wrapSquare wrapText="bothSides"/>
            <wp:docPr id="17015920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92008" name="Picture 1701592008"/>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14:sizeRelH relativeFrom="page">
              <wp14:pctWidth>0</wp14:pctWidth>
            </wp14:sizeRelH>
            <wp14:sizeRelV relativeFrom="page">
              <wp14:pctHeight>0</wp14:pctHeight>
            </wp14:sizeRelV>
          </wp:anchor>
        </w:drawing>
      </w:r>
      <w:r w:rsidR="004E6784" w:rsidRPr="00440B00">
        <w:t xml:space="preserve">Figure </w:t>
      </w:r>
      <w:fldSimple w:instr=" STYLEREF 1 \s ">
        <w:r w:rsidR="00D57A44">
          <w:rPr>
            <w:noProof/>
            <w:cs/>
          </w:rPr>
          <w:t>‎</w:t>
        </w:r>
        <w:r w:rsidR="00D57A44">
          <w:rPr>
            <w:noProof/>
          </w:rPr>
          <w:t>4</w:t>
        </w:r>
      </w:fldSimple>
      <w:r w:rsidR="003F26C2">
        <w:t>.</w:t>
      </w:r>
      <w:fldSimple w:instr=" SEQ Figure \* ARABIC \s 1 ">
        <w:r w:rsidR="00D57A44">
          <w:rPr>
            <w:noProof/>
          </w:rPr>
          <w:t>2</w:t>
        </w:r>
      </w:fldSimple>
      <w:bookmarkEnd w:id="52"/>
      <w:r w:rsidR="004E6784" w:rsidRPr="00440B00">
        <w:t xml:space="preserve">: Positioning in </w:t>
      </w:r>
      <w:r w:rsidR="001B590A">
        <w:t>Mining</w:t>
      </w:r>
      <w:r w:rsidR="004E6784" w:rsidRPr="00440B00">
        <w:t xml:space="preserve"> and </w:t>
      </w:r>
      <w:r w:rsidR="001B590A">
        <w:t xml:space="preserve">Metals </w:t>
      </w:r>
      <w:r w:rsidR="004E6784" w:rsidRPr="00440B00">
        <w:t xml:space="preserve">GVCs, Selected </w:t>
      </w:r>
      <w:r w:rsidR="00AB25FE">
        <w:t>Countries</w:t>
      </w:r>
      <w:r w:rsidR="004E6784" w:rsidRPr="00440B00">
        <w:t>, 2010 and 202</w:t>
      </w:r>
      <w:bookmarkEnd w:id="53"/>
      <w:r>
        <w:t>2</w:t>
      </w:r>
    </w:p>
    <w:p w14:paraId="1814BAA5" w14:textId="6C8E9D86" w:rsidR="004E6784" w:rsidRDefault="004E6784" w:rsidP="004E6784">
      <w:pPr>
        <w:pStyle w:val="Notes"/>
      </w:pPr>
      <w:r>
        <w:t>GVC = global value chain</w:t>
      </w:r>
    </w:p>
    <w:p w14:paraId="6E48FE24" w14:textId="5345E18C" w:rsidR="004E6784" w:rsidRDefault="004E6784" w:rsidP="004E6784">
      <w:pPr>
        <w:pStyle w:val="Notes"/>
      </w:pPr>
      <w:r>
        <w:t xml:space="preserve">Notes: </w:t>
      </w:r>
      <w:r w:rsidR="00151576">
        <w:tab/>
      </w:r>
      <w:r>
        <w:t xml:space="preserve">Global value chain production lengths are computed according to Wang, Wei, Yu, and Zhu (2017). </w:t>
      </w:r>
      <w:r w:rsidR="004E5E5B">
        <w:t>Sector breakdown is by value added origins.</w:t>
      </w:r>
    </w:p>
    <w:p w14:paraId="6DAF5F35" w14:textId="47E1B313" w:rsidR="00CA701D" w:rsidRDefault="00FC3C48" w:rsidP="007028DD">
      <w:pPr>
        <w:pStyle w:val="NotesBottom"/>
      </w:pPr>
      <w:r>
        <w:t xml:space="preserve">Sources: </w:t>
      </w:r>
      <w:r>
        <w:tab/>
      </w:r>
      <w:r w:rsidRPr="00E13282">
        <w:t xml:space="preserve">Asian Development Bank. 2021. </w:t>
      </w:r>
      <w:r w:rsidRPr="00E13282">
        <w:rPr>
          <w:i/>
          <w:iCs/>
        </w:rPr>
        <w:t>Key Indicators for Asia and the Pacific 2021</w:t>
      </w:r>
      <w:r w:rsidRPr="00E13282">
        <w:t>. Manila, Philippines: Asian Development Bank</w:t>
      </w:r>
      <w:r>
        <w:t xml:space="preserve">; </w:t>
      </w:r>
      <w:r w:rsidRPr="00860741">
        <w:t xml:space="preserve">Z. Wang, S. Wei, X. Yu, and K. Zhu. 2017. Characterizing Global Value Chains: Production Length and </w:t>
      </w:r>
      <w:proofErr w:type="spellStart"/>
      <w:r w:rsidRPr="00860741">
        <w:t>Upstreamness</w:t>
      </w:r>
      <w:proofErr w:type="spellEnd"/>
      <w:r w:rsidRPr="00860741">
        <w:t xml:space="preserve">. </w:t>
      </w:r>
      <w:r w:rsidRPr="00860741">
        <w:rPr>
          <w:i/>
          <w:iCs/>
        </w:rPr>
        <w:t>NBER Working Paper No. 23261</w:t>
      </w:r>
      <w:r w:rsidRPr="00860741">
        <w:t>. Cambridge, MA: National Bureau of Economic Research</w:t>
      </w:r>
      <w:r>
        <w:t>; Asian Development Bank. Multiregional Input–Output Database</w:t>
      </w:r>
      <w:r w:rsidR="00903315">
        <w:t xml:space="preserve"> (July 2023</w:t>
      </w:r>
      <w:r>
        <w:t>);</w:t>
      </w:r>
      <w:r w:rsidRPr="008F0425">
        <w:t xml:space="preserve"> </w:t>
      </w:r>
      <w:r>
        <w:t>Asian Development Bank estimates.</w:t>
      </w:r>
    </w:p>
    <w:p w14:paraId="26DF0ED2" w14:textId="1F1A9454" w:rsidR="004E6784" w:rsidRDefault="001B590A" w:rsidP="004E6784">
      <w:r>
        <w:t xml:space="preserve">For mining, Kazakhstan joins Brunei Darussalam and the United States in the upstream region of the value chain. </w:t>
      </w:r>
      <w:r w:rsidR="002C1CC4">
        <w:t xml:space="preserve">However, all three have moved more downstream in the last decade, with their backward stages increasing and (to a lesser degree) their forward stages decreasing. For Kazakhstan, the backward stages of its mining sector rose from 3.8 stages in 2010 to 4.2 in 2022 while its forward stages stayed at roughly 4.2 stages. This means it has </w:t>
      </w:r>
      <w:r w:rsidR="0021042D">
        <w:t xml:space="preserve">embedded itself deeper </w:t>
      </w:r>
      <w:r w:rsidR="00024E4D">
        <w:t>with</w:t>
      </w:r>
      <w:r w:rsidR="0021042D">
        <w:t xml:space="preserve">in mining GVCs. </w:t>
      </w:r>
      <w:r w:rsidR="00024E4D">
        <w:t xml:space="preserve">In contrast, the Russian Federation appears to lie even deeper, with backward stages at </w:t>
      </w:r>
      <w:r w:rsidR="00AC5ED8">
        <w:t>4.6</w:t>
      </w:r>
      <w:r w:rsidR="00024E4D">
        <w:t xml:space="preserve"> and forward stages at </w:t>
      </w:r>
      <w:r w:rsidR="00AC5ED8">
        <w:t>4.3</w:t>
      </w:r>
      <w:r w:rsidR="00024E4D">
        <w:t xml:space="preserve"> in 2022. This may be puzzling given the extensive sanctions placed on it following its invasion of Ukraine, but note that the chart specifically looks only at the GVC component of trade. </w:t>
      </w:r>
      <w:r w:rsidR="006D30AB">
        <w:t>This may have isolated the trade that is most robust from sanctions</w:t>
      </w:r>
      <w:r w:rsidR="00954582">
        <w:t xml:space="preserve">, explaining why it remains deeply embedded. </w:t>
      </w:r>
    </w:p>
    <w:p w14:paraId="26DA069F" w14:textId="05A19AF9" w:rsidR="006D30AB" w:rsidRDefault="00024E4D" w:rsidP="00EB5EA7">
      <w:r>
        <w:t>There is less movement across the last decade in the GVC production lengths of metals manufacturing. The five countries included in the chart all lie close to the 45-degree line, indicating neutral positions along the value chain</w:t>
      </w:r>
      <w:r w:rsidR="00954582">
        <w:t>—neither upstream nor downstream</w:t>
      </w:r>
      <w:r>
        <w:t>. The PRC exhibits the highest number</w:t>
      </w:r>
      <w:r w:rsidR="00AC5ED8">
        <w:t>s</w:t>
      </w:r>
      <w:r>
        <w:t xml:space="preserve"> of backward </w:t>
      </w:r>
      <w:r w:rsidR="00AC5ED8">
        <w:t xml:space="preserve">and forward </w:t>
      </w:r>
      <w:r>
        <w:t xml:space="preserve">stages while Germany exhibits </w:t>
      </w:r>
      <w:r>
        <w:lastRenderedPageBreak/>
        <w:t xml:space="preserve">the lowest. </w:t>
      </w:r>
      <w:r w:rsidR="00AC5ED8">
        <w:t xml:space="preserve">Kazakhstan's stages are similar to the United States at 4.2 </w:t>
      </w:r>
      <w:r w:rsidR="00954582">
        <w:t xml:space="preserve">backward </w:t>
      </w:r>
      <w:r w:rsidR="00AC5ED8">
        <w:t xml:space="preserve">stages and 4.1 </w:t>
      </w:r>
      <w:r w:rsidR="00954582">
        <w:t>forward</w:t>
      </w:r>
      <w:r w:rsidR="00954582">
        <w:t xml:space="preserve"> </w:t>
      </w:r>
      <w:r w:rsidR="00AC5ED8">
        <w:t xml:space="preserve">stages. </w:t>
      </w:r>
    </w:p>
    <w:p w14:paraId="715C2A41" w14:textId="08FC0D77" w:rsidR="00AA04EC" w:rsidRDefault="000013EA" w:rsidP="00EB5EA7">
      <w:r>
        <w:t xml:space="preserve">Having established the position of </w:t>
      </w:r>
      <w:r w:rsidR="00AC5ED8">
        <w:t>Kazakhstan</w:t>
      </w:r>
      <w:r>
        <w:t xml:space="preserve"> in the value chains of these two sectors, this chapter turns next to how its price competitiveness has changed over the</w:t>
      </w:r>
      <w:r w:rsidR="00954582">
        <w:t xml:space="preserve"> decades</w:t>
      </w:r>
      <w:r>
        <w:t xml:space="preserve">. </w:t>
      </w:r>
      <w:r w:rsidR="0055221E">
        <w:t xml:space="preserve">This </w:t>
      </w:r>
      <w:r w:rsidR="00447E68">
        <w:t>is measured by the real effective exchange rate</w:t>
      </w:r>
      <w:r w:rsidR="00EE247B">
        <w:t xml:space="preserve"> (REER)</w:t>
      </w:r>
      <w:r w:rsidR="00447E68">
        <w:t xml:space="preserve"> index</w:t>
      </w:r>
      <w:r w:rsidR="004D5443">
        <w:t xml:space="preserve">. </w:t>
      </w:r>
      <w:r w:rsidR="00E70B54">
        <w:t xml:space="preserve">The REER is a price index in the spirit of the </w:t>
      </w:r>
      <w:r w:rsidR="00131DFD">
        <w:t>GDP</w:t>
      </w:r>
      <w:r w:rsidR="00E70B54">
        <w:t xml:space="preserve"> deflator </w:t>
      </w:r>
      <w:r w:rsidR="008A64C9">
        <w:t>and</w:t>
      </w:r>
      <w:r w:rsidR="00E70B54">
        <w:t xml:space="preserve"> the consumer price index, though it accounts not just for a</w:t>
      </w:r>
      <w:r w:rsidR="00255677">
        <w:t xml:space="preserve"> country</w:t>
      </w:r>
      <w:r w:rsidR="00E70B54">
        <w:t>’s domestic prices but also the prices of its international competitors, weighted by the degree to which it competes</w:t>
      </w:r>
      <w:r w:rsidR="003F2892">
        <w:t xml:space="preserve"> with them</w:t>
      </w:r>
      <w:r w:rsidR="00E70B54">
        <w:t xml:space="preserve">. </w:t>
      </w:r>
      <w:r w:rsidR="006E0217">
        <w:t xml:space="preserve">If the REER goes up, then the </w:t>
      </w:r>
      <w:r w:rsidR="00255677">
        <w:t xml:space="preserve">country’s </w:t>
      </w:r>
      <w:r w:rsidR="006E0217">
        <w:t xml:space="preserve">prices have gone up relative to its competitors; thus, it is said to have lost in competitiveness. Likewise, if the REER goes down, then it has gained in competitiveness. </w:t>
      </w:r>
      <w:r w:rsidR="00C947E7">
        <w:t>Moreover, like the RCA index, this chapter implements a refinement of the REER that considers value</w:t>
      </w:r>
      <w:r w:rsidR="00954582">
        <w:t xml:space="preserve"> </w:t>
      </w:r>
      <w:r w:rsidR="00C947E7">
        <w:t xml:space="preserve">added rather than gross flows. </w:t>
      </w:r>
      <w:r w:rsidR="00784820">
        <w:t xml:space="preserve">See </w:t>
      </w:r>
      <w:fldSimple w:instr=" REF _Ref79074851 ">
        <w:r w:rsidR="00D57A44" w:rsidRPr="004656A0">
          <w:t xml:space="preserve">Box </w:t>
        </w:r>
        <w:r w:rsidR="00D57A44">
          <w:rPr>
            <w:noProof/>
          </w:rPr>
          <w:t>6</w:t>
        </w:r>
      </w:fldSimple>
      <w:r w:rsidR="00D46DE8">
        <w:t xml:space="preserve"> </w:t>
      </w:r>
      <w:r w:rsidR="00784820">
        <w:t xml:space="preserve">for more details. </w:t>
      </w:r>
    </w:p>
    <w:tbl>
      <w:tblPr>
        <w:tblStyle w:val="TableGrid"/>
        <w:tblW w:w="0" w:type="auto"/>
        <w:tblLook w:val="04A0" w:firstRow="1" w:lastRow="0" w:firstColumn="1" w:lastColumn="0" w:noHBand="0" w:noVBand="1"/>
      </w:tblPr>
      <w:tblGrid>
        <w:gridCol w:w="9016"/>
      </w:tblGrid>
      <w:tr w:rsidR="00AA04EC" w14:paraId="5AF87062" w14:textId="77777777" w:rsidTr="00971BEE">
        <w:tc>
          <w:tcPr>
            <w:tcW w:w="9016" w:type="dxa"/>
          </w:tcPr>
          <w:p w14:paraId="30A11FB8" w14:textId="0820DB12" w:rsidR="00AA04EC" w:rsidRPr="004656A0" w:rsidRDefault="00AA04EC" w:rsidP="004656A0">
            <w:pPr>
              <w:pStyle w:val="Caption"/>
            </w:pPr>
            <w:bookmarkStart w:id="54" w:name="_Ref79074851"/>
            <w:bookmarkStart w:id="55" w:name="_Toc139902365"/>
            <w:r w:rsidRPr="004656A0">
              <w:t xml:space="preserve">Box </w:t>
            </w:r>
            <w:fldSimple w:instr=" SEQ Box \* ARABIC ">
              <w:r w:rsidR="00D57A44">
                <w:rPr>
                  <w:noProof/>
                </w:rPr>
                <w:t>6</w:t>
              </w:r>
            </w:fldSimple>
            <w:bookmarkEnd w:id="54"/>
            <w:r w:rsidRPr="004656A0">
              <w:t>: Calculating the Real Effective Exchange Rate</w:t>
            </w:r>
            <w:r w:rsidR="001F479C" w:rsidRPr="004656A0">
              <w:t xml:space="preserve"> Index</w:t>
            </w:r>
            <w:bookmarkEnd w:id="55"/>
          </w:p>
          <w:p w14:paraId="225B9168" w14:textId="7939F48C" w:rsidR="007839EA" w:rsidRDefault="007839EA" w:rsidP="001B36CC">
            <w:pPr>
              <w:pStyle w:val="Box"/>
            </w:pPr>
            <w:r>
              <w:t xml:space="preserve">The real effective exchange rate (REER) is a price index that summarizes a </w:t>
            </w:r>
            <w:r w:rsidR="004544BB">
              <w:t xml:space="preserve">country’s </w:t>
            </w:r>
            <w:r>
              <w:t>prices relative to its trade competitors. Changes in the REER can be thought of as the residual price change after inflation rates and nominal exchange rate movements have been taken into account. Changes in the REER would always be zero under purchasing power parity (PPP), but it generally is not due to factors like home bias, market frictions, and policy (</w:t>
            </w:r>
            <w:proofErr w:type="spellStart"/>
            <w:r>
              <w:t>Itskhoki</w:t>
            </w:r>
            <w:proofErr w:type="spellEnd"/>
            <w:r>
              <w:t xml:space="preserve"> 2020). Because of this, the REER acts like an inverse competitiveness index. Depreciation, which by convention means a fall in the REER, implies that the home </w:t>
            </w:r>
            <w:r w:rsidR="00A41BCB">
              <w:t xml:space="preserve">country’s </w:t>
            </w:r>
            <w:r>
              <w:t xml:space="preserve">goods have become relatively cheaper in the markets it competes in and can therefore expect higher demand; appreciation, conversely, is associated with lower demand. </w:t>
            </w:r>
          </w:p>
          <w:p w14:paraId="1A7D1D6C" w14:textId="02812E43" w:rsidR="00CF4216" w:rsidRDefault="007839EA" w:rsidP="001B36CC">
            <w:pPr>
              <w:pStyle w:val="Box"/>
            </w:pPr>
            <w:r>
              <w:t xml:space="preserve">The REER index is a weighted average of bilateral real exchange rates (Chinn 2006). Price levels in </w:t>
            </w:r>
            <w:r w:rsidR="00F3572E">
              <w:t>countries</w:t>
            </w:r>
            <w:r>
              <w:t xml:space="preserve"> with whom the home </w:t>
            </w:r>
            <w:r w:rsidR="00F3572E">
              <w:t>country</w:t>
            </w:r>
            <w:r>
              <w:t xml:space="preserve"> has more trade have a larger influence in its REER. </w:t>
            </w:r>
            <w:r w:rsidR="00F327E9">
              <w:t xml:space="preserve">Formally, the weight </w:t>
            </w:r>
            <w:r w:rsidR="00F3572E">
              <w:t xml:space="preserve">country </w:t>
            </w:r>
            <m:oMath>
              <m:r>
                <w:rPr>
                  <w:rFonts w:ascii="Cambria Math" w:hAnsi="Cambria Math"/>
                </w:rPr>
                <m:t>s</m:t>
              </m:r>
            </m:oMath>
            <w:r w:rsidR="00F327E9">
              <w:t xml:space="preserve"> assigns to the prices of </w:t>
            </w:r>
            <w:r w:rsidR="00F3572E">
              <w:t xml:space="preserve">country </w:t>
            </w:r>
            <m:oMath>
              <m:r>
                <w:rPr>
                  <w:rFonts w:ascii="Cambria Math" w:hAnsi="Cambria Math"/>
                </w:rPr>
                <m:t>r</m:t>
              </m:r>
            </m:oMath>
            <w:r w:rsidR="00F327E9">
              <w:t xml:space="preserve"> is</w:t>
            </w:r>
          </w:p>
          <w:p w14:paraId="3D9DF66F" w14:textId="0DD35BAE" w:rsidR="00F327E9" w:rsidRDefault="00000000" w:rsidP="001B36CC">
            <w:pPr>
              <w:pStyle w:val="Box"/>
            </w:pPr>
            <m:oMathPara>
              <m:oMath>
                <m:sSub>
                  <m:sSubPr>
                    <m:ctrlPr>
                      <w:rPr>
                        <w:rFonts w:ascii="Cambria Math" w:hAnsi="Cambria Math"/>
                        <w:i/>
                      </w:rPr>
                    </m:ctrlPr>
                  </m:sSubPr>
                  <m:e>
                    <m:r>
                      <w:rPr>
                        <w:rFonts w:ascii="Cambria Math" w:hAnsi="Cambria Math"/>
                      </w:rPr>
                      <m:t>W</m:t>
                    </m:r>
                  </m:e>
                  <m:sub>
                    <m:r>
                      <w:rPr>
                        <w:rFonts w:ascii="Cambria Math" w:hAnsi="Cambria Math"/>
                      </w:rPr>
                      <m:t>sr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u</m:t>
                    </m:r>
                  </m:sub>
                  <m:sup/>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Export</m:t>
                            </m:r>
                            <m:sSub>
                              <m:sSubPr>
                                <m:ctrlPr>
                                  <w:rPr>
                                    <w:rFonts w:ascii="Cambria Math" w:hAnsi="Cambria Math"/>
                                    <w:i/>
                                  </w:rPr>
                                </m:ctrlPr>
                              </m:sSubPr>
                              <m:e>
                                <m:r>
                                  <w:rPr>
                                    <w:rFonts w:ascii="Cambria Math" w:hAnsi="Cambria Math"/>
                                  </w:rPr>
                                  <m:t>s</m:t>
                                </m:r>
                              </m:e>
                              <m:sub>
                                <m:r>
                                  <w:rPr>
                                    <w:rFonts w:ascii="Cambria Math" w:hAnsi="Cambria Math"/>
                                  </w:rPr>
                                  <m:t>su</m:t>
                                </m:r>
                              </m:sub>
                            </m:sSub>
                          </m:num>
                          <m:den>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Export</m:t>
                            </m:r>
                            <m:sSub>
                              <m:sSubPr>
                                <m:ctrlPr>
                                  <w:rPr>
                                    <w:rFonts w:ascii="Cambria Math" w:hAnsi="Cambria Math"/>
                                    <w:i/>
                                  </w:rPr>
                                </m:ctrlPr>
                              </m:sSubPr>
                              <m:e>
                                <m:r>
                                  <w:rPr>
                                    <w:rFonts w:ascii="Cambria Math" w:hAnsi="Cambria Math"/>
                                  </w:rPr>
                                  <m:t>s</m:t>
                                </m:r>
                              </m:e>
                              <m:sub>
                                <m:r>
                                  <w:rPr>
                                    <w:rFonts w:ascii="Cambria Math" w:hAnsi="Cambria Math"/>
                                  </w:rPr>
                                  <m:t>s</m:t>
                                </m:r>
                              </m:sub>
                            </m:sSub>
                          </m:den>
                        </m:f>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Export</m:t>
                            </m:r>
                            <m:sSub>
                              <m:sSubPr>
                                <m:ctrlPr>
                                  <w:rPr>
                                    <w:rFonts w:ascii="Cambria Math" w:hAnsi="Cambria Math"/>
                                    <w:i/>
                                  </w:rPr>
                                </m:ctrlPr>
                              </m:sSubPr>
                              <m:e>
                                <m:r>
                                  <w:rPr>
                                    <w:rFonts w:ascii="Cambria Math" w:hAnsi="Cambria Math"/>
                                  </w:rPr>
                                  <m:t>s</m:t>
                                </m:r>
                              </m:e>
                              <m:sub>
                                <m:r>
                                  <w:rPr>
                                    <w:rFonts w:ascii="Cambria Math" w:hAnsi="Cambria Math"/>
                                  </w:rPr>
                                  <m:t>ru</m:t>
                                </m:r>
                              </m:sub>
                            </m:sSub>
                          </m:num>
                          <m:den>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Deman</m:t>
                            </m:r>
                            <m:sSub>
                              <m:sSubPr>
                                <m:ctrlPr>
                                  <w:rPr>
                                    <w:rFonts w:ascii="Cambria Math" w:hAnsi="Cambria Math"/>
                                    <w:i/>
                                  </w:rPr>
                                </m:ctrlPr>
                              </m:sSubPr>
                              <m:e>
                                <m:r>
                                  <w:rPr>
                                    <w:rFonts w:ascii="Cambria Math" w:hAnsi="Cambria Math"/>
                                  </w:rPr>
                                  <m:t>d</m:t>
                                </m:r>
                              </m:e>
                              <m:sub>
                                <m:r>
                                  <w:rPr>
                                    <w:rFonts w:ascii="Cambria Math" w:hAnsi="Cambria Math"/>
                                  </w:rPr>
                                  <m:t>u</m:t>
                                </m:r>
                              </m:sub>
                            </m:sSub>
                          </m:den>
                        </m:f>
                      </m:e>
                    </m:d>
                  </m:e>
                </m:nary>
              </m:oMath>
            </m:oMathPara>
          </w:p>
          <w:p w14:paraId="0EE4D39E" w14:textId="6F1FABF0" w:rsidR="00CF4216" w:rsidRDefault="00F327E9" w:rsidP="001B36CC">
            <w:pPr>
              <w:pStyle w:val="Box"/>
            </w:pPr>
            <w:r>
              <w:t xml:space="preserve">That is, </w:t>
            </w:r>
            <w:r w:rsidR="00811EE6">
              <w:t xml:space="preserve">it is proportional to two fractions summed across all markets </w:t>
            </w:r>
            <m:oMath>
              <m:r>
                <w:rPr>
                  <w:rFonts w:ascii="Cambria Math" w:hAnsi="Cambria Math"/>
                </w:rPr>
                <m:t>u</m:t>
              </m:r>
            </m:oMath>
            <w:r w:rsidR="00811EE6">
              <w:t xml:space="preserve">. The first is the importance of market </w:t>
            </w:r>
            <m:oMath>
              <m:r>
                <w:rPr>
                  <w:rFonts w:ascii="Cambria Math" w:hAnsi="Cambria Math"/>
                </w:rPr>
                <m:t>u</m:t>
              </m:r>
            </m:oMath>
            <w:r w:rsidR="00811EE6">
              <w:t xml:space="preserve"> in </w:t>
            </w:r>
            <m:oMath>
              <m:r>
                <w:rPr>
                  <w:rFonts w:ascii="Cambria Math" w:hAnsi="Cambria Math"/>
                </w:rPr>
                <m:t>s</m:t>
              </m:r>
            </m:oMath>
            <w:r w:rsidR="00811EE6">
              <w:t xml:space="preserve">’s exports and the second is the market share of </w:t>
            </w:r>
            <m:oMath>
              <m:r>
                <w:rPr>
                  <w:rFonts w:ascii="Cambria Math" w:hAnsi="Cambria Math"/>
                </w:rPr>
                <m:t>r</m:t>
              </m:r>
            </m:oMath>
            <w:r w:rsidR="00811EE6">
              <w:t xml:space="preserve"> in market </w:t>
            </w:r>
            <m:oMath>
              <m:r>
                <w:rPr>
                  <w:rFonts w:ascii="Cambria Math" w:hAnsi="Cambria Math"/>
                </w:rPr>
                <m:t>u</m:t>
              </m:r>
            </m:oMath>
            <w:r w:rsidR="00811EE6">
              <w:t xml:space="preserve">. </w:t>
            </w:r>
            <w:r w:rsidR="00624A63">
              <w:t xml:space="preserve">The higher either of these are, the higher the weight. </w:t>
            </w:r>
          </w:p>
          <w:p w14:paraId="4DD077C5" w14:textId="02E4ADD1" w:rsidR="003B1F52" w:rsidRDefault="00A6007D" w:rsidP="001B36CC">
            <w:pPr>
              <w:pStyle w:val="Box"/>
            </w:pPr>
            <w:r>
              <w:t>The REER itself is obtained by</w:t>
            </w:r>
            <w:r w:rsidR="003B1F52">
              <w:t xml:space="preserve"> multiplying the weights matrix </w:t>
            </w:r>
            <m:oMath>
              <m:r>
                <m:rPr>
                  <m:sty m:val="b"/>
                </m:rPr>
                <w:rPr>
                  <w:rFonts w:ascii="Cambria Math" w:hAnsi="Cambria Math"/>
                </w:rPr>
                <m:t>W</m:t>
              </m:r>
            </m:oMath>
            <w:r w:rsidR="00FD3E58">
              <w:t xml:space="preserve"> </w:t>
            </w:r>
            <w:r w:rsidR="003B1F52">
              <w:t>with the vector of price changes</w:t>
            </w:r>
            <w:r w:rsidR="00FD3E58" w:rsidRPr="003B1F52">
              <w:rPr>
                <w:rFonts w:ascii="Cambria Math" w:hAnsi="Cambria Math"/>
                <w:b/>
                <w:bCs/>
                <w:iCs/>
              </w:rPr>
              <w:t xml:space="preserve"> </w:t>
            </w:r>
            <m:oMath>
              <m:acc>
                <m:accPr>
                  <m:ctrlPr>
                    <w:rPr>
                      <w:rFonts w:ascii="Cambria Math" w:hAnsi="Cambria Math"/>
                      <w:b/>
                      <w:bCs/>
                      <w:iCs/>
                    </w:rPr>
                  </m:ctrlPr>
                </m:accPr>
                <m:e>
                  <m:r>
                    <m:rPr>
                      <m:sty m:val="b"/>
                    </m:rPr>
                    <w:rPr>
                      <w:rFonts w:ascii="Cambria Math" w:hAnsi="Cambria Math"/>
                    </w:rPr>
                    <m:t>p</m:t>
                  </m:r>
                </m:e>
              </m:acc>
            </m:oMath>
            <w:r w:rsidR="003B1F52">
              <w:t>:</w:t>
            </w:r>
          </w:p>
          <w:p w14:paraId="69111142" w14:textId="18E15011" w:rsidR="003B1F52" w:rsidRDefault="003B1F52" w:rsidP="001B36CC">
            <w:pPr>
              <w:pStyle w:val="Box"/>
            </w:pPr>
            <m:oMathPara>
              <m:oMath>
                <m:r>
                  <m:rPr>
                    <m:sty m:val="b"/>
                  </m:rPr>
                  <w:rPr>
                    <w:rFonts w:ascii="Cambria Math" w:hAnsi="Cambria Math"/>
                  </w:rPr>
                  <m:t>REER</m:t>
                </m:r>
                <m:r>
                  <w:rPr>
                    <w:rFonts w:ascii="Cambria Math" w:hAnsi="Cambria Math"/>
                  </w:rPr>
                  <m:t>=</m:t>
                </m:r>
                <m:r>
                  <m:rPr>
                    <m:sty m:val="b"/>
                  </m:rPr>
                  <w:rPr>
                    <w:rFonts w:ascii="Cambria Math" w:hAnsi="Cambria Math"/>
                  </w:rPr>
                  <m:t>W</m:t>
                </m:r>
                <m:r>
                  <w:rPr>
                    <w:rFonts w:ascii="Cambria Math" w:hAnsi="Cambria Math"/>
                  </w:rPr>
                  <m:t>⋅</m:t>
                </m:r>
                <m:acc>
                  <m:accPr>
                    <m:ctrlPr>
                      <w:rPr>
                        <w:rFonts w:ascii="Cambria Math" w:hAnsi="Cambria Math"/>
                        <w:b/>
                        <w:bCs/>
                        <w:iCs/>
                      </w:rPr>
                    </m:ctrlPr>
                  </m:accPr>
                  <m:e>
                    <m:r>
                      <m:rPr>
                        <m:sty m:val="b"/>
                      </m:rPr>
                      <w:rPr>
                        <w:rFonts w:ascii="Cambria Math" w:hAnsi="Cambria Math"/>
                      </w:rPr>
                      <m:t>p</m:t>
                    </m:r>
                  </m:e>
                </m:acc>
              </m:oMath>
            </m:oMathPara>
          </w:p>
          <w:p w14:paraId="304A91CA" w14:textId="666A4BD5" w:rsidR="00AA04EC" w:rsidRDefault="008C5CC5" w:rsidP="001B36CC">
            <w:pPr>
              <w:pStyle w:val="Box"/>
            </w:pPr>
            <w:r>
              <w:t xml:space="preserve">Calculating </w:t>
            </w:r>
            <w:r w:rsidR="00E73048">
              <w:t xml:space="preserve">the </w:t>
            </w:r>
            <w:r w:rsidR="007839EA">
              <w:t xml:space="preserve">weights </w:t>
            </w:r>
            <w:r w:rsidR="00E73048">
              <w:t xml:space="preserve">matrix </w:t>
            </w:r>
            <w:r w:rsidR="007839EA">
              <w:t>typically rel</w:t>
            </w:r>
            <w:r w:rsidR="00E84B56">
              <w:t>ies</w:t>
            </w:r>
            <w:r w:rsidR="007839EA">
              <w:t xml:space="preserve"> on trade statistics that only report gross exports, resulting in the implicit assumption that all trade is in final goods</w:t>
            </w:r>
            <w:r w:rsidR="00B42B22">
              <w:t xml:space="preserve"> (see </w:t>
            </w:r>
            <w:fldSimple w:instr=" REF _Ref77751741  \* MERGEFORMAT ">
              <w:r w:rsidR="00954582" w:rsidRPr="009F0FF5">
                <w:t xml:space="preserve">Box </w:t>
              </w:r>
              <w:r w:rsidR="00954582">
                <w:rPr>
                  <w:noProof/>
                </w:rPr>
                <w:t>3</w:t>
              </w:r>
            </w:fldSimple>
            <w:r w:rsidR="00B42B22">
              <w:t>)</w:t>
            </w:r>
            <w:r w:rsidR="007839EA">
              <w:t>. This has grown increasingly untenable with the rise of global value chains</w:t>
            </w:r>
            <w:r w:rsidR="00036339">
              <w:t xml:space="preserve"> (GVCs)</w:t>
            </w:r>
            <w:r w:rsidR="007839EA">
              <w:t xml:space="preserve"> (</w:t>
            </w:r>
            <w:proofErr w:type="spellStart"/>
            <w:r w:rsidR="007839EA">
              <w:t>Bems</w:t>
            </w:r>
            <w:proofErr w:type="spellEnd"/>
            <w:r w:rsidR="007839EA">
              <w:t xml:space="preserve"> </w:t>
            </w:r>
            <w:r w:rsidR="00B01885">
              <w:t>and</w:t>
            </w:r>
            <w:r w:rsidR="007839EA">
              <w:t xml:space="preserve"> Johnson 2017). To illustrate, consider a trading relationship where Japan exports electronic components to the People’s Republic of China (PRC), who assembles them into toys that then compete with toys from the United States. Suppose there is no direct trade between Japan and the United States. Then in computations of the U</w:t>
            </w:r>
            <w:r w:rsidR="00F2405A">
              <w:t>nited States</w:t>
            </w:r>
            <w:r w:rsidR="007839EA">
              <w:t xml:space="preserve"> REER, a depreciation of the yen registers no impact, though by decreasing PRC input costs, it may well result in cheaper PRC exports, making U</w:t>
            </w:r>
            <w:r w:rsidR="00F2405A">
              <w:t>nited States</w:t>
            </w:r>
            <w:r w:rsidR="007839EA">
              <w:t xml:space="preserve"> exports less competitive. In short, if the presence of global value chains is not taken into account, the resulting REER index may miss a lot of relevant nuances.</w:t>
            </w:r>
          </w:p>
          <w:p w14:paraId="13B3769F" w14:textId="7A86E630" w:rsidR="00E215C5" w:rsidRDefault="00036339" w:rsidP="001B36CC">
            <w:pPr>
              <w:pStyle w:val="Box"/>
            </w:pPr>
            <w:r>
              <w:lastRenderedPageBreak/>
              <w:t>This chapter implements the GVC</w:t>
            </w:r>
            <w:r w:rsidR="00C10761">
              <w:t>-adjusted REERs of Patel, Wang, and Wei</w:t>
            </w:r>
            <w:r w:rsidR="003374AA">
              <w:t xml:space="preserve"> (</w:t>
            </w:r>
            <w:r w:rsidR="00761647">
              <w:t>2019</w:t>
            </w:r>
            <w:r w:rsidR="003374AA">
              <w:t xml:space="preserve">). </w:t>
            </w:r>
            <w:r w:rsidR="00A41CF6">
              <w:t xml:space="preserve">Expanding on </w:t>
            </w:r>
            <w:proofErr w:type="spellStart"/>
            <w:r w:rsidR="00A41CF6">
              <w:t>Bems</w:t>
            </w:r>
            <w:proofErr w:type="spellEnd"/>
            <w:r w:rsidR="00A41CF6">
              <w:t xml:space="preserve"> and Johnson (2017), t</w:t>
            </w:r>
            <w:r w:rsidR="005075BC">
              <w:t>he</w:t>
            </w:r>
            <w:r w:rsidR="00A41CF6">
              <w:t>y</w:t>
            </w:r>
            <w:r w:rsidR="005075BC">
              <w:t xml:space="preserve"> build a dynamic stochastic general equilibrium model</w:t>
            </w:r>
            <w:r w:rsidR="00804FF0">
              <w:t xml:space="preserve"> </w:t>
            </w:r>
            <w:r w:rsidR="00EA4465">
              <w:t>using</w:t>
            </w:r>
            <w:r w:rsidR="00804FF0">
              <w:t xml:space="preserve"> </w:t>
            </w:r>
            <w:proofErr w:type="spellStart"/>
            <w:r w:rsidR="00804FF0">
              <w:t>Armington</w:t>
            </w:r>
            <w:proofErr w:type="spellEnd"/>
            <w:r w:rsidR="00804FF0">
              <w:t xml:space="preserve"> (</w:t>
            </w:r>
            <w:r w:rsidR="008A64C9">
              <w:t>1969</w:t>
            </w:r>
            <w:r w:rsidR="00804FF0">
              <w:t xml:space="preserve">) demand functions </w:t>
            </w:r>
            <w:r w:rsidR="005075BC">
              <w:t xml:space="preserve">to derive </w:t>
            </w:r>
            <w:r w:rsidR="00804FF0">
              <w:t>a weights matrix</w:t>
            </w:r>
            <w:r w:rsidR="000E5F81">
              <w:t xml:space="preserve"> at the </w:t>
            </w:r>
            <w:r w:rsidR="00937F70">
              <w:t>country-</w:t>
            </w:r>
            <w:r w:rsidR="000E5F81">
              <w:t>sector level</w:t>
            </w:r>
            <w:r w:rsidR="003D73FB">
              <w:t xml:space="preserve">, which </w:t>
            </w:r>
            <w:r w:rsidR="00EA4465">
              <w:t>may be</w:t>
            </w:r>
            <w:r w:rsidR="003D73FB">
              <w:t xml:space="preserve"> aggregated to the </w:t>
            </w:r>
            <w:r w:rsidR="008C15FB">
              <w:t>country</w:t>
            </w:r>
            <w:r w:rsidR="003D73FB">
              <w:t xml:space="preserve"> level through value</w:t>
            </w:r>
            <w:r w:rsidR="00954582">
              <w:t xml:space="preserve"> </w:t>
            </w:r>
            <w:r w:rsidR="003D73FB">
              <w:t>added-weighted averages</w:t>
            </w:r>
            <w:r w:rsidR="000E5F81">
              <w:t>. This chapter simplifies their model by assuming constant and uniform elasticities</w:t>
            </w:r>
            <w:r w:rsidR="008E03DB">
              <w:t xml:space="preserve">. </w:t>
            </w:r>
          </w:p>
          <w:p w14:paraId="505BB1E0" w14:textId="45A7D3F1" w:rsidR="00CE24A2" w:rsidRPr="001B36CC" w:rsidRDefault="00CE24A2" w:rsidP="001B36CC">
            <w:pPr>
              <w:pStyle w:val="Box"/>
              <w:rPr>
                <w:b/>
                <w:bCs/>
              </w:rPr>
            </w:pPr>
            <w:r w:rsidRPr="001B36CC">
              <w:rPr>
                <w:b/>
                <w:bCs/>
              </w:rPr>
              <w:t>References</w:t>
            </w:r>
          </w:p>
          <w:p w14:paraId="123A49CD" w14:textId="3D5FD7C0" w:rsidR="004E7652" w:rsidRDefault="004E7652" w:rsidP="00CE24A2">
            <w:pPr>
              <w:pStyle w:val="BoxReferences"/>
            </w:pPr>
            <w:r>
              <w:t xml:space="preserve">P. S. </w:t>
            </w:r>
            <w:proofErr w:type="spellStart"/>
            <w:r w:rsidRPr="004E7652">
              <w:t>Armington</w:t>
            </w:r>
            <w:proofErr w:type="spellEnd"/>
            <w:r>
              <w:t>.</w:t>
            </w:r>
            <w:r w:rsidRPr="004E7652">
              <w:t xml:space="preserve"> 1969. A Theory of Demand for Products Distinguished by Place of Production. </w:t>
            </w:r>
            <w:r w:rsidRPr="00EC0D1E">
              <w:rPr>
                <w:i/>
                <w:iCs/>
              </w:rPr>
              <w:t>Staff Papers (International Monetary Fund</w:t>
            </w:r>
            <w:r w:rsidR="00EC0D1E">
              <w:rPr>
                <w:i/>
                <w:iCs/>
              </w:rPr>
              <w:t>).</w:t>
            </w:r>
            <w:r w:rsidRPr="004E7652">
              <w:t xml:space="preserve"> </w:t>
            </w:r>
            <w:r w:rsidRPr="008B39F1">
              <w:t>16</w:t>
            </w:r>
            <w:r w:rsidRPr="004E7652">
              <w:t>(1)</w:t>
            </w:r>
            <w:r w:rsidR="00EC0D1E">
              <w:t>.</w:t>
            </w:r>
            <w:r w:rsidRPr="004E7652">
              <w:t xml:space="preserve"> </w:t>
            </w:r>
            <w:r w:rsidR="00EC0D1E">
              <w:t xml:space="preserve">pp. </w:t>
            </w:r>
            <w:r w:rsidRPr="004E7652">
              <w:t>159–78.</w:t>
            </w:r>
          </w:p>
          <w:p w14:paraId="3D4A9410" w14:textId="7B79FF0B" w:rsidR="00CE24A2" w:rsidRDefault="00CE24A2" w:rsidP="00CE24A2">
            <w:pPr>
              <w:pStyle w:val="BoxReferences"/>
            </w:pPr>
            <w:r>
              <w:t xml:space="preserve">T. </w:t>
            </w:r>
            <w:proofErr w:type="spellStart"/>
            <w:r>
              <w:t>Bayoumi</w:t>
            </w:r>
            <w:proofErr w:type="spellEnd"/>
            <w:r>
              <w:t xml:space="preserve">, J. Lee, and S. Jayanthi. 2005. New Rates from New Weights. </w:t>
            </w:r>
            <w:r w:rsidRPr="00F44718">
              <w:rPr>
                <w:i/>
                <w:iCs/>
              </w:rPr>
              <w:t>IMF Working Paper WP/05/99</w:t>
            </w:r>
            <w:r>
              <w:t xml:space="preserve">. Washington, DC: International Monetary Fund. </w:t>
            </w:r>
          </w:p>
          <w:p w14:paraId="711F1170" w14:textId="77777777" w:rsidR="00CE24A2" w:rsidRDefault="00CE24A2" w:rsidP="00CE24A2">
            <w:pPr>
              <w:pStyle w:val="BoxReferences"/>
            </w:pPr>
            <w:r>
              <w:t xml:space="preserve">R. </w:t>
            </w:r>
            <w:proofErr w:type="spellStart"/>
            <w:r>
              <w:t>Bems</w:t>
            </w:r>
            <w:proofErr w:type="spellEnd"/>
            <w:r>
              <w:t xml:space="preserve"> and R. C. Johnson. 2017. Demand for Value Added and Value-Added Exchange Rates. </w:t>
            </w:r>
            <w:r w:rsidRPr="000A55B9">
              <w:rPr>
                <w:i/>
                <w:iCs/>
              </w:rPr>
              <w:t>American Economic Journal: Macroeconomics</w:t>
            </w:r>
            <w:r w:rsidRPr="000A55B9">
              <w:t>.</w:t>
            </w:r>
            <w:r>
              <w:t xml:space="preserve"> </w:t>
            </w:r>
            <w:r w:rsidRPr="008B39F1">
              <w:t>9</w:t>
            </w:r>
            <w:r>
              <w:t>(4). pp. 45–90.</w:t>
            </w:r>
          </w:p>
          <w:p w14:paraId="4FECD78B" w14:textId="77777777" w:rsidR="00CE24A2" w:rsidRDefault="00CE24A2" w:rsidP="00CE24A2">
            <w:pPr>
              <w:pStyle w:val="BoxReferences"/>
            </w:pPr>
            <w:r>
              <w:t xml:space="preserve">M. D. Chinn. 2006. A Primer on Real Effective Exchange Rates: Determinants, Overvaluation, Trade Flows and Competitive Devaluation. </w:t>
            </w:r>
            <w:r w:rsidRPr="0098640E">
              <w:rPr>
                <w:i/>
                <w:iCs/>
              </w:rPr>
              <w:t>Open Economies Review</w:t>
            </w:r>
            <w:r>
              <w:t xml:space="preserve">. </w:t>
            </w:r>
            <w:r w:rsidRPr="008B39F1">
              <w:t>51</w:t>
            </w:r>
            <w:r>
              <w:t>. pp. 115–43.</w:t>
            </w:r>
          </w:p>
          <w:p w14:paraId="4C15D207" w14:textId="664C4CD3" w:rsidR="00CE24A2" w:rsidRDefault="00CE24A2" w:rsidP="00CE24A2">
            <w:pPr>
              <w:pStyle w:val="BoxReferences"/>
            </w:pPr>
            <w:r>
              <w:t xml:space="preserve">O. </w:t>
            </w:r>
            <w:proofErr w:type="spellStart"/>
            <w:r>
              <w:t>Itskhoki</w:t>
            </w:r>
            <w:proofErr w:type="spellEnd"/>
            <w:r>
              <w:t xml:space="preserve">. 2020. The Story of the Real Exchange Rate. </w:t>
            </w:r>
            <w:r w:rsidRPr="008C74BB">
              <w:rPr>
                <w:i/>
                <w:iCs/>
              </w:rPr>
              <w:t>NBER Working Paper</w:t>
            </w:r>
            <w:r w:rsidR="008146DE" w:rsidRPr="008146DE">
              <w:t>.</w:t>
            </w:r>
            <w:r w:rsidRPr="008146DE">
              <w:t xml:space="preserve"> No. 28225</w:t>
            </w:r>
            <w:r>
              <w:t>. Cambridge, MA: National Bureau of Economic Research.</w:t>
            </w:r>
          </w:p>
          <w:p w14:paraId="034A785E" w14:textId="12FB3C8E" w:rsidR="00CE24A2" w:rsidRDefault="00CE24A2" w:rsidP="00400499">
            <w:pPr>
              <w:pStyle w:val="BoxReferences"/>
            </w:pPr>
            <w:r>
              <w:t xml:space="preserve">S. Patel, Z. Wang, and S. Wei. 2019. Global Value Chains and Effective Exchange Rates at the Country-Sector Level. </w:t>
            </w:r>
            <w:r w:rsidRPr="00A113DF">
              <w:rPr>
                <w:i/>
                <w:iCs/>
              </w:rPr>
              <w:t>Journal of Money, Credit, and Banking</w:t>
            </w:r>
            <w:r>
              <w:t xml:space="preserve">. </w:t>
            </w:r>
            <w:r w:rsidRPr="008B39F1">
              <w:t>51</w:t>
            </w:r>
            <w:r>
              <w:t>(1). pp. 7–42.</w:t>
            </w:r>
          </w:p>
        </w:tc>
      </w:tr>
    </w:tbl>
    <w:p w14:paraId="50680CA8" w14:textId="77777777" w:rsidR="00AA04EC" w:rsidRDefault="00AA04EC" w:rsidP="004E6784"/>
    <w:p w14:paraId="094A53F3" w14:textId="69BD7D1E" w:rsidR="00954582" w:rsidRDefault="00E13FDE" w:rsidP="004E6784">
      <w:r>
        <w:t xml:space="preserve">The two panels of </w:t>
      </w:r>
      <w:fldSimple w:instr=" REF _Ref79076660 ">
        <w:r w:rsidR="00D57A44">
          <w:t xml:space="preserve">Figure </w:t>
        </w:r>
        <w:r w:rsidR="00D57A44">
          <w:rPr>
            <w:noProof/>
            <w:cs/>
          </w:rPr>
          <w:t>‎</w:t>
        </w:r>
        <w:r w:rsidR="00D57A44">
          <w:rPr>
            <w:noProof/>
          </w:rPr>
          <w:t>4</w:t>
        </w:r>
        <w:r w:rsidR="00D57A44">
          <w:t>.</w:t>
        </w:r>
        <w:r w:rsidR="00D57A44">
          <w:rPr>
            <w:noProof/>
          </w:rPr>
          <w:t>3</w:t>
        </w:r>
      </w:fldSimple>
      <w:r w:rsidR="00F4746D">
        <w:t xml:space="preserve"> </w:t>
      </w:r>
      <w:r w:rsidR="002C0CA8">
        <w:t xml:space="preserve">show the </w:t>
      </w:r>
      <w:r w:rsidR="00CF607D">
        <w:t xml:space="preserve">countries </w:t>
      </w:r>
      <w:r w:rsidR="005169CB">
        <w:t>whose prices</w:t>
      </w:r>
      <w:r w:rsidR="002C0CA8">
        <w:t xml:space="preserve"> have the largest weight</w:t>
      </w:r>
      <w:r w:rsidR="004B3E39">
        <w:t>s</w:t>
      </w:r>
      <w:r w:rsidR="002C0CA8">
        <w:t xml:space="preserve"> in </w:t>
      </w:r>
      <w:r w:rsidR="00954582">
        <w:t>Kazakhstan's mining and metals</w:t>
      </w:r>
      <w:r w:rsidR="002C0CA8">
        <w:t xml:space="preserve"> </w:t>
      </w:r>
      <w:r w:rsidR="00954582">
        <w:t xml:space="preserve">manufacturing </w:t>
      </w:r>
      <w:r w:rsidR="004B3E39">
        <w:t>REERs</w:t>
      </w:r>
      <w:r w:rsidR="002C0CA8">
        <w:t xml:space="preserve">. </w:t>
      </w:r>
      <w:r w:rsidR="004B3E39">
        <w:t>These</w:t>
      </w:r>
      <w:r w:rsidR="00002AAD">
        <w:t xml:space="preserve"> weights </w:t>
      </w:r>
      <w:r w:rsidR="00A70E4B">
        <w:t xml:space="preserve">reflect the market leaders in the markets </w:t>
      </w:r>
      <w:r w:rsidR="00954582">
        <w:t xml:space="preserve">Kazakhstan </w:t>
      </w:r>
      <w:r w:rsidR="00A70E4B">
        <w:t xml:space="preserve">competes in. </w:t>
      </w:r>
      <w:r w:rsidR="005F1095">
        <w:t xml:space="preserve">For </w:t>
      </w:r>
      <w:r w:rsidR="00954582">
        <w:t xml:space="preserve">mining </w:t>
      </w:r>
      <w:r w:rsidR="00FE17D6">
        <w:t>in panel (a)</w:t>
      </w:r>
      <w:r w:rsidR="005F1095">
        <w:t xml:space="preserve">, the </w:t>
      </w:r>
      <w:r w:rsidR="00954582">
        <w:t xml:space="preserve">People's Republic of China has steadily gained to become the country with the single largest weight, beating Italy and the United States. </w:t>
      </w:r>
      <w:r w:rsidR="00C24948">
        <w:t xml:space="preserve">The PRC itself has a major mining sector, and since Kazakhstan exports much of its oil to the PRC, it is no surprise that PRC prices play a large role in the competitiveness of Kazakh mining. Nevertheless, this result should be interpreted with caution. The mining sector aggregates several distinct products, from oil to </w:t>
      </w:r>
      <w:r w:rsidR="00107BD0">
        <w:t xml:space="preserve">ores and rocks. The PRC remains the world's biggest importer of oil, so it is unlikely that it is competing with Kazakhstan in the specific product. More relevant, then, is the United States, which is a major seller of oil in the world. </w:t>
      </w:r>
    </w:p>
    <w:p w14:paraId="3F4251CD" w14:textId="26C0D516" w:rsidR="004E6784" w:rsidRDefault="004E6784" w:rsidP="004E6784">
      <w:pPr>
        <w:pStyle w:val="Caption"/>
      </w:pPr>
      <w:bookmarkStart w:id="56" w:name="_Ref79076660"/>
      <w:bookmarkStart w:id="57" w:name="_Toc83849813"/>
      <w:r>
        <w:t xml:space="preserve">Figure </w:t>
      </w:r>
      <w:fldSimple w:instr=" STYLEREF 1 \s ">
        <w:r w:rsidR="00D57A44">
          <w:rPr>
            <w:noProof/>
            <w:cs/>
          </w:rPr>
          <w:t>‎</w:t>
        </w:r>
        <w:r w:rsidR="00D57A44">
          <w:rPr>
            <w:noProof/>
          </w:rPr>
          <w:t>4</w:t>
        </w:r>
      </w:fldSimple>
      <w:r w:rsidR="003F26C2">
        <w:t>.</w:t>
      </w:r>
      <w:fldSimple w:instr=" SEQ Figure \* ARABIC \s 1 ">
        <w:r w:rsidR="00D57A44">
          <w:rPr>
            <w:noProof/>
          </w:rPr>
          <w:t>3</w:t>
        </w:r>
      </w:fldSimple>
      <w:bookmarkEnd w:id="56"/>
      <w:r>
        <w:t xml:space="preserve">: Real Effective Exchange Rate Weights, </w:t>
      </w:r>
      <w:r w:rsidR="00FA26A0">
        <w:t>Selected Sectors</w:t>
      </w:r>
      <w:r w:rsidR="003D07AB">
        <w:t>,</w:t>
      </w:r>
      <w:r w:rsidR="00FA26A0">
        <w:t xml:space="preserve"> </w:t>
      </w:r>
      <w:r w:rsidR="006D36A9">
        <w:t>Kazakhstan</w:t>
      </w:r>
      <w:r>
        <w:t xml:space="preserve">, </w:t>
      </w:r>
      <w:r w:rsidR="006D36A9">
        <w:t>2007</w:t>
      </w:r>
      <w:r>
        <w:t>–202</w:t>
      </w:r>
      <w:bookmarkEnd w:id="57"/>
      <w:r w:rsidR="006D36A9">
        <w:t>2</w:t>
      </w:r>
    </w:p>
    <w:p w14:paraId="6E48E994" w14:textId="0ABEC9D4" w:rsidR="004E6784" w:rsidRPr="000B71B5" w:rsidRDefault="006D36A9" w:rsidP="004E6784">
      <w:pPr>
        <w:pStyle w:val="Caption"/>
      </w:pPr>
      <w:r>
        <w:rPr>
          <w:noProof/>
        </w:rPr>
        <w:lastRenderedPageBreak/>
        <w:drawing>
          <wp:anchor distT="0" distB="0" distL="114300" distR="114300" simplePos="0" relativeHeight="251757568" behindDoc="0" locked="0" layoutInCell="1" allowOverlap="1" wp14:anchorId="0F5EBA8A" wp14:editId="5487851C">
            <wp:simplePos x="0" y="0"/>
            <wp:positionH relativeFrom="column">
              <wp:posOffset>0</wp:posOffset>
            </wp:positionH>
            <wp:positionV relativeFrom="paragraph">
              <wp:posOffset>205105</wp:posOffset>
            </wp:positionV>
            <wp:extent cx="5731510" cy="3226435"/>
            <wp:effectExtent l="0" t="0" r="0" b="0"/>
            <wp:wrapSquare wrapText="bothSides"/>
            <wp:docPr id="18187421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42118" name="Picture 1818742118"/>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14:sizeRelH relativeFrom="page">
              <wp14:pctWidth>0</wp14:pctWidth>
            </wp14:sizeRelH>
            <wp14:sizeRelV relativeFrom="page">
              <wp14:pctHeight>0</wp14:pctHeight>
            </wp14:sizeRelV>
          </wp:anchor>
        </w:drawing>
      </w:r>
      <w:r w:rsidR="00A8778D">
        <w:t xml:space="preserve"> </w:t>
      </w:r>
      <w:r w:rsidR="004E6784">
        <w:t xml:space="preserve">(a) </w:t>
      </w:r>
      <w:r>
        <w:t>Mining</w:t>
      </w:r>
    </w:p>
    <w:p w14:paraId="7E35D73C" w14:textId="7E3C0766" w:rsidR="004E6784" w:rsidRPr="000B71B5" w:rsidRDefault="006D36A9" w:rsidP="004E6784">
      <w:pPr>
        <w:pStyle w:val="Caption"/>
      </w:pPr>
      <w:r>
        <w:rPr>
          <w:noProof/>
        </w:rPr>
        <w:drawing>
          <wp:anchor distT="0" distB="0" distL="114300" distR="114300" simplePos="0" relativeHeight="251758592" behindDoc="0" locked="0" layoutInCell="1" allowOverlap="1" wp14:anchorId="325BDA8B" wp14:editId="700CC917">
            <wp:simplePos x="0" y="0"/>
            <wp:positionH relativeFrom="column">
              <wp:posOffset>0</wp:posOffset>
            </wp:positionH>
            <wp:positionV relativeFrom="paragraph">
              <wp:posOffset>3251933</wp:posOffset>
            </wp:positionV>
            <wp:extent cx="5731510" cy="3226435"/>
            <wp:effectExtent l="0" t="0" r="0" b="0"/>
            <wp:wrapSquare wrapText="bothSides"/>
            <wp:docPr id="10808577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57737" name="Picture 1080857737"/>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14:sizeRelH relativeFrom="page">
              <wp14:pctWidth>0</wp14:pctWidth>
            </wp14:sizeRelH>
            <wp14:sizeRelV relativeFrom="page">
              <wp14:pctHeight>0</wp14:pctHeight>
            </wp14:sizeRelV>
          </wp:anchor>
        </w:drawing>
      </w:r>
      <w:r w:rsidR="004E6784">
        <w:t xml:space="preserve">(b) </w:t>
      </w:r>
      <w:r>
        <w:t>Metals</w:t>
      </w:r>
    </w:p>
    <w:p w14:paraId="778DDD6F" w14:textId="73182AA2" w:rsidR="004E6784" w:rsidRDefault="004E6784" w:rsidP="004E6784">
      <w:pPr>
        <w:pStyle w:val="Notes"/>
      </w:pPr>
      <w:r>
        <w:t xml:space="preserve">Notes: </w:t>
      </w:r>
      <w:r w:rsidR="0092104A">
        <w:tab/>
      </w:r>
      <w:r>
        <w:t xml:space="preserve">Weights reflect the importance of each </w:t>
      </w:r>
      <w:r w:rsidR="00651C3E">
        <w:t xml:space="preserve">country’s </w:t>
      </w:r>
      <w:r>
        <w:t>prices to Pakistan’s sector-level real effective exchange rate index</w:t>
      </w:r>
      <w:r w:rsidR="004446F6">
        <w:t xml:space="preserve">, </w:t>
      </w:r>
      <w:r>
        <w:t xml:space="preserve">computed according to Patel, Wang, and Wei (2019). </w:t>
      </w:r>
    </w:p>
    <w:p w14:paraId="55409109" w14:textId="4015B800" w:rsidR="004E6784" w:rsidRDefault="00845F73" w:rsidP="00845F73">
      <w:pPr>
        <w:pStyle w:val="NotesBottom"/>
      </w:pPr>
      <w:r>
        <w:t xml:space="preserve">Sources: </w:t>
      </w:r>
      <w:r>
        <w:tab/>
        <w:t xml:space="preserve">S. Patel, Z. Wang, and S. Wei. 2019. Global Value Chains and Effective Exchange Rates at the Country-Sector Level. </w:t>
      </w:r>
      <w:r w:rsidRPr="00A113DF">
        <w:rPr>
          <w:i/>
          <w:iCs/>
        </w:rPr>
        <w:t>Journal of Money, Credit, and Banking</w:t>
      </w:r>
      <w:r>
        <w:t xml:space="preserve">. </w:t>
      </w:r>
      <w:r w:rsidRPr="00A113DF">
        <w:rPr>
          <w:i/>
          <w:iCs/>
        </w:rPr>
        <w:t>51</w:t>
      </w:r>
      <w:r>
        <w:t>(1). pp. 7–42; Asian Development Bank. Multiregional Input–Output Database</w:t>
      </w:r>
      <w:r w:rsidR="00745961">
        <w:t xml:space="preserve"> (July 2023</w:t>
      </w:r>
      <w:r>
        <w:t>);</w:t>
      </w:r>
      <w:r w:rsidRPr="008F0425">
        <w:t xml:space="preserve"> </w:t>
      </w:r>
      <w:r>
        <w:t>Asian Development Bank estimates.</w:t>
      </w:r>
    </w:p>
    <w:p w14:paraId="55287CBB" w14:textId="6C04423A" w:rsidR="004E6784" w:rsidRDefault="00107BD0" w:rsidP="004E6784">
      <w:r>
        <w:t xml:space="preserve">The PRC remains the largest weight for the REERs of Kazakhstan's metals manufacturing sector. </w:t>
      </w:r>
      <w:r w:rsidR="008F7FB4">
        <w:t xml:space="preserve">This stems from the fact that the PRC is both a major market for Kazakhstan's metals and itself a major producer of metals. </w:t>
      </w:r>
      <w:r w:rsidR="00635801">
        <w:t xml:space="preserve">The PRC's large weight suggests that Kazakhstan may stand to gain from any kind of restrictions placed on the PRC's export of metals, as has been the case since a trade conflict erupted between the United States and the PRC in 2018. As a </w:t>
      </w:r>
      <w:r w:rsidR="00635801">
        <w:lastRenderedPageBreak/>
        <w:t>recent example, the PRC announced curbs to its export of gallium and germanium—both key metals in the manufacture of semiconductors—beginning August 2023 (Tan 2023).</w:t>
      </w:r>
    </w:p>
    <w:p w14:paraId="2F8DCC22" w14:textId="4DB9FCF4" w:rsidR="007164F9" w:rsidRDefault="002B0828" w:rsidP="004E6784">
      <w:r>
        <w:t xml:space="preserve">Using these weights to take an average of </w:t>
      </w:r>
      <w:r w:rsidR="003A615B">
        <w:t>Kazakhstan's</w:t>
      </w:r>
      <w:r>
        <w:t xml:space="preserve"> bilateral exchange rates yields the REER index. </w:t>
      </w:r>
      <w:fldSimple w:instr=" REF _Ref79087680 ">
        <w:r w:rsidR="00D57A44">
          <w:t xml:space="preserve">Figure </w:t>
        </w:r>
        <w:r w:rsidR="00D57A44">
          <w:rPr>
            <w:noProof/>
            <w:cs/>
          </w:rPr>
          <w:t>‎</w:t>
        </w:r>
        <w:r w:rsidR="00D57A44">
          <w:rPr>
            <w:noProof/>
          </w:rPr>
          <w:t>4</w:t>
        </w:r>
        <w:r w:rsidR="00D57A44">
          <w:t>.</w:t>
        </w:r>
        <w:r w:rsidR="00D57A44">
          <w:rPr>
            <w:noProof/>
          </w:rPr>
          <w:t>4</w:t>
        </w:r>
      </w:fldSimple>
      <w:r>
        <w:t xml:space="preserve"> plots percent-change</w:t>
      </w:r>
      <w:r w:rsidR="00F563B9">
        <w:t>s</w:t>
      </w:r>
      <w:r>
        <w:t xml:space="preserve"> </w:t>
      </w:r>
      <w:r w:rsidR="00F563B9">
        <w:t>in</w:t>
      </w:r>
      <w:r>
        <w:t xml:space="preserve"> REERs for </w:t>
      </w:r>
      <w:r w:rsidR="003A615B">
        <w:t xml:space="preserve">mining </w:t>
      </w:r>
      <w:r>
        <w:t xml:space="preserve">and </w:t>
      </w:r>
      <w:r w:rsidR="003A615B">
        <w:t xml:space="preserve">metals </w:t>
      </w:r>
      <w:r>
        <w:t xml:space="preserve">as well as </w:t>
      </w:r>
      <w:r w:rsidR="00A633B4">
        <w:t xml:space="preserve">for the aggregate </w:t>
      </w:r>
      <w:r w:rsidR="00283F1A">
        <w:t>country</w:t>
      </w:r>
      <w:r w:rsidR="00A633B4">
        <w:t xml:space="preserve">. </w:t>
      </w:r>
      <w:r w:rsidR="003A615B">
        <w:t>T</w:t>
      </w:r>
      <w:r w:rsidR="00D5114D">
        <w:t xml:space="preserve">he figure also plots these REERs for </w:t>
      </w:r>
      <w:r w:rsidR="003A615B">
        <w:t>the Russian Federation given their shared history and deep economic interlinkages</w:t>
      </w:r>
      <w:r w:rsidR="00A5105B">
        <w:t>.</w:t>
      </w:r>
      <w:r w:rsidR="00007ED2">
        <w:t xml:space="preserve"> </w:t>
      </w:r>
      <w:r w:rsidR="000D5438">
        <w:t>The figure ends in 20</w:t>
      </w:r>
      <w:r w:rsidR="003A615B">
        <w:t>21</w:t>
      </w:r>
      <w:r w:rsidR="000D5438">
        <w:t xml:space="preserve"> as sector-level price data for 202</w:t>
      </w:r>
      <w:r w:rsidR="003A615B">
        <w:t>2</w:t>
      </w:r>
      <w:r w:rsidR="000D5438">
        <w:t xml:space="preserve"> are not yet available. </w:t>
      </w:r>
    </w:p>
    <w:p w14:paraId="4EE8B74C" w14:textId="7C6DFE70" w:rsidR="004E6784" w:rsidRDefault="00810548" w:rsidP="004E6784">
      <w:pPr>
        <w:pStyle w:val="Caption"/>
      </w:pPr>
      <w:bookmarkStart w:id="58" w:name="_Ref79087680"/>
      <w:bookmarkStart w:id="59" w:name="_Toc83849814"/>
      <w:r>
        <w:rPr>
          <w:noProof/>
        </w:rPr>
        <w:drawing>
          <wp:anchor distT="0" distB="0" distL="114300" distR="114300" simplePos="0" relativeHeight="251761664" behindDoc="0" locked="0" layoutInCell="1" allowOverlap="1" wp14:anchorId="19FAF34F" wp14:editId="4AE30332">
            <wp:simplePos x="0" y="0"/>
            <wp:positionH relativeFrom="column">
              <wp:posOffset>0</wp:posOffset>
            </wp:positionH>
            <wp:positionV relativeFrom="paragraph">
              <wp:posOffset>402688</wp:posOffset>
            </wp:positionV>
            <wp:extent cx="5731510" cy="2682240"/>
            <wp:effectExtent l="0" t="0" r="0" b="0"/>
            <wp:wrapSquare wrapText="bothSides"/>
            <wp:docPr id="1703554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54222" name="Picture 1703554222"/>
                    <pic:cNvPicPr/>
                  </pic:nvPicPr>
                  <pic:blipFill>
                    <a:blip r:embed="rId29">
                      <a:extLst>
                        <a:ext uri="{28A0092B-C50C-407E-A947-70E740481C1C}">
                          <a14:useLocalDpi xmlns:a14="http://schemas.microsoft.com/office/drawing/2010/main" val="0"/>
                        </a:ext>
                      </a:extLst>
                    </a:blip>
                    <a:stretch>
                      <a:fillRect/>
                    </a:stretch>
                  </pic:blipFill>
                  <pic:spPr>
                    <a:xfrm>
                      <a:off x="0" y="0"/>
                      <a:ext cx="5731510" cy="2682240"/>
                    </a:xfrm>
                    <a:prstGeom prst="rect">
                      <a:avLst/>
                    </a:prstGeom>
                  </pic:spPr>
                </pic:pic>
              </a:graphicData>
            </a:graphic>
            <wp14:sizeRelH relativeFrom="page">
              <wp14:pctWidth>0</wp14:pctWidth>
            </wp14:sizeRelH>
            <wp14:sizeRelV relativeFrom="page">
              <wp14:pctHeight>0</wp14:pctHeight>
            </wp14:sizeRelV>
          </wp:anchor>
        </w:drawing>
      </w:r>
      <w:r w:rsidR="004E6784">
        <w:t xml:space="preserve">Figure </w:t>
      </w:r>
      <w:fldSimple w:instr=" STYLEREF 1 \s ">
        <w:r w:rsidR="00D57A44">
          <w:rPr>
            <w:noProof/>
            <w:cs/>
          </w:rPr>
          <w:t>‎</w:t>
        </w:r>
        <w:r w:rsidR="00D57A44">
          <w:rPr>
            <w:noProof/>
          </w:rPr>
          <w:t>4</w:t>
        </w:r>
      </w:fldSimple>
      <w:r w:rsidR="003F26C2">
        <w:t>.</w:t>
      </w:r>
      <w:fldSimple w:instr=" SEQ Figure \* ARABIC \s 1 ">
        <w:r w:rsidR="00D57A44">
          <w:rPr>
            <w:noProof/>
          </w:rPr>
          <w:t>4</w:t>
        </w:r>
      </w:fldSimple>
      <w:bookmarkEnd w:id="58"/>
      <w:r w:rsidR="004E6784">
        <w:t xml:space="preserve">: Change in Real Effective Exchange Rate Index, </w:t>
      </w:r>
      <w:r w:rsidR="00482914">
        <w:t>Kazakhstan and Russian Federation</w:t>
      </w:r>
      <w:r w:rsidR="004E6784">
        <w:t>, Selected Sectors, 200</w:t>
      </w:r>
      <w:r w:rsidR="00482914">
        <w:t>7</w:t>
      </w:r>
      <w:r w:rsidR="004E6784">
        <w:t>–20</w:t>
      </w:r>
      <w:bookmarkEnd w:id="59"/>
      <w:r w:rsidR="00482914">
        <w:t>21</w:t>
      </w:r>
    </w:p>
    <w:p w14:paraId="50CCCEDA" w14:textId="05AD8128" w:rsidR="004E6784" w:rsidRDefault="004E6784" w:rsidP="004E6784">
      <w:pPr>
        <w:pStyle w:val="Notes"/>
      </w:pPr>
      <w:r>
        <w:t xml:space="preserve">Note: </w:t>
      </w:r>
      <w:r w:rsidR="0092104A">
        <w:tab/>
      </w:r>
      <w:r w:rsidR="001B03C6">
        <w:t xml:space="preserve">Real effective exchange rate </w:t>
      </w:r>
      <w:r>
        <w:t xml:space="preserve">indices are computed according to Patel, Wang, and Wei (2019). </w:t>
      </w:r>
      <w:r w:rsidR="00322802">
        <w:t xml:space="preserve">Inflation for 2007 is annual average </w:t>
      </w:r>
      <w:r w:rsidR="008668C6">
        <w:t>over</w:t>
      </w:r>
      <w:r w:rsidR="00322802">
        <w:t xml:space="preserve"> 2000–2007. </w:t>
      </w:r>
    </w:p>
    <w:p w14:paraId="11AB99E9" w14:textId="2A368043" w:rsidR="009F5ABA" w:rsidRDefault="009F5ABA" w:rsidP="009F5ABA">
      <w:pPr>
        <w:pStyle w:val="NotesBottom"/>
      </w:pPr>
      <w:r>
        <w:t xml:space="preserve">Sources: </w:t>
      </w:r>
      <w:r>
        <w:tab/>
        <w:t xml:space="preserve">S. Patel, Z. Wang, and S. Wei. 2019. Global Value Chains and Effective Exchange Rates at the Country-Sector Level. </w:t>
      </w:r>
      <w:r w:rsidRPr="00A113DF">
        <w:rPr>
          <w:i/>
          <w:iCs/>
        </w:rPr>
        <w:t>Journal of Money, Credit, and Banking</w:t>
      </w:r>
      <w:r>
        <w:t xml:space="preserve">. </w:t>
      </w:r>
      <w:r w:rsidRPr="00A113DF">
        <w:rPr>
          <w:i/>
          <w:iCs/>
        </w:rPr>
        <w:t>51</w:t>
      </w:r>
      <w:r>
        <w:t xml:space="preserve">(1). pp. 7–42; Asian Development Bank. Multiregional Input–Output Database </w:t>
      </w:r>
      <w:r w:rsidR="00C21051">
        <w:t>(July 2023</w:t>
      </w:r>
      <w:r>
        <w:t>);</w:t>
      </w:r>
      <w:r w:rsidRPr="008F0425">
        <w:t xml:space="preserve"> </w:t>
      </w:r>
      <w:r>
        <w:t>Asian Development Bank estimates.</w:t>
      </w:r>
    </w:p>
    <w:p w14:paraId="13C8F37A" w14:textId="162344E4" w:rsidR="004E6784" w:rsidRDefault="00617229" w:rsidP="00FA17BB">
      <w:r>
        <w:t xml:space="preserve">Owing to the dominance of </w:t>
      </w:r>
      <w:r w:rsidR="00810548">
        <w:t>mining and metals</w:t>
      </w:r>
      <w:r w:rsidR="007D6E50">
        <w:t xml:space="preserve"> to </w:t>
      </w:r>
      <w:r w:rsidR="00810548">
        <w:t xml:space="preserve">Kazakhstan's </w:t>
      </w:r>
      <w:r w:rsidR="007D6E50">
        <w:t xml:space="preserve">exports, it is no surprise that </w:t>
      </w:r>
      <w:r w:rsidR="00FD5C62">
        <w:t>its</w:t>
      </w:r>
      <w:r w:rsidR="007D6E50">
        <w:t xml:space="preserve"> aggregate REER tracks these two closely. However,</w:t>
      </w:r>
      <w:r w:rsidR="00810548">
        <w:t xml:space="preserve"> there are years when</w:t>
      </w:r>
      <w:r w:rsidR="007D6E50">
        <w:t xml:space="preserve"> the two sectors </w:t>
      </w:r>
      <w:r w:rsidR="00810548">
        <w:t xml:space="preserve">diverge from the aggregate, as in </w:t>
      </w:r>
      <w:r w:rsidR="00FA17BB">
        <w:t xml:space="preserve">2007–2008, 2015–2016, and 2020–2021. Comparing this figure to </w:t>
      </w:r>
      <w:r w:rsidR="00FA17BB">
        <w:fldChar w:fldCharType="begin"/>
      </w:r>
      <w:r w:rsidR="00FA17BB">
        <w:instrText xml:space="preserve"> REF _Ref140049265 \h </w:instrText>
      </w:r>
      <w:r w:rsidR="00FA17BB">
        <w:fldChar w:fldCharType="separate"/>
      </w:r>
      <w:r w:rsidR="00FA17BB">
        <w:t xml:space="preserve">Figure </w:t>
      </w:r>
      <w:r w:rsidR="00FA17BB">
        <w:rPr>
          <w:noProof/>
          <w:cs/>
        </w:rPr>
        <w:t>‎</w:t>
      </w:r>
      <w:r w:rsidR="00FA17BB">
        <w:rPr>
          <w:noProof/>
        </w:rPr>
        <w:t>2</w:t>
      </w:r>
      <w:r w:rsidR="00FA17BB">
        <w:t>.</w:t>
      </w:r>
      <w:r w:rsidR="00FA17BB">
        <w:rPr>
          <w:noProof/>
        </w:rPr>
        <w:t>1</w:t>
      </w:r>
      <w:r w:rsidR="00FA17BB">
        <w:fldChar w:fldCharType="end"/>
      </w:r>
      <w:r w:rsidR="00FA17BB">
        <w:t xml:space="preserve"> reveals how global oil prices serve as the primary driver of Kazakhstan's REERs. Indeed, the mining REER tends to be more volatile than the aggregate REER, demonstrating how diversification away from its extractive resource sector can help stabilize Kazakhstan's export competitiveness. </w:t>
      </w:r>
      <w:r w:rsidR="00F524DE">
        <w:t>Overall</w:t>
      </w:r>
      <w:r w:rsidR="00FA17BB">
        <w:t xml:space="preserve"> however, </w:t>
      </w:r>
      <w:r w:rsidR="00F524DE">
        <w:t xml:space="preserve">Kazakhstan remains less volatile </w:t>
      </w:r>
      <w:r w:rsidR="00FA17BB">
        <w:t xml:space="preserve">than the Russian Federation, whose aggregate REER has taken wild swings over the </w:t>
      </w:r>
      <w:r w:rsidR="006B2150">
        <w:t>period covered</w:t>
      </w:r>
      <w:r w:rsidR="00FA17BB">
        <w:t xml:space="preserve">. </w:t>
      </w:r>
    </w:p>
    <w:p w14:paraId="7FCB07A7" w14:textId="475F2265" w:rsidR="00C6329B" w:rsidRDefault="006B2150" w:rsidP="004E6784">
      <w:r>
        <w:t xml:space="preserve">While a declining REER indicates that the country's exports are becoming cheaper and therefore more competitive, it should not necessarily be the goal. Rather, </w:t>
      </w:r>
      <w:r w:rsidR="008E7D72">
        <w:t xml:space="preserve">research suggests that maintaining a stable exchange rate is </w:t>
      </w:r>
      <w:r w:rsidR="00BC4887">
        <w:t xml:space="preserve">most </w:t>
      </w:r>
      <w:r w:rsidR="008E7D72">
        <w:t>conducive to trade (</w:t>
      </w:r>
      <w:proofErr w:type="spellStart"/>
      <w:r w:rsidR="008E7D72">
        <w:t>Eichengreen</w:t>
      </w:r>
      <w:proofErr w:type="spellEnd"/>
      <w:r w:rsidR="008E7D72">
        <w:t xml:space="preserve">, 2008; </w:t>
      </w:r>
      <w:r w:rsidR="008E7D72">
        <w:lastRenderedPageBreak/>
        <w:t>Rodrik, 2008)</w:t>
      </w:r>
      <w:r w:rsidR="00BC4887">
        <w:t xml:space="preserve">. </w:t>
      </w:r>
      <w:r w:rsidR="00C9300A">
        <w:t xml:space="preserve">In the aggregate, the standard deviation in </w:t>
      </w:r>
      <w:r w:rsidR="007332CB">
        <w:t>Kazakhstan's</w:t>
      </w:r>
      <w:r w:rsidR="00C9300A">
        <w:t xml:space="preserve"> REER change was </w:t>
      </w:r>
      <w:r w:rsidR="007332CB">
        <w:t>9.9</w:t>
      </w:r>
      <w:r w:rsidR="00C9300A">
        <w:t xml:space="preserve"> points</w:t>
      </w:r>
      <w:r w:rsidR="007332CB">
        <w:t>, much lower than the Russian Federation's 13.0</w:t>
      </w:r>
      <w:r w:rsidR="00C9300A">
        <w:t xml:space="preserve"> points</w:t>
      </w:r>
      <w:r w:rsidR="00EC2A5A">
        <w:t xml:space="preserve">. </w:t>
      </w:r>
    </w:p>
    <w:p w14:paraId="1F315A7A" w14:textId="71BD29C8" w:rsidR="004E6784" w:rsidRDefault="00485257" w:rsidP="004E6784">
      <w:r>
        <w:t xml:space="preserve">To place these numbers into context, </w:t>
      </w:r>
      <w:fldSimple w:instr=" REF _Ref79129110 ">
        <w:r w:rsidR="00D57A44">
          <w:t xml:space="preserve">Figure </w:t>
        </w:r>
        <w:r w:rsidR="00D57A44">
          <w:rPr>
            <w:noProof/>
            <w:cs/>
          </w:rPr>
          <w:t>‎</w:t>
        </w:r>
        <w:r w:rsidR="00D57A44">
          <w:rPr>
            <w:noProof/>
          </w:rPr>
          <w:t>4</w:t>
        </w:r>
        <w:r w:rsidR="00D57A44">
          <w:t>.</w:t>
        </w:r>
        <w:r w:rsidR="00D57A44">
          <w:rPr>
            <w:noProof/>
          </w:rPr>
          <w:t>5</w:t>
        </w:r>
      </w:fldSimple>
      <w:r>
        <w:t xml:space="preserve"> plots the mean appreciation and standard deviation in aggregate REERs</w:t>
      </w:r>
      <w:r w:rsidR="00841896">
        <w:t xml:space="preserve"> across the 62 </w:t>
      </w:r>
      <w:r w:rsidR="00E2747A">
        <w:t>countries and economies</w:t>
      </w:r>
      <w:r w:rsidR="00841896">
        <w:t xml:space="preserve"> included in the ADB MRIO Database</w:t>
      </w:r>
      <w:r w:rsidR="00C100FA">
        <w:t>.</w:t>
      </w:r>
      <w:r w:rsidR="006C4A0C">
        <w:t xml:space="preserve"> </w:t>
      </w:r>
      <w:r w:rsidR="005E4D97">
        <w:t xml:space="preserve">Stable currencies mean being as close to 0% </w:t>
      </w:r>
      <w:r w:rsidR="00F66475">
        <w:t xml:space="preserve">mean </w:t>
      </w:r>
      <w:r w:rsidR="005E4D97">
        <w:t xml:space="preserve">appreciation </w:t>
      </w:r>
      <w:r w:rsidR="00F66475">
        <w:t xml:space="preserve">as possible with </w:t>
      </w:r>
      <w:r w:rsidR="005E4D97">
        <w:t>low standard deviation</w:t>
      </w:r>
      <w:r w:rsidR="00426EE8">
        <w:t xml:space="preserve">, a feat achieved most successfully by Singapore. </w:t>
      </w:r>
      <w:r w:rsidR="00AF7FE6">
        <w:t xml:space="preserve">This stems from having a diverse </w:t>
      </w:r>
      <w:r w:rsidR="00D13E7F">
        <w:t xml:space="preserve">basket </w:t>
      </w:r>
      <w:r w:rsidR="00AF7FE6">
        <w:t xml:space="preserve">of exports and export destinations, which in turn diversifies competitors and minimizes the impact of price changes in each one. </w:t>
      </w:r>
      <w:r w:rsidR="0032148D">
        <w:t xml:space="preserve">On the other end are the commodities-oriented </w:t>
      </w:r>
      <w:r w:rsidR="00E2747A">
        <w:t>countries</w:t>
      </w:r>
      <w:r w:rsidR="0032148D">
        <w:t xml:space="preserve"> of </w:t>
      </w:r>
      <w:r w:rsidR="00327F23">
        <w:t xml:space="preserve">the </w:t>
      </w:r>
      <w:r w:rsidR="0032148D">
        <w:t>Russia</w:t>
      </w:r>
      <w:r w:rsidR="00327F23">
        <w:t>n Federation</w:t>
      </w:r>
      <w:r w:rsidR="0032148D">
        <w:t xml:space="preserve"> and Brunei Darussalam, both registering high mean appreciations at high standard deviations.</w:t>
      </w:r>
      <w:r w:rsidR="006E1E15">
        <w:t xml:space="preserve"> This is no surprise given their heavy reliance on oil exports.</w:t>
      </w:r>
      <w:r w:rsidR="0032148D">
        <w:t xml:space="preserve"> </w:t>
      </w:r>
    </w:p>
    <w:p w14:paraId="4368B4EA" w14:textId="5A512DD9" w:rsidR="004E6784" w:rsidRDefault="00632074" w:rsidP="00EC2A5A">
      <w:pPr>
        <w:pStyle w:val="Caption"/>
      </w:pPr>
      <w:bookmarkStart w:id="60" w:name="_Ref79129110"/>
      <w:bookmarkStart w:id="61" w:name="_Toc83849815"/>
      <w:r>
        <w:rPr>
          <w:noProof/>
        </w:rPr>
        <w:drawing>
          <wp:anchor distT="0" distB="0" distL="114300" distR="114300" simplePos="0" relativeHeight="251754496" behindDoc="0" locked="0" layoutInCell="1" allowOverlap="1" wp14:anchorId="6348D4F8" wp14:editId="79AE5E95">
            <wp:simplePos x="0" y="0"/>
            <wp:positionH relativeFrom="column">
              <wp:posOffset>0</wp:posOffset>
            </wp:positionH>
            <wp:positionV relativeFrom="paragraph">
              <wp:posOffset>194147</wp:posOffset>
            </wp:positionV>
            <wp:extent cx="5731510" cy="3226435"/>
            <wp:effectExtent l="0" t="0" r="0" b="0"/>
            <wp:wrapSquare wrapText="bothSides"/>
            <wp:docPr id="961872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72708" name="Picture 961872708"/>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14:sizeRelH relativeFrom="page">
              <wp14:pctWidth>0</wp14:pctWidth>
            </wp14:sizeRelH>
            <wp14:sizeRelV relativeFrom="page">
              <wp14:pctHeight>0</wp14:pctHeight>
            </wp14:sizeRelV>
          </wp:anchor>
        </w:drawing>
      </w:r>
      <w:r w:rsidR="00EC2A5A">
        <w:t xml:space="preserve">Figure </w:t>
      </w:r>
      <w:fldSimple w:instr=" STYLEREF 1 \s ">
        <w:r w:rsidR="00D57A44">
          <w:rPr>
            <w:noProof/>
            <w:cs/>
          </w:rPr>
          <w:t>‎</w:t>
        </w:r>
        <w:r w:rsidR="00D57A44">
          <w:rPr>
            <w:noProof/>
          </w:rPr>
          <w:t>4</w:t>
        </w:r>
      </w:fldSimple>
      <w:r w:rsidR="003F26C2">
        <w:t>.</w:t>
      </w:r>
      <w:fldSimple w:instr=" SEQ Figure \* ARABIC \s 1 ">
        <w:r w:rsidR="00D57A44">
          <w:rPr>
            <w:noProof/>
          </w:rPr>
          <w:t>5</w:t>
        </w:r>
      </w:fldSimple>
      <w:bookmarkEnd w:id="60"/>
      <w:r w:rsidR="00EC2A5A">
        <w:t>: Real Effective Exchange Rate Mean and Volatility, 200</w:t>
      </w:r>
      <w:r>
        <w:t>7</w:t>
      </w:r>
      <w:r w:rsidR="00EC2A5A">
        <w:t>–</w:t>
      </w:r>
      <w:bookmarkEnd w:id="61"/>
      <w:r>
        <w:t>2021</w:t>
      </w:r>
    </w:p>
    <w:p w14:paraId="0887E7F8" w14:textId="6FFB5A80" w:rsidR="0047518B" w:rsidRDefault="0047518B" w:rsidP="0047518B">
      <w:pPr>
        <w:pStyle w:val="Notes"/>
      </w:pPr>
      <w:r>
        <w:t xml:space="preserve">Notes: </w:t>
      </w:r>
      <w:r>
        <w:tab/>
        <w:t xml:space="preserve">REER indices are computed according to Patel, Wang, and Wei (2019). </w:t>
      </w:r>
    </w:p>
    <w:p w14:paraId="1F06E46A" w14:textId="039B471B" w:rsidR="00493CB8" w:rsidRDefault="00493CB8" w:rsidP="00493CB8">
      <w:pPr>
        <w:pStyle w:val="NotesBottom"/>
      </w:pPr>
      <w:r>
        <w:t xml:space="preserve">Sources: </w:t>
      </w:r>
      <w:r>
        <w:tab/>
        <w:t xml:space="preserve">S. Patel, Z. Wang, and S. Wei. 2019. Global Value Chains and Effective Exchange Rates at the Country-Sector Level. </w:t>
      </w:r>
      <w:r w:rsidRPr="00A113DF">
        <w:rPr>
          <w:i/>
          <w:iCs/>
        </w:rPr>
        <w:t>Journal of Money, Credit, and Banking</w:t>
      </w:r>
      <w:r>
        <w:t xml:space="preserve">. </w:t>
      </w:r>
      <w:r w:rsidRPr="00A113DF">
        <w:rPr>
          <w:i/>
          <w:iCs/>
        </w:rPr>
        <w:t>51</w:t>
      </w:r>
      <w:r>
        <w:t>(1). pp. 7–42; Asian Development Bank. Multiregional Input–Output Database</w:t>
      </w:r>
      <w:r w:rsidR="00385B64">
        <w:t xml:space="preserve"> (July 2023</w:t>
      </w:r>
      <w:r>
        <w:t>);</w:t>
      </w:r>
      <w:r w:rsidRPr="008F0425">
        <w:t xml:space="preserve"> </w:t>
      </w:r>
      <w:r>
        <w:t>Asian Development Bank estimates.</w:t>
      </w:r>
    </w:p>
    <w:p w14:paraId="63F44EA8" w14:textId="7BF3B660" w:rsidR="00D13E7F" w:rsidRDefault="00D13E7F" w:rsidP="0098173A">
      <w:r>
        <w:t xml:space="preserve">Kazakhstan's </w:t>
      </w:r>
      <w:r>
        <w:t>mean annual appreciation</w:t>
      </w:r>
      <w:r>
        <w:t xml:space="preserve"> </w:t>
      </w:r>
      <w:r>
        <w:t>was 1.2%</w:t>
      </w:r>
      <w:r>
        <w:t xml:space="preserve">, lower than the Russian Federation's 2.0% but higher than Brunei Darussalam's 0.0%. </w:t>
      </w:r>
      <w:r>
        <w:t>Kazakhstan</w:t>
      </w:r>
      <w:r>
        <w:t xml:space="preserve"> does exhibit lower </w:t>
      </w:r>
      <w:r>
        <w:t xml:space="preserve">volatility </w:t>
      </w:r>
      <w:r>
        <w:t xml:space="preserve">than either of them, though as evident from the figure, it remains </w:t>
      </w:r>
      <w:r>
        <w:t xml:space="preserve">far higher than most of the other countries in the sample. </w:t>
      </w:r>
    </w:p>
    <w:p w14:paraId="359D95B9" w14:textId="1047C77F" w:rsidR="00E203ED" w:rsidRDefault="006F3625" w:rsidP="00D8221C">
      <w:r>
        <w:t xml:space="preserve">To conclude, </w:t>
      </w:r>
      <w:r w:rsidR="00265AC3">
        <w:t>the RCA index</w:t>
      </w:r>
      <w:r w:rsidR="00D13E7F">
        <w:t xml:space="preserve"> </w:t>
      </w:r>
      <w:r w:rsidR="00265AC3">
        <w:t xml:space="preserve">show that </w:t>
      </w:r>
      <w:r w:rsidR="00D13E7F">
        <w:t>Kazakhstan</w:t>
      </w:r>
      <w:r w:rsidR="00265AC3">
        <w:t xml:space="preserve"> is specializing</w:t>
      </w:r>
      <w:r w:rsidR="00D13E7F">
        <w:t xml:space="preserve"> heavily</w:t>
      </w:r>
      <w:r w:rsidR="00265AC3">
        <w:t xml:space="preserve"> in </w:t>
      </w:r>
      <w:r w:rsidR="00D13E7F">
        <w:t xml:space="preserve">the mining and metals manufacturing sectors. This remains the case regardless of whether the RCA index is adjusted for value added, indicating a relatively low degree of GVC penetration. </w:t>
      </w:r>
      <w:r w:rsidR="00D31C4C">
        <w:t xml:space="preserve">GVC production lengths suggest that Kazakhstan sits at a relatively neutral position in these value </w:t>
      </w:r>
      <w:r w:rsidR="00D31C4C">
        <w:lastRenderedPageBreak/>
        <w:t xml:space="preserve">chains, neither upstream nor downstream. </w:t>
      </w:r>
      <w:r w:rsidR="00D8221C">
        <w:t xml:space="preserve">A value added-adjusted REER weighting methodology reveals that Kazakhstan's main competitor is the People's Republic of China, which has a major presence in both mining and metals manufacturing. This offers an opportunity for Kazakhstan to benefit from recent attempts by the West to pivot away from Chinese reliance. </w:t>
      </w:r>
      <w:r w:rsidR="00E203ED">
        <w:br w:type="page"/>
      </w:r>
    </w:p>
    <w:p w14:paraId="3BD61B1F" w14:textId="77777777" w:rsidR="008604A7" w:rsidRDefault="000B61ED" w:rsidP="000B61ED">
      <w:pPr>
        <w:pStyle w:val="Heading1"/>
      </w:pPr>
      <w:bookmarkStart w:id="62" w:name="_Toc83849790"/>
      <w:r>
        <w:lastRenderedPageBreak/>
        <w:t>Special Topics</w:t>
      </w:r>
      <w:bookmarkEnd w:id="62"/>
    </w:p>
    <w:p w14:paraId="4D447CBA" w14:textId="74D17820" w:rsidR="000A46E1" w:rsidRDefault="002D02FF" w:rsidP="008604A7">
      <w:r>
        <w:t>This chapter covers some further issues relating to Pakistan’s economy and trade</w:t>
      </w:r>
      <w:r w:rsidR="0038568D">
        <w:t xml:space="preserve"> with a focus on </w:t>
      </w:r>
      <w:r>
        <w:t xml:space="preserve">global value chains. In the first section, its membership in the </w:t>
      </w:r>
      <w:r w:rsidR="00B212B6">
        <w:t xml:space="preserve">South Asian Association for Regional Cooperation </w:t>
      </w:r>
      <w:r>
        <w:t xml:space="preserve">is analyzed using a regional concentration index and visualized via a skyline chart. </w:t>
      </w:r>
      <w:r w:rsidR="000E125A">
        <w:t>The objective here is to measure how deep this regional trade agreement is and in what sectors</w:t>
      </w:r>
      <w:r w:rsidR="00BC20CA">
        <w:t>,</w:t>
      </w:r>
      <w:r w:rsidR="004519B8">
        <w:t xml:space="preserve"> using both gross and value-added flows</w:t>
      </w:r>
      <w:r w:rsidR="000E125A">
        <w:t xml:space="preserve">. </w:t>
      </w:r>
    </w:p>
    <w:p w14:paraId="19B928DE" w14:textId="2B066CE2" w:rsidR="008604A7" w:rsidRDefault="000E125A" w:rsidP="008604A7">
      <w:r>
        <w:t xml:space="preserve">In the second section, Pakistan’s performance during the </w:t>
      </w:r>
      <w:r w:rsidR="001B02CE">
        <w:t>coronavirus disease 2019 (</w:t>
      </w:r>
      <w:r>
        <w:t>COVID-19</w:t>
      </w:r>
      <w:r w:rsidR="001B02CE">
        <w:t>)</w:t>
      </w:r>
      <w:r>
        <w:t xml:space="preserve"> pandemic is investigated</w:t>
      </w:r>
      <w:r w:rsidR="006B0D45">
        <w:t xml:space="preserve">. In particular, the question of whether </w:t>
      </w:r>
      <w:r w:rsidR="00202276">
        <w:t>GVCs</w:t>
      </w:r>
      <w:r>
        <w:t xml:space="preserve"> </w:t>
      </w:r>
      <w:r w:rsidR="006B0D45">
        <w:t xml:space="preserve">mitigated or exacerbated the pandemic-induced shock </w:t>
      </w:r>
      <w:r w:rsidR="00202276">
        <w:t xml:space="preserve">across economies </w:t>
      </w:r>
      <w:r w:rsidR="006B0D45">
        <w:t xml:space="preserve">is explored </w:t>
      </w:r>
      <w:r>
        <w:t xml:space="preserve">using </w:t>
      </w:r>
      <w:r w:rsidR="00BC20CA">
        <w:t xml:space="preserve">both a simple correlation and </w:t>
      </w:r>
      <w:r>
        <w:t xml:space="preserve">an input–output-based counterfactual exercise. </w:t>
      </w:r>
    </w:p>
    <w:p w14:paraId="308BDA17" w14:textId="77777777" w:rsidR="006420CA" w:rsidRDefault="006420CA" w:rsidP="008604A7"/>
    <w:p w14:paraId="1F618A18" w14:textId="56D949C8" w:rsidR="008604A7" w:rsidRDefault="008C5635" w:rsidP="008604A7">
      <w:pPr>
        <w:pStyle w:val="Heading2"/>
      </w:pPr>
      <w:bookmarkStart w:id="63" w:name="_Toc83849791"/>
      <w:r>
        <w:t xml:space="preserve">The South Asian </w:t>
      </w:r>
      <w:r w:rsidR="00E90708">
        <w:t>Association for Regional Cooperation</w:t>
      </w:r>
      <w:bookmarkEnd w:id="63"/>
    </w:p>
    <w:p w14:paraId="7778243E" w14:textId="33253BC3" w:rsidR="0064492E" w:rsidRDefault="00A50D80" w:rsidP="008A1AA7">
      <w:r>
        <w:t xml:space="preserve">As globalization picked up pace in the 1990s, </w:t>
      </w:r>
      <w:r w:rsidR="00C7069E">
        <w:t>so did initiatives to deepen and regulate trade on a regional basis</w:t>
      </w:r>
      <w:r w:rsidR="00574091">
        <w:t xml:space="preserve">. Notwithstanding the success of multilateral initiatives like the creation of the World Trade Organization </w:t>
      </w:r>
      <w:r w:rsidR="0083788B">
        <w:t xml:space="preserve">(WTO) </w:t>
      </w:r>
      <w:r w:rsidR="00574091">
        <w:t xml:space="preserve">in </w:t>
      </w:r>
      <w:r w:rsidR="00574091" w:rsidRPr="00153867">
        <w:rPr>
          <w:color w:val="000000" w:themeColor="text1"/>
        </w:rPr>
        <w:t>199</w:t>
      </w:r>
      <w:r w:rsidR="00153867" w:rsidRPr="00153867">
        <w:rPr>
          <w:color w:val="000000" w:themeColor="text1"/>
        </w:rPr>
        <w:t>5</w:t>
      </w:r>
      <w:r w:rsidR="00574091">
        <w:t xml:space="preserve">, </w:t>
      </w:r>
      <w:r w:rsidR="00AA340B">
        <w:t xml:space="preserve">negotiating regional trade agreements (RTAs) remained less challenging given the fewer stakeholders </w:t>
      </w:r>
      <w:r w:rsidR="00747E3B">
        <w:t xml:space="preserve">involved </w:t>
      </w:r>
      <w:r w:rsidR="00AA340B">
        <w:t xml:space="preserve">and the greater </w:t>
      </w:r>
      <w:r w:rsidR="008A1AA7">
        <w:t>immediacy</w:t>
      </w:r>
      <w:r w:rsidR="00AA340B">
        <w:t xml:space="preserve"> </w:t>
      </w:r>
      <w:r w:rsidR="008A1AA7">
        <w:t>of its benefits</w:t>
      </w:r>
      <w:r w:rsidR="0083788B">
        <w:t xml:space="preserve"> (WTO 2011</w:t>
      </w:r>
      <w:r w:rsidR="007408E4">
        <w:t xml:space="preserve">; </w:t>
      </w:r>
      <w:proofErr w:type="spellStart"/>
      <w:r w:rsidR="007408E4" w:rsidRPr="00F03420">
        <w:rPr>
          <w:color w:val="000000" w:themeColor="text1"/>
        </w:rPr>
        <w:t>Limão</w:t>
      </w:r>
      <w:proofErr w:type="spellEnd"/>
      <w:r w:rsidR="007408E4" w:rsidRPr="00F03420">
        <w:rPr>
          <w:color w:val="000000" w:themeColor="text1"/>
        </w:rPr>
        <w:t xml:space="preserve"> 2016</w:t>
      </w:r>
      <w:r w:rsidR="0083788B">
        <w:t>)</w:t>
      </w:r>
      <w:r w:rsidR="00AA340B">
        <w:t xml:space="preserve">. </w:t>
      </w:r>
      <w:r w:rsidR="00D076E1">
        <w:t>During this period,</w:t>
      </w:r>
      <w:r w:rsidR="00F41351">
        <w:t xml:space="preserve"> the North American Free Trade Agreement (NAFTA) </w:t>
      </w:r>
      <w:r w:rsidR="00D076E1">
        <w:t xml:space="preserve">was formed </w:t>
      </w:r>
      <w:r w:rsidR="00F06E67">
        <w:t xml:space="preserve">and the </w:t>
      </w:r>
      <w:r w:rsidR="00D076E1">
        <w:t xml:space="preserve">free trade areas of </w:t>
      </w:r>
      <w:r w:rsidR="00F06E67">
        <w:t>the European Union and</w:t>
      </w:r>
      <w:r w:rsidR="00F41351">
        <w:t xml:space="preserve"> the Association of Southeast Asian Nations (ASEAN)</w:t>
      </w:r>
      <w:r w:rsidR="00D076E1">
        <w:t xml:space="preserve"> </w:t>
      </w:r>
      <w:r w:rsidR="001657F8">
        <w:t>were</w:t>
      </w:r>
      <w:r w:rsidR="00D076E1">
        <w:t xml:space="preserve"> substantially expanded</w:t>
      </w:r>
      <w:r w:rsidR="008A1AA7">
        <w:t>, among others</w:t>
      </w:r>
      <w:r w:rsidR="0083788B">
        <w:t>.</w:t>
      </w:r>
      <w:r w:rsidR="00F06E67">
        <w:t xml:space="preserve"> </w:t>
      </w:r>
      <w:r w:rsidR="00E87078">
        <w:t xml:space="preserve">RTA initiatives </w:t>
      </w:r>
      <w:r w:rsidR="008A1AA7">
        <w:t>continued into</w:t>
      </w:r>
      <w:r w:rsidR="00E87078">
        <w:t xml:space="preserve"> </w:t>
      </w:r>
      <w:r w:rsidR="0090318F">
        <w:t xml:space="preserve">and after </w:t>
      </w:r>
      <w:r w:rsidR="00E87078">
        <w:t xml:space="preserve">the 2010s </w:t>
      </w:r>
      <w:r w:rsidR="008A1AA7">
        <w:t xml:space="preserve">with the signing of </w:t>
      </w:r>
      <w:r w:rsidR="00E87078">
        <w:t xml:space="preserve">the </w:t>
      </w:r>
      <w:r w:rsidR="00E87078" w:rsidRPr="00E87078">
        <w:t>Comprehensive and Progressive Agreement for Trans-Pacific Partnership</w:t>
      </w:r>
      <w:r w:rsidR="00E87078">
        <w:t xml:space="preserve"> and the Regional Comprehensive Economic Partnership.</w:t>
      </w:r>
    </w:p>
    <w:p w14:paraId="556F9CA6" w14:textId="0FD4C454" w:rsidR="008A1AA7" w:rsidRDefault="00866AE7" w:rsidP="008A1AA7">
      <w:r>
        <w:t xml:space="preserve">Pakistan did not sit out </w:t>
      </w:r>
      <w:r w:rsidR="0058717A">
        <w:t>this</w:t>
      </w:r>
      <w:r>
        <w:t xml:space="preserve"> wave of regionalism. </w:t>
      </w:r>
      <w:r w:rsidR="00CA4FFB">
        <w:t xml:space="preserve">Beginning in the 1980s, the </w:t>
      </w:r>
      <w:r w:rsidR="00177262">
        <w:t>countries</w:t>
      </w:r>
      <w:r w:rsidR="00CA4FFB">
        <w:t xml:space="preserve"> of </w:t>
      </w:r>
      <w:r w:rsidR="008A1AA7">
        <w:t>South Asia</w:t>
      </w:r>
      <w:r>
        <w:t xml:space="preserve"> </w:t>
      </w:r>
      <w:r w:rsidR="00CA4FFB">
        <w:t>began to abandon the import-substitution policies they had followed since independence in favor of trade liberalization</w:t>
      </w:r>
      <w:r w:rsidR="00581307">
        <w:t>, establishing</w:t>
      </w:r>
      <w:r w:rsidR="00CA4FFB">
        <w:t xml:space="preserve"> </w:t>
      </w:r>
      <w:r w:rsidR="00581307">
        <w:t>t</w:t>
      </w:r>
      <w:r w:rsidR="00CA4FFB">
        <w:t xml:space="preserve">he South Asian Association </w:t>
      </w:r>
      <w:r w:rsidR="00F2001F">
        <w:t xml:space="preserve">for </w:t>
      </w:r>
      <w:r w:rsidR="00CA4FFB">
        <w:t xml:space="preserve">Regional Cooperation </w:t>
      </w:r>
      <w:r w:rsidR="000F62BB">
        <w:t xml:space="preserve">(SAARC) </w:t>
      </w:r>
      <w:r w:rsidR="00CA4FFB">
        <w:t>in 1985</w:t>
      </w:r>
      <w:r w:rsidR="00581307">
        <w:t xml:space="preserve"> to promote dialogue. </w:t>
      </w:r>
      <w:r w:rsidR="001C4E60">
        <w:t>Through the SAARC, the</w:t>
      </w:r>
      <w:r w:rsidR="00C666E5">
        <w:t xml:space="preserve"> South Asian Preferential Trade Area </w:t>
      </w:r>
      <w:r w:rsidR="001C4E60">
        <w:t>was established</w:t>
      </w:r>
      <w:r w:rsidR="00C666E5">
        <w:t xml:space="preserve"> in 1995</w:t>
      </w:r>
      <w:r w:rsidR="000F74FB">
        <w:t xml:space="preserve"> and </w:t>
      </w:r>
      <w:r w:rsidR="00D66C97">
        <w:t xml:space="preserve">expanded </w:t>
      </w:r>
      <w:r w:rsidR="006A367A">
        <w:t>in</w:t>
      </w:r>
      <w:r w:rsidR="00D66C97">
        <w:t>to the South Asian Free Trade Area in 2006</w:t>
      </w:r>
      <w:r w:rsidR="00DB2DDF">
        <w:t xml:space="preserve"> (</w:t>
      </w:r>
      <w:proofErr w:type="spellStart"/>
      <w:r w:rsidR="00DB2DDF" w:rsidRPr="00DB2DDF">
        <w:t>Baysan</w:t>
      </w:r>
      <w:proofErr w:type="spellEnd"/>
      <w:r w:rsidR="00DB2DDF" w:rsidRPr="00DB2DDF">
        <w:t xml:space="preserve">, Panagariya, </w:t>
      </w:r>
      <w:r w:rsidR="00271ADB">
        <w:t>and</w:t>
      </w:r>
      <w:r w:rsidR="00DB2DDF" w:rsidRPr="00DB2DDF">
        <w:t xml:space="preserve"> </w:t>
      </w:r>
      <w:proofErr w:type="spellStart"/>
      <w:r w:rsidR="00DB2DDF" w:rsidRPr="00DB2DDF">
        <w:t>Pitigala</w:t>
      </w:r>
      <w:proofErr w:type="spellEnd"/>
      <w:r w:rsidR="00271ADB">
        <w:t xml:space="preserve"> </w:t>
      </w:r>
      <w:r w:rsidR="00DB2DDF">
        <w:t>2006)</w:t>
      </w:r>
      <w:r w:rsidR="00D66C97">
        <w:t xml:space="preserve">. </w:t>
      </w:r>
      <w:r w:rsidR="005819D1">
        <w:t>The SAARC’s</w:t>
      </w:r>
      <w:r w:rsidR="00127BA7">
        <w:t xml:space="preserve"> </w:t>
      </w:r>
      <w:r w:rsidR="00663A67">
        <w:t xml:space="preserve">present </w:t>
      </w:r>
      <w:r w:rsidR="00127BA7">
        <w:t xml:space="preserve">members include </w:t>
      </w:r>
      <w:r w:rsidR="00663A67">
        <w:t xml:space="preserve">Afghanistan, </w:t>
      </w:r>
      <w:r w:rsidR="00127BA7">
        <w:t xml:space="preserve">Bangladesh, Bhutan, India, Maldives, Nepal, Pakistan, </w:t>
      </w:r>
      <w:r w:rsidR="00663A67">
        <w:t xml:space="preserve">and </w:t>
      </w:r>
      <w:r w:rsidR="00127BA7">
        <w:t>Sri Lanka</w:t>
      </w:r>
      <w:r w:rsidR="00DB2DDF">
        <w:t xml:space="preserve">. </w:t>
      </w:r>
    </w:p>
    <w:p w14:paraId="5C8AC6D4" w14:textId="7806C0BC" w:rsidR="009943FD" w:rsidRDefault="00253F04" w:rsidP="008A1AA7">
      <w:r>
        <w:t xml:space="preserve">A common way of measuring the extent of regional trade integration is to take the share of intraregional trade in the region’s total trade (exports plus imports). </w:t>
      </w:r>
      <w:r w:rsidR="00D7114C">
        <w:t xml:space="preserve">This has been criticized by Frankel (1997), who argues that such a share monotonically increases as the number of members </w:t>
      </w:r>
      <w:r w:rsidR="00600D62">
        <w:t>goes up</w:t>
      </w:r>
      <w:r w:rsidR="00743976">
        <w:t xml:space="preserve">. </w:t>
      </w:r>
      <w:r w:rsidR="0007704B">
        <w:t>He proposes normaliz</w:t>
      </w:r>
      <w:r w:rsidR="00B01D4E">
        <w:t>ing</w:t>
      </w:r>
      <w:r w:rsidR="0007704B">
        <w:t xml:space="preserve"> this by the share of the region in world trade, a methodology detailed in </w:t>
      </w:r>
      <w:fldSimple w:instr=" REF _Ref79227767 ">
        <w:r w:rsidR="00D57A44">
          <w:t xml:space="preserve">Box </w:t>
        </w:r>
        <w:r w:rsidR="00D57A44">
          <w:rPr>
            <w:noProof/>
          </w:rPr>
          <w:t>7</w:t>
        </w:r>
      </w:fldSimple>
      <w:r w:rsidR="0007704B">
        <w:t>. To illustrate, t</w:t>
      </w:r>
      <w:r w:rsidR="008A11DD">
        <w:t>he intra-regional trade share</w:t>
      </w:r>
      <w:r w:rsidR="00743976">
        <w:t xml:space="preserve"> </w:t>
      </w:r>
      <w:r w:rsidR="008A11DD">
        <w:t>of the 27-member</w:t>
      </w:r>
      <w:r w:rsidR="00743976">
        <w:t xml:space="preserve"> European Union </w:t>
      </w:r>
      <w:r w:rsidR="008A11DD">
        <w:t xml:space="preserve">was 52% in 2020, compared with </w:t>
      </w:r>
      <w:r w:rsidR="007C11BB">
        <w:t>4</w:t>
      </w:r>
      <w:r w:rsidR="006F67AB">
        <w:t>.3</w:t>
      </w:r>
      <w:r w:rsidR="008A11DD">
        <w:t xml:space="preserve">% for the </w:t>
      </w:r>
      <w:r w:rsidR="00A046F0">
        <w:t>eight</w:t>
      </w:r>
      <w:r w:rsidR="008A11DD">
        <w:t xml:space="preserve">-member </w:t>
      </w:r>
      <w:r w:rsidR="00D46C15">
        <w:lastRenderedPageBreak/>
        <w:t>SAARC</w:t>
      </w:r>
      <w:r w:rsidR="00530987">
        <w:t>, suggesting the former is over 12 times more integrated than the lat</w:t>
      </w:r>
      <w:r w:rsidR="00EB59A6">
        <w:t>t</w:t>
      </w:r>
      <w:r w:rsidR="00530987">
        <w:t>er.</w:t>
      </w:r>
      <w:r w:rsidR="008A11DD">
        <w:t xml:space="preserve"> </w:t>
      </w:r>
      <w:r w:rsidR="00530987">
        <w:t xml:space="preserve">However, </w:t>
      </w:r>
      <w:r w:rsidR="00EB59A6">
        <w:t xml:space="preserve">the European Union takes up 31% of world trade against the </w:t>
      </w:r>
      <w:r w:rsidR="006F67AB">
        <w:t>2.7</w:t>
      </w:r>
      <w:r w:rsidR="00EB59A6">
        <w:t xml:space="preserve">% of </w:t>
      </w:r>
      <w:r w:rsidR="00F80EE1">
        <w:t>SAARC</w:t>
      </w:r>
      <w:r w:rsidR="00EB59A6">
        <w:t xml:space="preserve">. </w:t>
      </w:r>
      <w:r w:rsidR="00A002A3">
        <w:t xml:space="preserve">Thus, the </w:t>
      </w:r>
      <w:r w:rsidR="000F72C2">
        <w:t>countries</w:t>
      </w:r>
      <w:r w:rsidR="00A002A3">
        <w:t xml:space="preserve"> of the European Union trade among themselves 1.7 times more than they do with the world, while the </w:t>
      </w:r>
      <w:r w:rsidR="00F80EE1">
        <w:t xml:space="preserve">SAARC </w:t>
      </w:r>
      <w:r w:rsidR="000F72C2">
        <w:t xml:space="preserve">countries </w:t>
      </w:r>
      <w:r w:rsidR="00A002A3">
        <w:t xml:space="preserve">trade among themselves 1.6 times more. </w:t>
      </w:r>
      <w:r w:rsidR="00B01D4E">
        <w:t>These two numbers</w:t>
      </w:r>
      <w:r w:rsidR="003F1291">
        <w:t xml:space="preserve">, called regional concentration </w:t>
      </w:r>
      <w:r w:rsidR="00F80EE1">
        <w:t xml:space="preserve">indices </w:t>
      </w:r>
      <w:r w:rsidR="001231C9">
        <w:t>(RCI)</w:t>
      </w:r>
      <w:r w:rsidR="003F1291">
        <w:t>,</w:t>
      </w:r>
      <w:r w:rsidR="00B01D4E">
        <w:t xml:space="preserve"> are now more directly comparable. </w:t>
      </w:r>
    </w:p>
    <w:tbl>
      <w:tblPr>
        <w:tblStyle w:val="TableGrid"/>
        <w:tblW w:w="0" w:type="auto"/>
        <w:tblLook w:val="04A0" w:firstRow="1" w:lastRow="0" w:firstColumn="1" w:lastColumn="0" w:noHBand="0" w:noVBand="1"/>
      </w:tblPr>
      <w:tblGrid>
        <w:gridCol w:w="9016"/>
      </w:tblGrid>
      <w:tr w:rsidR="003C63ED" w14:paraId="3EFEFDD1" w14:textId="77777777" w:rsidTr="00B72C1E">
        <w:tc>
          <w:tcPr>
            <w:tcW w:w="9016" w:type="dxa"/>
          </w:tcPr>
          <w:p w14:paraId="7834C6B5" w14:textId="53602385" w:rsidR="00876F58" w:rsidRDefault="00876F58" w:rsidP="00876F58">
            <w:pPr>
              <w:pStyle w:val="Caption"/>
            </w:pPr>
            <w:bookmarkStart w:id="64" w:name="_Ref79227767"/>
            <w:bookmarkStart w:id="65" w:name="_Toc139902366"/>
            <w:r>
              <w:t xml:space="preserve">Box </w:t>
            </w:r>
            <w:fldSimple w:instr=" SEQ Box \* ARABIC ">
              <w:r w:rsidR="00D57A44">
                <w:rPr>
                  <w:noProof/>
                </w:rPr>
                <w:t>7</w:t>
              </w:r>
            </w:fldSimple>
            <w:bookmarkEnd w:id="64"/>
            <w:r>
              <w:t xml:space="preserve">: Calculating </w:t>
            </w:r>
            <w:r w:rsidR="00A50D80">
              <w:t xml:space="preserve">the </w:t>
            </w:r>
            <w:r>
              <w:t>Regional Concentration</w:t>
            </w:r>
            <w:r w:rsidR="00A50D80">
              <w:t xml:space="preserve"> Index</w:t>
            </w:r>
            <w:bookmarkEnd w:id="65"/>
          </w:p>
          <w:p w14:paraId="231BC5A2" w14:textId="4F648D32" w:rsidR="00760E8B" w:rsidRPr="007335BD" w:rsidRDefault="007335BD" w:rsidP="001C26F9">
            <w:pPr>
              <w:pStyle w:val="Box"/>
            </w:pPr>
            <w:r>
              <w:t xml:space="preserve">The regional concentration index </w:t>
            </w:r>
            <w:r w:rsidR="00605B85">
              <w:t xml:space="preserve">(RCI) </w:t>
            </w:r>
            <w:r>
              <w:t xml:space="preserve">measures the extent to which a collection of </w:t>
            </w:r>
            <w:r w:rsidR="00C27D90">
              <w:t>countries</w:t>
            </w:r>
            <w:r>
              <w:t xml:space="preserve"> (a “region”) is trading among themselves</w:t>
            </w:r>
            <w:r w:rsidR="008B38F1">
              <w:t xml:space="preserve"> relative to the rest of the world</w:t>
            </w:r>
            <w:r>
              <w:t xml:space="preserve">. </w:t>
            </w:r>
            <w:r w:rsidR="00760E8B">
              <w:t xml:space="preserve">Following Frankel (1997), it is </w:t>
            </w:r>
            <w:r w:rsidR="00E37D48">
              <w:t xml:space="preserve">computed as </w:t>
            </w:r>
            <w:r w:rsidR="00760E8B">
              <w:t xml:space="preserve">a ratio of two fractions: the share of the region’s trade </w:t>
            </w:r>
            <w:r w:rsidR="00677E51">
              <w:t>with</w:t>
            </w:r>
            <w:r w:rsidR="000C5C28">
              <w:t xml:space="preserve"> itself</w:t>
            </w:r>
            <w:r w:rsidR="00760E8B">
              <w:t xml:space="preserve"> and the share of the region </w:t>
            </w:r>
            <w:r w:rsidR="00154985">
              <w:t xml:space="preserve">in </w:t>
            </w:r>
            <w:r w:rsidR="00760E8B">
              <w:t>world trade.</w:t>
            </w:r>
            <w:r w:rsidR="004137CB">
              <w:t xml:space="preserve"> </w:t>
            </w:r>
            <w:r w:rsidR="0026006D">
              <w:t xml:space="preserve">Formally, </w:t>
            </w:r>
            <w:r w:rsidR="003F7098">
              <w:t>the RCI</w:t>
            </w:r>
            <w:r w:rsidR="00BC753D">
              <w:t xml:space="preserve"> for region </w:t>
            </w:r>
            <m:oMath>
              <m:r>
                <w:rPr>
                  <w:rFonts w:ascii="Cambria Math" w:hAnsi="Cambria Math"/>
                </w:rPr>
                <m:t>q</m:t>
              </m:r>
            </m:oMath>
            <w:r w:rsidR="0026006D">
              <w:t xml:space="preserve"> </w:t>
            </w:r>
            <w:r w:rsidR="00AF3656">
              <w:t xml:space="preserve">is </w:t>
            </w:r>
            <w:r w:rsidR="0026006D">
              <w:t>given by</w:t>
            </w:r>
          </w:p>
          <w:p w14:paraId="210902B8" w14:textId="7A1DEA13" w:rsidR="00954C42" w:rsidRDefault="00944DAC" w:rsidP="001C26F9">
            <w:pPr>
              <w:pStyle w:val="Box"/>
            </w:pPr>
            <m:oMathPara>
              <m:oMath>
                <m:r>
                  <w:rPr>
                    <w:rFonts w:ascii="Cambria Math" w:hAnsi="Cambria Math"/>
                  </w:rPr>
                  <m:t>RC</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type m:val="lin"/>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Exports</m:t>
                            </m:r>
                          </m:e>
                          <m:sub>
                            <m:r>
                              <w:rPr>
                                <w:rFonts w:ascii="Cambria Math" w:hAnsi="Cambria Math"/>
                              </w:rPr>
                              <m:t>qq</m:t>
                            </m:r>
                          </m:sub>
                        </m:sSub>
                        <m:r>
                          <w:rPr>
                            <w:rFonts w:ascii="Cambria Math" w:hAnsi="Cambria Math"/>
                          </w:rPr>
                          <m:t>+</m:t>
                        </m:r>
                        <m:sSub>
                          <m:sSubPr>
                            <m:ctrlPr>
                              <w:rPr>
                                <w:rFonts w:ascii="Cambria Math" w:hAnsi="Cambria Math"/>
                                <w:i/>
                              </w:rPr>
                            </m:ctrlPr>
                          </m:sSubPr>
                          <m:e>
                            <m:r>
                              <w:rPr>
                                <w:rFonts w:ascii="Cambria Math" w:hAnsi="Cambria Math"/>
                              </w:rPr>
                              <m:t>Imports</m:t>
                            </m:r>
                          </m:e>
                          <m:sub>
                            <m:r>
                              <w:rPr>
                                <w:rFonts w:ascii="Cambria Math" w:hAnsi="Cambria Math"/>
                              </w:rPr>
                              <m:t>qq</m:t>
                            </m:r>
                          </m:sub>
                        </m:sSub>
                      </m:num>
                      <m:den>
                        <m:sSub>
                          <m:sSubPr>
                            <m:ctrlPr>
                              <w:rPr>
                                <w:rFonts w:ascii="Cambria Math" w:hAnsi="Cambria Math"/>
                                <w:i/>
                              </w:rPr>
                            </m:ctrlPr>
                          </m:sSubPr>
                          <m:e>
                            <m:r>
                              <w:rPr>
                                <w:rFonts w:ascii="Cambria Math" w:hAnsi="Cambria Math"/>
                              </w:rPr>
                              <m:t>Exports</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Imports</m:t>
                            </m:r>
                          </m:e>
                          <m:sub>
                            <m:r>
                              <m:rPr>
                                <m:sty m:val="p"/>
                              </m:rPr>
                              <w:rPr>
                                <w:rFonts w:ascii="Cambria Math" w:hAnsi="Cambria Math"/>
                              </w:rPr>
                              <m:t>q</m:t>
                            </m:r>
                          </m:sub>
                        </m:sSub>
                      </m:den>
                    </m:f>
                  </m:num>
                  <m:den>
                    <m:f>
                      <m:fPr>
                        <m:ctrlPr>
                          <w:rPr>
                            <w:rFonts w:ascii="Cambria Math" w:hAnsi="Cambria Math"/>
                            <w:i/>
                          </w:rPr>
                        </m:ctrlPr>
                      </m:fPr>
                      <m:num>
                        <m:sSub>
                          <m:sSubPr>
                            <m:ctrlPr>
                              <w:rPr>
                                <w:rFonts w:ascii="Cambria Math" w:hAnsi="Cambria Math"/>
                                <w:i/>
                              </w:rPr>
                            </m:ctrlPr>
                          </m:sSubPr>
                          <m:e>
                            <m:r>
                              <w:rPr>
                                <w:rFonts w:ascii="Cambria Math" w:hAnsi="Cambria Math"/>
                              </w:rPr>
                              <m:t>Exports</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Imports</m:t>
                            </m:r>
                          </m:e>
                          <m:sub>
                            <m:r>
                              <m:rPr>
                                <m:sty m:val="p"/>
                              </m:rPr>
                              <w:rPr>
                                <w:rFonts w:ascii="Cambria Math" w:hAnsi="Cambria Math"/>
                              </w:rPr>
                              <m:t>q</m:t>
                            </m:r>
                          </m:sub>
                        </m:sSub>
                      </m:num>
                      <m:den>
                        <m:sSub>
                          <m:sSubPr>
                            <m:ctrlPr>
                              <w:rPr>
                                <w:rFonts w:ascii="Cambria Math" w:hAnsi="Cambria Math"/>
                                <w:i/>
                              </w:rPr>
                            </m:ctrlPr>
                          </m:sSubPr>
                          <m:e>
                            <m:r>
                              <w:rPr>
                                <w:rFonts w:ascii="Cambria Math" w:hAnsi="Cambria Math"/>
                              </w:rPr>
                              <m:t>Exports</m:t>
                            </m:r>
                          </m:e>
                          <m:sub>
                            <m:r>
                              <m:rPr>
                                <m:sty m:val="p"/>
                              </m:rPr>
                              <w:rPr>
                                <w:rFonts w:ascii="Cambria Math" w:hAnsi="Cambria Math"/>
                              </w:rPr>
                              <m:t>world</m:t>
                            </m:r>
                          </m:sub>
                        </m:sSub>
                        <m:r>
                          <w:rPr>
                            <w:rFonts w:ascii="Cambria Math" w:hAnsi="Cambria Math"/>
                          </w:rPr>
                          <m:t>+</m:t>
                        </m:r>
                        <m:sSub>
                          <m:sSubPr>
                            <m:ctrlPr>
                              <w:rPr>
                                <w:rFonts w:ascii="Cambria Math" w:hAnsi="Cambria Math"/>
                                <w:i/>
                              </w:rPr>
                            </m:ctrlPr>
                          </m:sSubPr>
                          <m:e>
                            <m:r>
                              <w:rPr>
                                <w:rFonts w:ascii="Cambria Math" w:hAnsi="Cambria Math"/>
                              </w:rPr>
                              <m:t>Imports</m:t>
                            </m:r>
                          </m:e>
                          <m:sub>
                            <m:r>
                              <m:rPr>
                                <m:sty m:val="p"/>
                              </m:rPr>
                              <w:rPr>
                                <w:rFonts w:ascii="Cambria Math" w:hAnsi="Cambria Math"/>
                              </w:rPr>
                              <m:t>world</m:t>
                            </m:r>
                          </m:sub>
                        </m:sSub>
                      </m:den>
                    </m:f>
                  </m:den>
                </m:f>
              </m:oMath>
            </m:oMathPara>
          </w:p>
          <w:p w14:paraId="0A727D1C" w14:textId="73B04A38" w:rsidR="009943FD" w:rsidRDefault="009943FD" w:rsidP="001C26F9">
            <w:pPr>
              <w:pStyle w:val="Box"/>
            </w:pPr>
            <w:r>
              <w:t xml:space="preserve">Note that </w:t>
            </w:r>
            <m:oMath>
              <m:sSub>
                <m:sSubPr>
                  <m:ctrlPr>
                    <w:rPr>
                      <w:rFonts w:ascii="Cambria Math" w:hAnsi="Cambria Math"/>
                      <w:i/>
                    </w:rPr>
                  </m:ctrlPr>
                </m:sSubPr>
                <m:e>
                  <m:r>
                    <w:rPr>
                      <w:rFonts w:ascii="Cambria Math" w:hAnsi="Cambria Math"/>
                    </w:rPr>
                    <m:t>Exports</m:t>
                  </m:r>
                </m:e>
                <m:sub>
                  <m:r>
                    <w:rPr>
                      <w:rFonts w:ascii="Cambria Math" w:hAnsi="Cambria Math"/>
                    </w:rPr>
                    <m:t>qq</m:t>
                  </m:r>
                </m:sub>
              </m:sSub>
              <m:r>
                <w:rPr>
                  <w:rFonts w:ascii="Cambria Math" w:hAnsi="Cambria Math"/>
                </w:rPr>
                <m:t>=</m:t>
              </m:r>
              <m:sSub>
                <m:sSubPr>
                  <m:ctrlPr>
                    <w:rPr>
                      <w:rFonts w:ascii="Cambria Math" w:hAnsi="Cambria Math"/>
                      <w:i/>
                    </w:rPr>
                  </m:ctrlPr>
                </m:sSubPr>
                <m:e>
                  <m:r>
                    <w:rPr>
                      <w:rFonts w:ascii="Cambria Math" w:hAnsi="Cambria Math"/>
                    </w:rPr>
                    <m:t>Imports</m:t>
                  </m:r>
                </m:e>
                <m:sub>
                  <m:r>
                    <w:rPr>
                      <w:rFonts w:ascii="Cambria Math" w:hAnsi="Cambria Math"/>
                    </w:rPr>
                    <m:t>qq</m:t>
                  </m:r>
                </m:sub>
              </m:sSub>
            </m:oMath>
            <w:r>
              <w:t xml:space="preserve"> and </w:t>
            </w:r>
            <m:oMath>
              <m:sSub>
                <m:sSubPr>
                  <m:ctrlPr>
                    <w:rPr>
                      <w:rFonts w:ascii="Cambria Math" w:hAnsi="Cambria Math"/>
                      <w:i/>
                    </w:rPr>
                  </m:ctrlPr>
                </m:sSubPr>
                <m:e>
                  <m:r>
                    <w:rPr>
                      <w:rFonts w:ascii="Cambria Math" w:hAnsi="Cambria Math"/>
                    </w:rPr>
                    <m:t>Exports</m:t>
                  </m:r>
                </m:e>
                <m:sub>
                  <m:r>
                    <m:rPr>
                      <m:sty m:val="p"/>
                    </m:rPr>
                    <w:rPr>
                      <w:rFonts w:ascii="Cambria Math" w:hAnsi="Cambria Math"/>
                    </w:rPr>
                    <m:t>world</m:t>
                  </m:r>
                </m:sub>
              </m:sSub>
              <m:r>
                <w:rPr>
                  <w:rFonts w:ascii="Cambria Math" w:hAnsi="Cambria Math"/>
                </w:rPr>
                <m:t>=</m:t>
              </m:r>
              <m:sSub>
                <m:sSubPr>
                  <m:ctrlPr>
                    <w:rPr>
                      <w:rFonts w:ascii="Cambria Math" w:hAnsi="Cambria Math"/>
                      <w:i/>
                    </w:rPr>
                  </m:ctrlPr>
                </m:sSubPr>
                <m:e>
                  <m:r>
                    <w:rPr>
                      <w:rFonts w:ascii="Cambria Math" w:hAnsi="Cambria Math"/>
                    </w:rPr>
                    <m:t>Imports</m:t>
                  </m:r>
                </m:e>
                <m:sub>
                  <m:r>
                    <m:rPr>
                      <m:sty m:val="p"/>
                    </m:rPr>
                    <w:rPr>
                      <w:rFonts w:ascii="Cambria Math" w:hAnsi="Cambria Math"/>
                    </w:rPr>
                    <m:t>world</m:t>
                  </m:r>
                </m:sub>
              </m:sSub>
            </m:oMath>
            <w:r w:rsidR="000A0298">
              <w:t>. That is,</w:t>
            </w:r>
            <w:r w:rsidR="00253F04">
              <w:t xml:space="preserve"> the</w:t>
            </w:r>
            <w:r w:rsidR="000A0298">
              <w:t xml:space="preserve"> exports of a region to itself is necessarily equal to </w:t>
            </w:r>
            <w:r w:rsidR="006D0F47">
              <w:t xml:space="preserve">its </w:t>
            </w:r>
            <w:r w:rsidR="000A0298">
              <w:t xml:space="preserve">imports from itself. </w:t>
            </w:r>
          </w:p>
          <w:p w14:paraId="43DFB701" w14:textId="6BD988F5" w:rsidR="006277E2" w:rsidRDefault="006277E2" w:rsidP="001C26F9">
            <w:pPr>
              <w:pStyle w:val="Box"/>
            </w:pPr>
            <w:r>
              <w:t xml:space="preserve">A random collection of </w:t>
            </w:r>
            <w:r w:rsidR="00521C7C">
              <w:t xml:space="preserve">countries </w:t>
            </w:r>
            <w:r>
              <w:t xml:space="preserve">would have an RCI of close to 1, meaning they trade among each other at about the same rate they trade with the world. If the collection is, for example, geographically close, or share </w:t>
            </w:r>
            <w:r w:rsidR="00941C3F">
              <w:t>cultural</w:t>
            </w:r>
            <w:r>
              <w:t xml:space="preserve"> ties, or belong to a </w:t>
            </w:r>
            <w:r w:rsidR="0063761A">
              <w:t xml:space="preserve">deep </w:t>
            </w:r>
            <w:r w:rsidR="009E45AC">
              <w:t>trading agreement</w:t>
            </w:r>
            <w:r>
              <w:t xml:space="preserve">, </w:t>
            </w:r>
            <w:r w:rsidR="005A6F25">
              <w:t>its</w:t>
            </w:r>
            <w:r w:rsidR="003237A8">
              <w:t xml:space="preserve"> RCI would be higher than 1. </w:t>
            </w:r>
            <w:r w:rsidR="00941C3F">
              <w:t xml:space="preserve">Conversely, </w:t>
            </w:r>
            <w:r w:rsidR="00EC46C3">
              <w:t xml:space="preserve">an RCI below 1 means </w:t>
            </w:r>
            <w:r w:rsidR="00EF7F3C">
              <w:t>trade within the region is less significant than trade outside it</w:t>
            </w:r>
            <w:r w:rsidR="00A90C91">
              <w:t xml:space="preserve">. </w:t>
            </w:r>
          </w:p>
          <w:p w14:paraId="10A1CE02" w14:textId="25927EBD" w:rsidR="00677E51" w:rsidRDefault="00DB5467" w:rsidP="001C26F9">
            <w:pPr>
              <w:pStyle w:val="Box"/>
            </w:pPr>
            <w:r>
              <w:t>Because of international production sharing, t</w:t>
            </w:r>
            <w:r w:rsidR="005C6380">
              <w:t>he RC</w:t>
            </w:r>
            <w:r w:rsidR="00120274">
              <w:t>I</w:t>
            </w:r>
            <w:r w:rsidR="005C6380">
              <w:t xml:space="preserve"> based on gross exports may misstate regional integration in two ways. First, </w:t>
            </w:r>
            <w:r w:rsidR="002D3D87">
              <w:t xml:space="preserve">exports </w:t>
            </w:r>
            <w:r w:rsidR="005C6380">
              <w:t>may contain</w:t>
            </w:r>
            <w:r w:rsidR="002D3D87">
              <w:t xml:space="preserve"> value</w:t>
            </w:r>
            <w:r w:rsidR="001E594F">
              <w:t xml:space="preserve"> </w:t>
            </w:r>
            <w:r w:rsidR="002D3D87">
              <w:t xml:space="preserve">added from outside the region. </w:t>
            </w:r>
            <w:r w:rsidR="00481503">
              <w:t>Second, reexporting</w:t>
            </w:r>
            <w:r w:rsidR="00AC2A80">
              <w:t xml:space="preserve"> by the region’s members</w:t>
            </w:r>
            <w:r w:rsidR="00481503">
              <w:t xml:space="preserve"> may result in regional value</w:t>
            </w:r>
            <w:r w:rsidR="00C222D9">
              <w:t xml:space="preserve"> </w:t>
            </w:r>
            <w:r w:rsidR="00481503">
              <w:t>added actually</w:t>
            </w:r>
            <w:r w:rsidR="00AC2A80">
              <w:t xml:space="preserve"> being absorbed outside the region. </w:t>
            </w:r>
            <w:r>
              <w:t xml:space="preserve">To correct for these, </w:t>
            </w:r>
            <w:r w:rsidR="00784F48">
              <w:t>an adjusted RC</w:t>
            </w:r>
            <w:r w:rsidR="00120274">
              <w:t>I</w:t>
            </w:r>
            <w:r w:rsidR="00784F48">
              <w:t xml:space="preserve"> is also computed that accounts for value</w:t>
            </w:r>
            <w:r w:rsidR="0013444D">
              <w:t xml:space="preserve"> </w:t>
            </w:r>
            <w:r w:rsidR="00784F48">
              <w:t>added from beginning to end, ensuring that regional flows are truly regional. This is called the end-to-end RC</w:t>
            </w:r>
            <w:r w:rsidR="00120274">
              <w:t>I</w:t>
            </w:r>
            <w:r w:rsidR="00784F48">
              <w:t xml:space="preserve">. </w:t>
            </w:r>
          </w:p>
          <w:p w14:paraId="18390BB3" w14:textId="53CA00E2" w:rsidR="002730DA" w:rsidRPr="00C11B1F" w:rsidRDefault="002730DA" w:rsidP="001C26F9">
            <w:pPr>
              <w:pStyle w:val="Box"/>
              <w:rPr>
                <w:b/>
                <w:bCs/>
              </w:rPr>
            </w:pPr>
            <w:r w:rsidRPr="00C11B1F">
              <w:rPr>
                <w:b/>
                <w:bCs/>
              </w:rPr>
              <w:t>Reference</w:t>
            </w:r>
          </w:p>
          <w:p w14:paraId="1B12E59A" w14:textId="3099DE45" w:rsidR="002730DA" w:rsidRPr="00C11B1F" w:rsidRDefault="00C11B1F" w:rsidP="00C11B1F">
            <w:pPr>
              <w:pStyle w:val="BoxReferences"/>
              <w:rPr>
                <w:rFonts w:ascii="Calibri" w:hAnsi="Calibri" w:cs="Calibri"/>
              </w:rPr>
            </w:pPr>
            <w:r>
              <w:rPr>
                <w:rFonts w:ascii="Calibri" w:hAnsi="Calibri" w:cs="Calibri"/>
              </w:rPr>
              <w:t xml:space="preserve">J. A. Frankel. 1997. </w:t>
            </w:r>
            <w:r w:rsidRPr="00A96289">
              <w:rPr>
                <w:rFonts w:ascii="Calibri" w:hAnsi="Calibri" w:cs="Calibri"/>
                <w:i/>
                <w:iCs/>
              </w:rPr>
              <w:t>Regional Trading Blocs in the World Economic System</w:t>
            </w:r>
            <w:r>
              <w:rPr>
                <w:rFonts w:ascii="Calibri" w:hAnsi="Calibri" w:cs="Calibri"/>
              </w:rPr>
              <w:t>. Washington, DC: Peterson Institute for International Economics.</w:t>
            </w:r>
          </w:p>
        </w:tc>
      </w:tr>
    </w:tbl>
    <w:p w14:paraId="2652EB49" w14:textId="1E76F448" w:rsidR="003C63ED" w:rsidRDefault="003C63ED" w:rsidP="008604A7"/>
    <w:p w14:paraId="01CF1DCD" w14:textId="5504D8CC" w:rsidR="003C63ED" w:rsidRDefault="0077236C" w:rsidP="008604A7">
      <w:r>
        <w:t xml:space="preserve">The RCIs for four RTAs are plotted in </w:t>
      </w:r>
      <w:fldSimple w:instr=" REF _Ref79228298 ">
        <w:r w:rsidR="00D57A44">
          <w:t xml:space="preserve">Figure </w:t>
        </w:r>
        <w:r w:rsidR="00D57A44">
          <w:rPr>
            <w:noProof/>
            <w:cs/>
          </w:rPr>
          <w:t>‎</w:t>
        </w:r>
        <w:r w:rsidR="00D57A44">
          <w:rPr>
            <w:noProof/>
          </w:rPr>
          <w:t>5</w:t>
        </w:r>
        <w:r w:rsidR="00D57A44">
          <w:t>.</w:t>
        </w:r>
        <w:r w:rsidR="00D57A44">
          <w:rPr>
            <w:noProof/>
          </w:rPr>
          <w:t>1</w:t>
        </w:r>
      </w:fldSimple>
      <w:r w:rsidR="0009024D">
        <w:t xml:space="preserve">. </w:t>
      </w:r>
      <w:r w:rsidR="001C474A">
        <w:t xml:space="preserve">RCIs on the left panel use gross exports to measure regional integration. These show that </w:t>
      </w:r>
      <w:r w:rsidR="00B6632E">
        <w:t xml:space="preserve">among the four, </w:t>
      </w:r>
      <w:r w:rsidR="00742DF8">
        <w:t xml:space="preserve">SAARC </w:t>
      </w:r>
      <w:r w:rsidR="00B6632E">
        <w:t xml:space="preserve">has tended to have the lowest integration, </w:t>
      </w:r>
      <w:r w:rsidR="00F21BCD">
        <w:t>registering a</w:t>
      </w:r>
      <w:r w:rsidR="00742DF8">
        <w:t>n</w:t>
      </w:r>
      <w:r w:rsidR="00F21BCD">
        <w:t xml:space="preserve"> RCI of </w:t>
      </w:r>
      <w:r w:rsidR="0045450F">
        <w:t>1.6</w:t>
      </w:r>
      <w:r w:rsidR="00F21BCD">
        <w:t xml:space="preserve"> in 2020. </w:t>
      </w:r>
      <w:r w:rsidR="00AC613C">
        <w:t>On average, the most integrated region was NAFTA, though in 2019–2020 it was</w:t>
      </w:r>
      <w:r w:rsidR="00EE022F">
        <w:t xml:space="preserve"> overtaken by a sudden rise in ASEAN integration</w:t>
      </w:r>
      <w:r w:rsidR="009C300E">
        <w:t xml:space="preserve"> from 2.0 to 2.5</w:t>
      </w:r>
      <w:r w:rsidR="00EE022F">
        <w:t>. Finally, the European Union, being the most institutionally mature of the group, exhibited the most stable RCI</w:t>
      </w:r>
      <w:r w:rsidR="005828F6">
        <w:t>, hovering between 1.5 and 2.0</w:t>
      </w:r>
      <w:r w:rsidR="00EE022F">
        <w:t>.</w:t>
      </w:r>
    </w:p>
    <w:p w14:paraId="7BB86B2C" w14:textId="60BFEB55" w:rsidR="000B768B" w:rsidRDefault="001C1FE5" w:rsidP="000B768B">
      <w:pPr>
        <w:pStyle w:val="Caption"/>
      </w:pPr>
      <w:bookmarkStart w:id="66" w:name="_Ref79228298"/>
      <w:bookmarkStart w:id="67" w:name="_Toc83849816"/>
      <w:r>
        <w:rPr>
          <w:noProof/>
        </w:rPr>
        <w:lastRenderedPageBreak/>
        <w:drawing>
          <wp:anchor distT="0" distB="0" distL="114300" distR="114300" simplePos="0" relativeHeight="251755520" behindDoc="0" locked="0" layoutInCell="1" allowOverlap="1" wp14:anchorId="3E81FDD1" wp14:editId="13E34CA1">
            <wp:simplePos x="0" y="0"/>
            <wp:positionH relativeFrom="column">
              <wp:posOffset>0</wp:posOffset>
            </wp:positionH>
            <wp:positionV relativeFrom="paragraph">
              <wp:posOffset>188123</wp:posOffset>
            </wp:positionV>
            <wp:extent cx="5731510" cy="2859405"/>
            <wp:effectExtent l="0" t="0" r="0" b="0"/>
            <wp:wrapSquare wrapText="bothSides"/>
            <wp:docPr id="2001856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56084" name="Picture 2001856084"/>
                    <pic:cNvPicPr/>
                  </pic:nvPicPr>
                  <pic:blipFill>
                    <a:blip r:embed="rId31">
                      <a:extLst>
                        <a:ext uri="{28A0092B-C50C-407E-A947-70E740481C1C}">
                          <a14:useLocalDpi xmlns:a14="http://schemas.microsoft.com/office/drawing/2010/main" val="0"/>
                        </a:ext>
                      </a:extLst>
                    </a:blip>
                    <a:stretch>
                      <a:fillRect/>
                    </a:stretch>
                  </pic:blipFill>
                  <pic:spPr>
                    <a:xfrm>
                      <a:off x="0" y="0"/>
                      <a:ext cx="5731510" cy="2859405"/>
                    </a:xfrm>
                    <a:prstGeom prst="rect">
                      <a:avLst/>
                    </a:prstGeom>
                  </pic:spPr>
                </pic:pic>
              </a:graphicData>
            </a:graphic>
            <wp14:sizeRelH relativeFrom="page">
              <wp14:pctWidth>0</wp14:pctWidth>
            </wp14:sizeRelH>
            <wp14:sizeRelV relativeFrom="page">
              <wp14:pctHeight>0</wp14:pctHeight>
            </wp14:sizeRelV>
          </wp:anchor>
        </w:drawing>
      </w:r>
      <w:r w:rsidR="000B768B">
        <w:t xml:space="preserve">Figure </w:t>
      </w:r>
      <w:fldSimple w:instr=" STYLEREF 1 \s ">
        <w:r w:rsidR="00D57A44">
          <w:rPr>
            <w:noProof/>
            <w:cs/>
          </w:rPr>
          <w:t>‎</w:t>
        </w:r>
        <w:r w:rsidR="00D57A44">
          <w:rPr>
            <w:noProof/>
          </w:rPr>
          <w:t>5</w:t>
        </w:r>
      </w:fldSimple>
      <w:r w:rsidR="003F26C2">
        <w:t>.</w:t>
      </w:r>
      <w:fldSimple w:instr=" SEQ Figure \* ARABIC \s 1 ">
        <w:r w:rsidR="00D57A44">
          <w:rPr>
            <w:noProof/>
          </w:rPr>
          <w:t>1</w:t>
        </w:r>
      </w:fldSimple>
      <w:bookmarkEnd w:id="66"/>
      <w:r w:rsidR="000B768B">
        <w:t>: Regional Concentration Indices, Selected RTAs, 2000, 2007–202</w:t>
      </w:r>
      <w:bookmarkEnd w:id="67"/>
      <w:r w:rsidR="00183FE0">
        <w:t>2</w:t>
      </w:r>
    </w:p>
    <w:p w14:paraId="23BDEB6F" w14:textId="4C922FA8" w:rsidR="000B768B" w:rsidRDefault="006A3C99" w:rsidP="00BE5682">
      <w:pPr>
        <w:pStyle w:val="NotesAbbreviations"/>
      </w:pPr>
      <w:r>
        <w:t xml:space="preserve">ASEAN = Association of Southeast Asian Nations, NAFTA = North American Free Trade Agreement, </w:t>
      </w:r>
      <w:r w:rsidR="00EA28CB">
        <w:t xml:space="preserve">RTA = regional trade agreement, </w:t>
      </w:r>
      <w:r w:rsidR="00A15395">
        <w:t xml:space="preserve">SAARC </w:t>
      </w:r>
      <w:r>
        <w:t xml:space="preserve">= South </w:t>
      </w:r>
      <w:r w:rsidR="00AD64D1">
        <w:t>Asia</w:t>
      </w:r>
      <w:r w:rsidR="0071597A">
        <w:t>n</w:t>
      </w:r>
      <w:r>
        <w:t xml:space="preserve"> </w:t>
      </w:r>
      <w:r w:rsidR="00A15395">
        <w:t xml:space="preserve">Association </w:t>
      </w:r>
      <w:r w:rsidR="008C161F">
        <w:t>for</w:t>
      </w:r>
      <w:r w:rsidR="00A15395">
        <w:t xml:space="preserve"> Regional Cooperation.</w:t>
      </w:r>
    </w:p>
    <w:p w14:paraId="541D4FF0" w14:textId="744CF278" w:rsidR="00D332BB" w:rsidRDefault="00D332BB" w:rsidP="00EE43DE">
      <w:pPr>
        <w:pStyle w:val="Notes"/>
      </w:pPr>
      <w:r>
        <w:t>Notes:</w:t>
      </w:r>
      <w:r w:rsidR="00BE5682">
        <w:tab/>
      </w:r>
      <w:r w:rsidR="003128C6">
        <w:t>Groupings</w:t>
      </w:r>
      <w:r w:rsidR="00BE5682">
        <w:t xml:space="preserve"> are missing some members if they are not identified in the Asian Development Bank Multiregional Input–Output Database. ASEAN</w:t>
      </w:r>
      <w:r w:rsidR="003128C6">
        <w:t xml:space="preserve"> </w:t>
      </w:r>
      <w:r w:rsidR="002320B7">
        <w:t xml:space="preserve">includes Brunei Darussalam, Cambodia, Indonesia, Lao People's Democratic Republic, Malaysia, Philippines, Singapore, Thailand, and Viet Nam and </w:t>
      </w:r>
      <w:r w:rsidR="003128C6">
        <w:t>is miss</w:t>
      </w:r>
      <w:r w:rsidR="00E43BF9">
        <w:t xml:space="preserve">ing Myanmar. </w:t>
      </w:r>
      <w:r w:rsidR="00442792">
        <w:t xml:space="preserve">EAEU includes Kazakhstan, the Kyrgyz Republic and the Russian Federation and is missing Armenia (before 2017) and Belarus. </w:t>
      </w:r>
      <w:r w:rsidR="00EE43DE">
        <w:t xml:space="preserve">EU includes Austria, Belgium, Bulgaria, Croatia, Cyprus, Czech Republic, Denmark, Estonia, Finland, France, Germany, Greece, Hungary, Ireland, Italy, Latvia, Lithuania, Luxembourg, </w:t>
      </w:r>
      <w:r w:rsidR="00183FE0">
        <w:t xml:space="preserve">Malta, </w:t>
      </w:r>
      <w:r w:rsidR="00EE43DE">
        <w:t xml:space="preserve">Netherlands, Poland, Portugal, Romania, Slovak Republic, Slovenia, Spain, and Sweden. </w:t>
      </w:r>
      <w:r w:rsidR="00583026">
        <w:t xml:space="preserve">NAFTA includes Canada, Mexico, and the United States. </w:t>
      </w:r>
      <w:r w:rsidR="000F6C8D">
        <w:t xml:space="preserve">SAARC </w:t>
      </w:r>
      <w:r w:rsidR="00BD729A">
        <w:t xml:space="preserve">includes </w:t>
      </w:r>
      <w:r w:rsidR="00BD729A" w:rsidRPr="00BD729A">
        <w:t>Bangladesh, Bhutan, Sri Lanka, India, Maldives, Nepal, and Pakistan</w:t>
      </w:r>
      <w:r w:rsidR="00BD729A">
        <w:t xml:space="preserve"> and </w:t>
      </w:r>
      <w:r w:rsidR="0055389F">
        <w:t xml:space="preserve">is missing Afghanistan. </w:t>
      </w:r>
    </w:p>
    <w:p w14:paraId="0420699D" w14:textId="06DE6EF7" w:rsidR="00CF5BCC" w:rsidRDefault="002348FC" w:rsidP="002348FC">
      <w:pPr>
        <w:pStyle w:val="NotesBottom"/>
      </w:pPr>
      <w:r>
        <w:t xml:space="preserve">Sources: </w:t>
      </w:r>
      <w:r>
        <w:tab/>
        <w:t>Asian Development Bank. Multiregional Input–Output Database</w:t>
      </w:r>
      <w:r w:rsidR="00183FE0">
        <w:t xml:space="preserve"> (July </w:t>
      </w:r>
      <w:r>
        <w:t>2021);</w:t>
      </w:r>
      <w:r w:rsidRPr="008F0425">
        <w:t xml:space="preserve"> </w:t>
      </w:r>
      <w:r>
        <w:t>Asian Development Bank estimates.</w:t>
      </w:r>
    </w:p>
    <w:p w14:paraId="0E9B7464" w14:textId="31F3FB50" w:rsidR="00CF5BCC" w:rsidRDefault="00CF5BCC" w:rsidP="00CF5BCC">
      <w:r>
        <w:t xml:space="preserve">As explained in </w:t>
      </w:r>
      <w:fldSimple w:instr=" REF _Ref79227767 ">
        <w:r w:rsidR="00D57A44">
          <w:t xml:space="preserve">Box </w:t>
        </w:r>
        <w:r w:rsidR="00D57A44">
          <w:rPr>
            <w:noProof/>
          </w:rPr>
          <w:t>7</w:t>
        </w:r>
      </w:fldSimple>
      <w:r>
        <w:t xml:space="preserve">, using gross exports to calculate RCI may be misleading due to imported inputs on the one hand and reexporting on the other. </w:t>
      </w:r>
      <w:r w:rsidR="00122593">
        <w:t>In other words, value</w:t>
      </w:r>
      <w:r w:rsidR="00CA30F0">
        <w:t xml:space="preserve"> </w:t>
      </w:r>
      <w:r w:rsidR="00122593">
        <w:t>added from outside the region may be mixed in</w:t>
      </w:r>
      <w:r w:rsidR="00680895">
        <w:t>, a possibility all the more relevant in the age of GVCs</w:t>
      </w:r>
      <w:r w:rsidR="00122593">
        <w:t xml:space="preserve">. </w:t>
      </w:r>
      <w:r w:rsidR="000350BD">
        <w:t xml:space="preserve">Thus, an “end-to-end” RCI </w:t>
      </w:r>
      <w:r w:rsidR="00EE6BF2">
        <w:t>that traces value</w:t>
      </w:r>
      <w:r w:rsidR="00F8336A">
        <w:t xml:space="preserve"> </w:t>
      </w:r>
      <w:r w:rsidR="00EE6BF2">
        <w:t xml:space="preserve">added from creation to final consumption </w:t>
      </w:r>
      <w:r w:rsidR="000350BD">
        <w:t xml:space="preserve">is also presented in </w:t>
      </w:r>
      <w:fldSimple w:instr=" REF _Ref79228298 ">
        <w:r w:rsidR="00D57A44">
          <w:t xml:space="preserve">Figure </w:t>
        </w:r>
        <w:r w:rsidR="00D57A44">
          <w:rPr>
            <w:noProof/>
            <w:cs/>
          </w:rPr>
          <w:t>‎</w:t>
        </w:r>
        <w:r w:rsidR="00D57A44">
          <w:rPr>
            <w:noProof/>
          </w:rPr>
          <w:t>5</w:t>
        </w:r>
        <w:r w:rsidR="00D57A44">
          <w:t>.</w:t>
        </w:r>
        <w:r w:rsidR="00D57A44">
          <w:rPr>
            <w:noProof/>
          </w:rPr>
          <w:t>1</w:t>
        </w:r>
      </w:fldSimple>
      <w:r w:rsidR="000350BD">
        <w:t>.</w:t>
      </w:r>
      <w:r w:rsidR="00695938">
        <w:t xml:space="preserve"> Perhaps because of South Asia’s relatively low GVC participation, the trend of its RCI here is almost identical to the gross exports version</w:t>
      </w:r>
      <w:r w:rsidR="007841A0">
        <w:t>. It remains the least integrated of the four. Elsewhere, the high integration of NAFTA disappears, placing it at about the level of the European Union. This suggests that much of what appears to be intra-NAFTA trade actually involves much outside value</w:t>
      </w:r>
      <w:r w:rsidR="00536AE2">
        <w:t xml:space="preserve"> </w:t>
      </w:r>
      <w:r w:rsidR="007841A0">
        <w:t xml:space="preserve">added. </w:t>
      </w:r>
    </w:p>
    <w:p w14:paraId="6C128527" w14:textId="4168D72B" w:rsidR="00382699" w:rsidRDefault="00382699" w:rsidP="00CF5BCC">
      <w:r>
        <w:t xml:space="preserve">One interesting observation about </w:t>
      </w:r>
      <w:r w:rsidR="00585072">
        <w:t>SAARC</w:t>
      </w:r>
      <w:r>
        <w:t xml:space="preserve">’s RCI is that, in </w:t>
      </w:r>
      <w:r w:rsidR="00574E62">
        <w:t xml:space="preserve">either </w:t>
      </w:r>
      <w:r>
        <w:t>versio</w:t>
      </w:r>
      <w:r w:rsidR="00574E62">
        <w:t>n</w:t>
      </w:r>
      <w:r>
        <w:t xml:space="preserve">, it was much higher in 2000 than </w:t>
      </w:r>
      <w:r w:rsidR="00EB4FC0">
        <w:t xml:space="preserve">in the years after </w:t>
      </w:r>
      <w:r w:rsidR="00925B70">
        <w:t xml:space="preserve">its free trade area </w:t>
      </w:r>
      <w:r w:rsidR="00EB4FC0">
        <w:t>took effect in 2006.</w:t>
      </w:r>
      <w:r>
        <w:t xml:space="preserve"> </w:t>
      </w:r>
      <w:r w:rsidR="00E01450">
        <w:t xml:space="preserve">This, however, stems not so much from higher regional integration in </w:t>
      </w:r>
      <w:r w:rsidR="001B06B4">
        <w:t>the past</w:t>
      </w:r>
      <w:r w:rsidR="00E01450">
        <w:t xml:space="preserve"> but rather a lack of engagement with the rest of the world. Looking at the formula in </w:t>
      </w:r>
      <w:fldSimple w:instr=" REF _Ref79227767 ">
        <w:r w:rsidR="00D57A44">
          <w:t xml:space="preserve">Box </w:t>
        </w:r>
        <w:r w:rsidR="00D57A44">
          <w:rPr>
            <w:noProof/>
          </w:rPr>
          <w:t>7</w:t>
        </w:r>
      </w:fldSimple>
      <w:r w:rsidR="00E01450">
        <w:t xml:space="preserve">, it is clear that the RCI may go up if </w:t>
      </w:r>
      <w:r w:rsidR="001B06B4">
        <w:t xml:space="preserve">either </w:t>
      </w:r>
      <w:r w:rsidR="00E01450">
        <w:t xml:space="preserve">the share of intra-regional trade goes up (the numerator) or the region’s share in world trade goes down (the denominator). </w:t>
      </w:r>
      <w:r w:rsidR="0063029D">
        <w:t xml:space="preserve">Using gross exports, </w:t>
      </w:r>
      <w:r w:rsidR="00885503">
        <w:t xml:space="preserve">one finds that while </w:t>
      </w:r>
      <w:r w:rsidR="00E01450">
        <w:t xml:space="preserve">intra-regional trade </w:t>
      </w:r>
      <w:r w:rsidR="0091658F">
        <w:t xml:space="preserve">in </w:t>
      </w:r>
      <w:r w:rsidR="00B66E0D">
        <w:t xml:space="preserve">SAARC </w:t>
      </w:r>
      <w:r w:rsidR="00E01450">
        <w:t xml:space="preserve">remained stable </w:t>
      </w:r>
      <w:r w:rsidR="001B06B4">
        <w:t xml:space="preserve">between 2000 and 2007 </w:t>
      </w:r>
      <w:r w:rsidR="00E01450">
        <w:t>at 3.</w:t>
      </w:r>
      <w:r w:rsidR="001B06B4">
        <w:t>2</w:t>
      </w:r>
      <w:r w:rsidR="00E01450">
        <w:t>% and 3.2%</w:t>
      </w:r>
      <w:r w:rsidR="001B06B4">
        <w:t xml:space="preserve"> respectively</w:t>
      </w:r>
      <w:r w:rsidR="00E01450">
        <w:t xml:space="preserve">, its share in world trade went up from 1.2% to 1.9%. Hence </w:t>
      </w:r>
      <w:r w:rsidR="004B68ED">
        <w:t>the drop in its RCI from 2.8 to 1.7.</w:t>
      </w:r>
    </w:p>
    <w:p w14:paraId="552E0EC7" w14:textId="7EEADD54" w:rsidR="000B768B" w:rsidRDefault="00CA7B8D" w:rsidP="00151482">
      <w:r>
        <w:lastRenderedPageBreak/>
        <w:t xml:space="preserve">Turning to the sector level, </w:t>
      </w:r>
      <w:r w:rsidR="00E16975">
        <w:t xml:space="preserve">regional integration may be </w:t>
      </w:r>
      <w:r>
        <w:t xml:space="preserve">visualized </w:t>
      </w:r>
      <w:r w:rsidR="00E16975">
        <w:t xml:space="preserve">with a skyline chart, whose construction is described in </w:t>
      </w:r>
      <w:fldSimple w:instr=" REF _Ref79240185 ">
        <w:r w:rsidR="00D57A44">
          <w:t xml:space="preserve">Box </w:t>
        </w:r>
        <w:r w:rsidR="00D57A44">
          <w:rPr>
            <w:noProof/>
          </w:rPr>
          <w:t>8</w:t>
        </w:r>
      </w:fldSimple>
      <w:r w:rsidR="00E16975">
        <w:t xml:space="preserve">. </w:t>
      </w:r>
      <w:r w:rsidR="00182929">
        <w:t xml:space="preserve">It represents each sector as a “tower” whose width is its share in the region’s output and whose height is its output expressed as a share of the portion induced by domestic demand. </w:t>
      </w:r>
      <w:r w:rsidR="00161CEE">
        <w:t xml:space="preserve">A region measuring the output </w:t>
      </w:r>
      <w:proofErr w:type="spellStart"/>
      <w:r w:rsidR="00161CEE">
        <w:t>supressed</w:t>
      </w:r>
      <w:proofErr w:type="spellEnd"/>
      <w:r w:rsidR="00161CEE">
        <w:t xml:space="preserve"> due to imports is also indicated. </w:t>
      </w:r>
      <w:r w:rsidR="00151482">
        <w:t>The skyline chart’s main purpose is to show where the region is self-sufficient in, these being</w:t>
      </w:r>
      <w:r w:rsidR="00E81A4E">
        <w:t xml:space="preserve"> the</w:t>
      </w:r>
      <w:r w:rsidR="00151482">
        <w:t xml:space="preserve"> sectors for which its own internal demand is enough to exhaust </w:t>
      </w:r>
      <w:r w:rsidR="001B7B32">
        <w:t xml:space="preserve">its </w:t>
      </w:r>
      <w:r w:rsidR="00151482">
        <w:t xml:space="preserve">output. </w:t>
      </w:r>
    </w:p>
    <w:tbl>
      <w:tblPr>
        <w:tblStyle w:val="TableGrid"/>
        <w:tblW w:w="0" w:type="auto"/>
        <w:tblLook w:val="04A0" w:firstRow="1" w:lastRow="0" w:firstColumn="1" w:lastColumn="0" w:noHBand="0" w:noVBand="1"/>
      </w:tblPr>
      <w:tblGrid>
        <w:gridCol w:w="9016"/>
      </w:tblGrid>
      <w:tr w:rsidR="00DF3694" w14:paraId="1F9A9209" w14:textId="77777777" w:rsidTr="00DE56CF">
        <w:tc>
          <w:tcPr>
            <w:tcW w:w="9016" w:type="dxa"/>
          </w:tcPr>
          <w:p w14:paraId="676A57F9" w14:textId="3B7F5D6B" w:rsidR="00DF3694" w:rsidRDefault="00DF3694" w:rsidP="00DF3694">
            <w:pPr>
              <w:pStyle w:val="Caption"/>
            </w:pPr>
            <w:bookmarkStart w:id="68" w:name="_Ref79240185"/>
            <w:bookmarkStart w:id="69" w:name="_Ref79240182"/>
            <w:bookmarkStart w:id="70" w:name="_Toc139902367"/>
            <w:r>
              <w:t xml:space="preserve">Box </w:t>
            </w:r>
            <w:fldSimple w:instr=" SEQ Box \* ARABIC ">
              <w:r w:rsidR="00D57A44">
                <w:rPr>
                  <w:noProof/>
                </w:rPr>
                <w:t>8</w:t>
              </w:r>
            </w:fldSimple>
            <w:bookmarkEnd w:id="68"/>
            <w:r>
              <w:t>: Constructing the Skyline Chart</w:t>
            </w:r>
            <w:bookmarkEnd w:id="69"/>
            <w:bookmarkEnd w:id="70"/>
          </w:p>
          <w:p w14:paraId="3DDD535A" w14:textId="0755DAC3" w:rsidR="00DB0F9C" w:rsidRPr="00DE56CF" w:rsidRDefault="00DB0F9C" w:rsidP="00DE56CF">
            <w:pPr>
              <w:pStyle w:val="Box"/>
            </w:pPr>
            <w:r w:rsidRPr="00DE56CF">
              <w:t>The skyline chart visualizes the industrial structure of an economy and the extent to which it relies on imports (METI, 2011; WTO, 2011b). Each sector is represented by a “tower”, as in</w:t>
            </w:r>
            <w:r w:rsidR="008B2DD9" w:rsidRPr="00DE56CF">
              <w:t xml:space="preserve"> the figure.</w:t>
            </w:r>
            <w:r w:rsidRPr="00DE56CF">
              <w:t xml:space="preserve"> The width of the tower measures the share of that sector in the economy’s output. The height of the tower measures output induced by demand for that sector, computed using data from an input–output table. Output induced by domestic demand is normalized at 100%, with anything above it corresponding to output induced by export demand. Part of the tower is shaded red to indicate the reduction in output induced by imports, which, being negative, starts from the top of the tower and extends downward. </w:t>
            </w:r>
          </w:p>
          <w:bookmarkStart w:id="71" w:name="_Ref70077018"/>
          <w:p w14:paraId="6ED38446" w14:textId="710C91E3" w:rsidR="00DB0F9C" w:rsidRPr="008B2DD9" w:rsidRDefault="00DB0F9C" w:rsidP="008B2DD9">
            <w:pPr>
              <w:pStyle w:val="Box"/>
              <w:jc w:val="center"/>
              <w:rPr>
                <w:b/>
                <w:bCs/>
              </w:rPr>
            </w:pPr>
            <w:r w:rsidRPr="008B2DD9">
              <w:rPr>
                <w:b/>
                <w:bCs/>
                <w:noProof/>
              </w:rPr>
              <mc:AlternateContent>
                <mc:Choice Requires="wpg">
                  <w:drawing>
                    <wp:anchor distT="0" distB="0" distL="114300" distR="114300" simplePos="0" relativeHeight="251704320" behindDoc="0" locked="0" layoutInCell="1" allowOverlap="1" wp14:anchorId="5212A871" wp14:editId="30D4D589">
                      <wp:simplePos x="0" y="0"/>
                      <wp:positionH relativeFrom="column">
                        <wp:posOffset>344704</wp:posOffset>
                      </wp:positionH>
                      <wp:positionV relativeFrom="paragraph">
                        <wp:posOffset>353940</wp:posOffset>
                      </wp:positionV>
                      <wp:extent cx="4378488" cy="2331424"/>
                      <wp:effectExtent l="0" t="12700" r="0" b="0"/>
                      <wp:wrapNone/>
                      <wp:docPr id="199" name="Group 199"/>
                      <wp:cNvGraphicFramePr/>
                      <a:graphic xmlns:a="http://schemas.openxmlformats.org/drawingml/2006/main">
                        <a:graphicData uri="http://schemas.microsoft.com/office/word/2010/wordprocessingGroup">
                          <wpg:wgp>
                            <wpg:cNvGrpSpPr/>
                            <wpg:grpSpPr>
                              <a:xfrm>
                                <a:off x="0" y="0"/>
                                <a:ext cx="4378488" cy="2331424"/>
                                <a:chOff x="-11288" y="0"/>
                                <a:chExt cx="4378488" cy="2331424"/>
                              </a:xfrm>
                            </wpg:grpSpPr>
                            <wpg:grpSp>
                              <wpg:cNvPr id="192" name="Group 192"/>
                              <wpg:cNvGrpSpPr/>
                              <wpg:grpSpPr>
                                <a:xfrm>
                                  <a:off x="508000" y="0"/>
                                  <a:ext cx="3859200" cy="2331424"/>
                                  <a:chOff x="237600" y="0"/>
                                  <a:chExt cx="3859200" cy="2331424"/>
                                </a:xfrm>
                              </wpg:grpSpPr>
                              <wpg:grpSp>
                                <wpg:cNvPr id="116" name="Group 116"/>
                                <wpg:cNvGrpSpPr/>
                                <wpg:grpSpPr>
                                  <a:xfrm>
                                    <a:off x="1504666" y="7198"/>
                                    <a:ext cx="1216684" cy="1804683"/>
                                    <a:chOff x="-134" y="-2"/>
                                    <a:chExt cx="1216684" cy="1804683"/>
                                  </a:xfrm>
                                </wpg:grpSpPr>
                                <wps:wsp>
                                  <wps:cNvPr id="114" name="Rectangle 114"/>
                                  <wps:cNvSpPr/>
                                  <wps:spPr>
                                    <a:xfrm>
                                      <a:off x="-67" y="459934"/>
                                      <a:ext cx="1216617" cy="1344747"/>
                                    </a:xfrm>
                                    <a:prstGeom prst="rect">
                                      <a:avLst/>
                                    </a:prstGeom>
                                    <a:solidFill>
                                      <a:srgbClr val="45A6D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34" y="-2"/>
                                      <a:ext cx="1216617" cy="564219"/>
                                    </a:xfrm>
                                    <a:prstGeom prst="rect">
                                      <a:avLst/>
                                    </a:prstGeom>
                                    <a:solidFill>
                                      <a:srgbClr val="EF7E33"/>
                                    </a:solidFill>
                                    <a:ln>
                                      <a:solidFill>
                                        <a:srgbClr val="ED683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Straight Arrow Connector 117"/>
                                <wps:cNvCnPr/>
                                <wps:spPr>
                                  <a:xfrm>
                                    <a:off x="1540800" y="2021900"/>
                                    <a:ext cx="1154380" cy="0"/>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8" name="Text Box 118"/>
                                <wps:cNvSpPr txBox="1"/>
                                <wps:spPr>
                                  <a:xfrm>
                                    <a:off x="1389600" y="2023200"/>
                                    <a:ext cx="1479479" cy="308224"/>
                                  </a:xfrm>
                                  <a:prstGeom prst="rect">
                                    <a:avLst/>
                                  </a:prstGeom>
                                  <a:noFill/>
                                  <a:ln w="6350">
                                    <a:noFill/>
                                  </a:ln>
                                </wps:spPr>
                                <wps:txbx>
                                  <w:txbxContent>
                                    <w:p w14:paraId="6227AD32" w14:textId="77777777" w:rsidR="00DB0F9C" w:rsidRPr="00034100" w:rsidRDefault="00DB0F9C" w:rsidP="00DB0F9C">
                                      <w:pPr>
                                        <w:spacing w:after="0" w:line="240" w:lineRule="auto"/>
                                        <w:jc w:val="center"/>
                                        <w:rPr>
                                          <w:sz w:val="20"/>
                                          <w:szCs w:val="20"/>
                                        </w:rPr>
                                      </w:pPr>
                                      <w:r w:rsidRPr="00034100">
                                        <w:rPr>
                                          <w:sz w:val="20"/>
                                          <w:szCs w:val="20"/>
                                        </w:rPr>
                                        <w:t>Share in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Straight Connector 119"/>
                                <wps:cNvCnPr/>
                                <wps:spPr>
                                  <a:xfrm>
                                    <a:off x="1303200" y="963100"/>
                                    <a:ext cx="169481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 name="Text Box 120"/>
                                <wps:cNvSpPr txBox="1"/>
                                <wps:spPr>
                                  <a:xfrm>
                                    <a:off x="828000" y="820800"/>
                                    <a:ext cx="518160" cy="307975"/>
                                  </a:xfrm>
                                  <a:prstGeom prst="rect">
                                    <a:avLst/>
                                  </a:prstGeom>
                                  <a:noFill/>
                                  <a:ln w="6350">
                                    <a:noFill/>
                                  </a:ln>
                                </wps:spPr>
                                <wps:txbx>
                                  <w:txbxContent>
                                    <w:p w14:paraId="65ED9EB2" w14:textId="77777777" w:rsidR="00DB0F9C" w:rsidRPr="00034100" w:rsidRDefault="00DB0F9C" w:rsidP="00DB0F9C">
                                      <w:pPr>
                                        <w:spacing w:after="0" w:line="240" w:lineRule="auto"/>
                                        <w:jc w:val="center"/>
                                        <w:rPr>
                                          <w:sz w:val="22"/>
                                          <w:szCs w:val="22"/>
                                        </w:rPr>
                                      </w:pPr>
                                      <w:r>
                                        <w:rPr>
                                          <w:sz w:val="22"/>
                                          <w:szCs w:val="22"/>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Arrow Connector 121"/>
                                <wps:cNvCnPr/>
                                <wps:spPr>
                                  <a:xfrm rot="5400000">
                                    <a:off x="2474250" y="1410585"/>
                                    <a:ext cx="811527" cy="1269"/>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2" name="Text Box 122"/>
                                <wps:cNvSpPr txBox="1"/>
                                <wps:spPr>
                                  <a:xfrm>
                                    <a:off x="2893864" y="1158862"/>
                                    <a:ext cx="1202936" cy="497910"/>
                                  </a:xfrm>
                                  <a:prstGeom prst="rect">
                                    <a:avLst/>
                                  </a:prstGeom>
                                  <a:noFill/>
                                  <a:ln w="6350">
                                    <a:noFill/>
                                  </a:ln>
                                </wps:spPr>
                                <wps:txbx>
                                  <w:txbxContent>
                                    <w:p w14:paraId="31C1528E" w14:textId="77777777" w:rsidR="00DB0F9C" w:rsidRPr="00034100" w:rsidRDefault="00DB0F9C" w:rsidP="00DB0F9C">
                                      <w:pPr>
                                        <w:spacing w:after="0" w:line="240" w:lineRule="auto"/>
                                        <w:rPr>
                                          <w:sz w:val="20"/>
                                          <w:szCs w:val="20"/>
                                        </w:rPr>
                                      </w:pPr>
                                      <w:r w:rsidRPr="00034100">
                                        <w:rPr>
                                          <w:sz w:val="20"/>
                                          <w:szCs w:val="20"/>
                                        </w:rPr>
                                        <w:t>Domestic demand-induced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2893863" y="136760"/>
                                    <a:ext cx="1202639" cy="497840"/>
                                  </a:xfrm>
                                  <a:prstGeom prst="rect">
                                    <a:avLst/>
                                  </a:prstGeom>
                                  <a:noFill/>
                                  <a:ln w="6350">
                                    <a:noFill/>
                                  </a:ln>
                                </wps:spPr>
                                <wps:txbx>
                                  <w:txbxContent>
                                    <w:p w14:paraId="0082DD5A" w14:textId="77777777" w:rsidR="00DB0F9C" w:rsidRPr="00034100" w:rsidRDefault="00DB0F9C" w:rsidP="00DB0F9C">
                                      <w:pPr>
                                        <w:spacing w:after="0" w:line="240" w:lineRule="auto"/>
                                        <w:rPr>
                                          <w:sz w:val="20"/>
                                          <w:szCs w:val="20"/>
                                        </w:rPr>
                                      </w:pPr>
                                      <w:r w:rsidRPr="00034100">
                                        <w:rPr>
                                          <w:sz w:val="20"/>
                                          <w:szCs w:val="20"/>
                                        </w:rPr>
                                        <w:t>Export demand-induced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Straight Arrow Connector 125"/>
                                <wps:cNvCnPr/>
                                <wps:spPr>
                                  <a:xfrm rot="5400000">
                                    <a:off x="1097350" y="290950"/>
                                    <a:ext cx="516137" cy="0"/>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6" name="Text Box 126"/>
                                <wps:cNvSpPr txBox="1"/>
                                <wps:spPr>
                                  <a:xfrm>
                                    <a:off x="237600" y="0"/>
                                    <a:ext cx="1064663" cy="571500"/>
                                  </a:xfrm>
                                  <a:prstGeom prst="rect">
                                    <a:avLst/>
                                  </a:prstGeom>
                                  <a:noFill/>
                                  <a:ln w="6350">
                                    <a:noFill/>
                                  </a:ln>
                                </wps:spPr>
                                <wps:txbx>
                                  <w:txbxContent>
                                    <w:p w14:paraId="3B2F9AB9" w14:textId="77777777" w:rsidR="00DB0F9C" w:rsidRPr="00034100" w:rsidRDefault="00DB0F9C" w:rsidP="00DB0F9C">
                                      <w:pPr>
                                        <w:spacing w:after="0" w:line="240" w:lineRule="auto"/>
                                        <w:jc w:val="right"/>
                                        <w:rPr>
                                          <w:sz w:val="20"/>
                                          <w:szCs w:val="20"/>
                                        </w:rPr>
                                      </w:pPr>
                                      <w:r>
                                        <w:rPr>
                                          <w:sz w:val="20"/>
                                          <w:szCs w:val="20"/>
                                        </w:rPr>
                                        <w:t>Import</w:t>
                                      </w:r>
                                      <w:r w:rsidRPr="00034100">
                                        <w:rPr>
                                          <w:sz w:val="20"/>
                                          <w:szCs w:val="20"/>
                                        </w:rPr>
                                        <w:t xml:space="preserve"> demand-induced output</w:t>
                                      </w:r>
                                      <w:r>
                                        <w:rPr>
                                          <w:sz w:val="20"/>
                                          <w:szCs w:val="20"/>
                                        </w:rPr>
                                        <w:t xml:space="preserve"> (negative)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Straight Arrow Connector 127"/>
                                <wps:cNvCnPr/>
                                <wps:spPr>
                                  <a:xfrm>
                                    <a:off x="2882100" y="11000"/>
                                    <a:ext cx="0" cy="911860"/>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197" name="Straight Arrow Connector 197"/>
                              <wps:cNvCnPr/>
                              <wps:spPr>
                                <a:xfrm>
                                  <a:off x="963789" y="627944"/>
                                  <a:ext cx="0" cy="1187189"/>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8" name="Text Box 198"/>
                              <wps:cNvSpPr txBox="1"/>
                              <wps:spPr>
                                <a:xfrm>
                                  <a:off x="-11288" y="715436"/>
                                  <a:ext cx="965624" cy="497838"/>
                                </a:xfrm>
                                <a:prstGeom prst="rect">
                                  <a:avLst/>
                                </a:prstGeom>
                                <a:noFill/>
                                <a:ln w="6350">
                                  <a:noFill/>
                                </a:ln>
                              </wps:spPr>
                              <wps:txbx>
                                <w:txbxContent>
                                  <w:p w14:paraId="7F5FC9AB" w14:textId="77777777" w:rsidR="00DB0F9C" w:rsidRPr="00034100" w:rsidRDefault="00DB0F9C" w:rsidP="00DB0F9C">
                                    <w:pPr>
                                      <w:spacing w:after="0" w:line="240" w:lineRule="auto"/>
                                      <w:jc w:val="right"/>
                                      <w:rPr>
                                        <w:sz w:val="20"/>
                                        <w:szCs w:val="20"/>
                                      </w:rPr>
                                    </w:pPr>
                                    <w:r>
                                      <w:rPr>
                                        <w:sz w:val="20"/>
                                        <w:szCs w:val="20"/>
                                      </w:rPr>
                                      <w:t>Self-sufficiency ratio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212A871" id="Group 199" o:spid="_x0000_s1026" style="position:absolute;left:0;text-align:left;margin-left:27.15pt;margin-top:27.85pt;width:344.75pt;height:183.6pt;z-index:251704320;mso-width-relative:margin" coordorigin="-112" coordsize="43784,233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">
                      <v:group id="Group 192" o:spid="_x0000_s1027" style="position:absolute;left:5080;width:38592;height:23314" coordorigin="2376" coordsize="38592,233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">
                        <v:group id="Group 116" o:spid="_x0000_s1028" style="position:absolute;left:15046;top:71;width:12167;height:18047" coordorigin="-1" coordsize="12166,180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GzzyAAAAOE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">
                          <v:rect id="Rectangle 114" o:spid="_x0000_s1029" style="position:absolute;top:4599;width:12165;height:134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" fillcolor="#45a6d3" strokecolor="#1f3763 [1604]" strokeweight="1pt"/>
                          <v:rect id="Rectangle 115" o:spid="_x0000_s1030" style="position:absolute;left:-1;width:12165;height:56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" fillcolor="#ef7e33" strokecolor="#ed6833" strokeweight="1pt"/>
                        </v:group>
                        <v:shapetype id="_x0000_t32" coordsize="21600,21600" o:spt="32" o:oned="t" path="m,l21600,21600e" filled="f">
                          <v:path arrowok="t" fillok="f" o:connecttype="none"/>
                          <o:lock v:ext="edit" shapetype="t"/>
                        </v:shapetype>
                        <v:shape id="Straight Arrow Connector 117" o:spid="_x0000_s1031" type="#_x0000_t32" style="position:absolute;left:15408;top:20219;width:1154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" strokecolor="black [3213]" strokeweight="1.5pt">
                          <v:stroke startarrow="block" endarrow="block" joinstyle="miter"/>
                        </v:shape>
                        <v:shapetype id="_x0000_t202" coordsize="21600,21600" o:spt="202" path="m,l,21600r21600,l21600,xe">
                          <v:stroke joinstyle="miter"/>
                          <v:path gradientshapeok="t" o:connecttype="rect"/>
                        </v:shapetype>
                        <v:shape id="Text Box 118" o:spid="_x0000_s1032" type="#_x0000_t202" style="position:absolute;left:13896;top:20232;width:14794;height:30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" filled="f" stroked="f" strokeweight=".5pt">
                          <v:textbox>
                            <w:txbxContent>
                              <w:p w14:paraId="6227AD32" w14:textId="77777777" w:rsidR="00DB0F9C" w:rsidRPr="00034100" w:rsidRDefault="00DB0F9C" w:rsidP="00DB0F9C">
                                <w:pPr>
                                  <w:spacing w:after="0" w:line="240" w:lineRule="auto"/>
                                  <w:jc w:val="center"/>
                                  <w:rPr>
                                    <w:sz w:val="20"/>
                                    <w:szCs w:val="20"/>
                                  </w:rPr>
                                </w:pPr>
                                <w:r w:rsidRPr="00034100">
                                  <w:rPr>
                                    <w:sz w:val="20"/>
                                    <w:szCs w:val="20"/>
                                  </w:rPr>
                                  <w:t>Share in output</w:t>
                                </w:r>
                              </w:p>
                            </w:txbxContent>
                          </v:textbox>
                        </v:shape>
                        <v:line id="Straight Connector 119" o:spid="_x0000_s1033" style="position:absolute;visibility:visible;mso-wrap-style:square" from="13032,9631" to="29980,9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" strokecolor="black [3213]" strokeweight="2.25pt">
                          <v:stroke joinstyle="miter"/>
                        </v:line>
                        <v:shape id="Text Box 120" o:spid="_x0000_s1034" type="#_x0000_t202" style="position:absolute;left:8280;top:8208;width:5181;height:3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" filled="f" stroked="f" strokeweight=".5pt">
                          <v:textbox>
                            <w:txbxContent>
                              <w:p w14:paraId="65ED9EB2" w14:textId="77777777" w:rsidR="00DB0F9C" w:rsidRPr="00034100" w:rsidRDefault="00DB0F9C" w:rsidP="00DB0F9C">
                                <w:pPr>
                                  <w:spacing w:after="0" w:line="240" w:lineRule="auto"/>
                                  <w:jc w:val="center"/>
                                  <w:rPr>
                                    <w:sz w:val="22"/>
                                    <w:szCs w:val="22"/>
                                  </w:rPr>
                                </w:pPr>
                                <w:r>
                                  <w:rPr>
                                    <w:sz w:val="22"/>
                                    <w:szCs w:val="22"/>
                                  </w:rPr>
                                  <w:t>100%</w:t>
                                </w:r>
                              </w:p>
                            </w:txbxContent>
                          </v:textbox>
                        </v:shape>
                        <v:shape id="Straight Arrow Connector 121" o:spid="_x0000_s1035" type="#_x0000_t32" style="position:absolute;left:24742;top:14105;width:8115;height:13;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" strokecolor="black [3213]" strokeweight="1.5pt">
                          <v:stroke startarrow="block" endarrow="block" joinstyle="miter"/>
                        </v:shape>
                        <v:shape id="Text Box 122" o:spid="_x0000_s1036" type="#_x0000_t202" style="position:absolute;left:28938;top:11588;width:12030;height:49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" filled="f" stroked="f" strokeweight=".5pt">
                          <v:textbox>
                            <w:txbxContent>
                              <w:p w14:paraId="31C1528E" w14:textId="77777777" w:rsidR="00DB0F9C" w:rsidRPr="00034100" w:rsidRDefault="00DB0F9C" w:rsidP="00DB0F9C">
                                <w:pPr>
                                  <w:spacing w:after="0" w:line="240" w:lineRule="auto"/>
                                  <w:rPr>
                                    <w:sz w:val="20"/>
                                    <w:szCs w:val="20"/>
                                  </w:rPr>
                                </w:pPr>
                                <w:r w:rsidRPr="00034100">
                                  <w:rPr>
                                    <w:sz w:val="20"/>
                                    <w:szCs w:val="20"/>
                                  </w:rPr>
                                  <w:t>Domestic demand-induced output</w:t>
                                </w:r>
                              </w:p>
                            </w:txbxContent>
                          </v:textbox>
                        </v:shape>
                        <v:shape id="Text Box 124" o:spid="_x0000_s1037" type="#_x0000_t202" style="position:absolute;left:28938;top:1367;width:12027;height:49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" filled="f" stroked="f" strokeweight=".5pt">
                          <v:textbox>
                            <w:txbxContent>
                              <w:p w14:paraId="0082DD5A" w14:textId="77777777" w:rsidR="00DB0F9C" w:rsidRPr="00034100" w:rsidRDefault="00DB0F9C" w:rsidP="00DB0F9C">
                                <w:pPr>
                                  <w:spacing w:after="0" w:line="240" w:lineRule="auto"/>
                                  <w:rPr>
                                    <w:sz w:val="20"/>
                                    <w:szCs w:val="20"/>
                                  </w:rPr>
                                </w:pPr>
                                <w:r w:rsidRPr="00034100">
                                  <w:rPr>
                                    <w:sz w:val="20"/>
                                    <w:szCs w:val="20"/>
                                  </w:rPr>
                                  <w:t>Export demand-induced output</w:t>
                                </w:r>
                              </w:p>
                            </w:txbxContent>
                          </v:textbox>
                        </v:shape>
                        <v:shape id="Straight Arrow Connector 125" o:spid="_x0000_s1038" type="#_x0000_t32" style="position:absolute;left:10973;top:2909;width:5162;height:0;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" strokecolor="black [3213]" strokeweight="1.5pt">
                          <v:stroke startarrow="block" endarrow="block" joinstyle="miter"/>
                        </v:shape>
                        <v:shape id="Text Box 126" o:spid="_x0000_s1039" type="#_x0000_t202" style="position:absolute;left:2376;width:10646;height:5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" filled="f" stroked="f" strokeweight=".5pt">
                          <v:textbox>
                            <w:txbxContent>
                              <w:p w14:paraId="3B2F9AB9" w14:textId="77777777" w:rsidR="00DB0F9C" w:rsidRPr="00034100" w:rsidRDefault="00DB0F9C" w:rsidP="00DB0F9C">
                                <w:pPr>
                                  <w:spacing w:after="0" w:line="240" w:lineRule="auto"/>
                                  <w:jc w:val="right"/>
                                  <w:rPr>
                                    <w:sz w:val="20"/>
                                    <w:szCs w:val="20"/>
                                  </w:rPr>
                                </w:pPr>
                                <w:r>
                                  <w:rPr>
                                    <w:sz w:val="20"/>
                                    <w:szCs w:val="20"/>
                                  </w:rPr>
                                  <w:t>Import</w:t>
                                </w:r>
                                <w:r w:rsidRPr="00034100">
                                  <w:rPr>
                                    <w:sz w:val="20"/>
                                    <w:szCs w:val="20"/>
                                  </w:rPr>
                                  <w:t xml:space="preserve"> demand-induced output</w:t>
                                </w:r>
                                <w:r>
                                  <w:rPr>
                                    <w:sz w:val="20"/>
                                    <w:szCs w:val="20"/>
                                  </w:rPr>
                                  <w:t xml:space="preserve"> (negative)</w:t>
                                </w:r>
                              </w:p>
                            </w:txbxContent>
                          </v:textbox>
                        </v:shape>
                        <v:shape id="Straight Arrow Connector 127" o:spid="_x0000_s1040" type="#_x0000_t32" style="position:absolute;left:28821;top:110;width:0;height:911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" strokecolor="black [3213]" strokeweight="1.5pt">
                          <v:stroke startarrow="block" endarrow="block" joinstyle="miter"/>
                        </v:shape>
                      </v:group>
                      <v:shape id="Straight Arrow Connector 197" o:spid="_x0000_s1041" type="#_x0000_t32" style="position:absolute;left:9637;top:6279;width:0;height:1187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" strokecolor="black [3213]" strokeweight="1.5pt">
                        <v:stroke startarrow="block" endarrow="block" joinstyle="miter"/>
                      </v:shape>
                      <v:shape id="Text Box 198" o:spid="_x0000_s1042" type="#_x0000_t202" style="position:absolute;left:-112;top:7154;width:9655;height:4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" filled="f" stroked="f" strokeweight=".5pt">
                        <v:textbox>
                          <w:txbxContent>
                            <w:p w14:paraId="7F5FC9AB" w14:textId="77777777" w:rsidR="00DB0F9C" w:rsidRPr="00034100" w:rsidRDefault="00DB0F9C" w:rsidP="00DB0F9C">
                              <w:pPr>
                                <w:spacing w:after="0" w:line="240" w:lineRule="auto"/>
                                <w:jc w:val="right"/>
                                <w:rPr>
                                  <w:sz w:val="20"/>
                                  <w:szCs w:val="20"/>
                                </w:rPr>
                              </w:pPr>
                              <w:r>
                                <w:rPr>
                                  <w:sz w:val="20"/>
                                  <w:szCs w:val="20"/>
                                </w:rPr>
                                <w:t>Self-sufficiency ratio</w:t>
                              </w:r>
                            </w:p>
                          </w:txbxContent>
                        </v:textbox>
                      </v:shape>
                    </v:group>
                  </w:pict>
                </mc:Fallback>
              </mc:AlternateContent>
            </w:r>
            <w:bookmarkEnd w:id="71"/>
            <w:r w:rsidRPr="008B2DD9">
              <w:rPr>
                <w:rFonts w:eastAsia="Ideal Sans Light"/>
                <w:b/>
                <w:bCs/>
              </w:rPr>
              <w:t>A Tower in a Skyline Chart</w:t>
            </w:r>
          </w:p>
          <w:p w14:paraId="438676CD" w14:textId="77777777" w:rsidR="00DB0F9C" w:rsidRDefault="00DB0F9C" w:rsidP="008B2DD9">
            <w:pPr>
              <w:pStyle w:val="Box"/>
            </w:pPr>
          </w:p>
          <w:p w14:paraId="18887C9A" w14:textId="77777777" w:rsidR="00DB0F9C" w:rsidRDefault="00DB0F9C" w:rsidP="008B2DD9">
            <w:pPr>
              <w:pStyle w:val="Box"/>
            </w:pPr>
          </w:p>
          <w:p w14:paraId="4720E986" w14:textId="77777777" w:rsidR="00DB0F9C" w:rsidRDefault="00DB0F9C" w:rsidP="008B2DD9">
            <w:pPr>
              <w:pStyle w:val="Box"/>
            </w:pPr>
          </w:p>
          <w:p w14:paraId="54ABA1C1" w14:textId="77777777" w:rsidR="00DB0F9C" w:rsidRDefault="00DB0F9C" w:rsidP="008B2DD9">
            <w:pPr>
              <w:pStyle w:val="Box"/>
            </w:pPr>
          </w:p>
          <w:p w14:paraId="57694E6A" w14:textId="77777777" w:rsidR="00DB0F9C" w:rsidRDefault="00DB0F9C" w:rsidP="008B2DD9">
            <w:pPr>
              <w:pStyle w:val="Box"/>
            </w:pPr>
          </w:p>
          <w:p w14:paraId="7DF22886" w14:textId="5ECD3B3E" w:rsidR="00DB0F9C" w:rsidRDefault="00DB0F9C" w:rsidP="008B2DD9">
            <w:pPr>
              <w:pStyle w:val="Box"/>
            </w:pPr>
          </w:p>
          <w:p w14:paraId="02669970" w14:textId="3518FDFC" w:rsidR="0038598E" w:rsidRDefault="0038598E" w:rsidP="008B2DD9">
            <w:pPr>
              <w:pStyle w:val="Box"/>
            </w:pPr>
          </w:p>
          <w:p w14:paraId="1AD46B0B" w14:textId="621B3BD8" w:rsidR="0038598E" w:rsidRDefault="0038598E" w:rsidP="008B2DD9">
            <w:pPr>
              <w:pStyle w:val="Box"/>
            </w:pPr>
          </w:p>
          <w:p w14:paraId="49D3A5CF" w14:textId="77777777" w:rsidR="0038598E" w:rsidRDefault="0038598E" w:rsidP="008B2DD9">
            <w:pPr>
              <w:pStyle w:val="Box"/>
            </w:pPr>
          </w:p>
          <w:p w14:paraId="4E098BB9" w14:textId="77777777" w:rsidR="00DB0F9C" w:rsidRDefault="00DB0F9C" w:rsidP="008B2DD9">
            <w:pPr>
              <w:pStyle w:val="Box"/>
            </w:pPr>
          </w:p>
          <w:p w14:paraId="05DA9B1A" w14:textId="4C4579A7" w:rsidR="00DB0F9C" w:rsidRDefault="00DB0F9C" w:rsidP="0038598E">
            <w:pPr>
              <w:pStyle w:val="NotesBottom"/>
            </w:pPr>
            <w:r>
              <w:t xml:space="preserve">Source: </w:t>
            </w:r>
            <w:r w:rsidR="0038598E">
              <w:tab/>
            </w:r>
            <w:r>
              <w:t>Authors’ drawing based on World Trade Organization (2011b).</w:t>
            </w:r>
          </w:p>
          <w:p w14:paraId="3D98114F" w14:textId="77777777" w:rsidR="009202D9" w:rsidRPr="00DE56CF" w:rsidRDefault="009202D9" w:rsidP="00DE56CF">
            <w:pPr>
              <w:pStyle w:val="Box"/>
            </w:pPr>
            <w:r w:rsidRPr="00DE56CF">
              <w:t xml:space="preserve">If the blue region of the tower is above the 100% line, then the sector it represents is said to be self-sufficient. That is, its own output is enough to satisfy its induced domestic demand. If it is below the 100% line, however, then domestic output is insufficient and the economy has had to import the shortfall in supply. The actual height of the blue region is called the sector’s self-sufficiency ratio. </w:t>
            </w:r>
          </w:p>
          <w:p w14:paraId="2E7CF15D" w14:textId="3728E14B" w:rsidR="00DB0F9C" w:rsidRPr="00DE56CF" w:rsidRDefault="00DB0F9C" w:rsidP="00DE56CF">
            <w:pPr>
              <w:pStyle w:val="Box"/>
            </w:pPr>
            <w:r w:rsidRPr="00DE56CF">
              <w:t xml:space="preserve">In this chapter, the skyline chart is constructed at the regional level. Thus, the underlying input–output table is aggregated at the regional level,  meaning imports and exports now refer to flows going in and out of the region while flows between economies within the region are treated as “domestic” flows. Self-sufficiency then refers to the ability of the region to supply its induced demand without having to import from outside the region. </w:t>
            </w:r>
          </w:p>
          <w:p w14:paraId="0A444A1D" w14:textId="77777777" w:rsidR="00DB0F9C" w:rsidRPr="00DB0F9C" w:rsidRDefault="00DB0F9C" w:rsidP="00DB0F9C">
            <w:pPr>
              <w:pStyle w:val="BoxReferences"/>
              <w:rPr>
                <w:b/>
                <w:bCs/>
              </w:rPr>
            </w:pPr>
            <w:r w:rsidRPr="00DB0F9C">
              <w:rPr>
                <w:b/>
                <w:bCs/>
              </w:rPr>
              <w:t>References</w:t>
            </w:r>
          </w:p>
          <w:p w14:paraId="78DBFF64" w14:textId="5E2EDBB4" w:rsidR="00DB0F9C" w:rsidRDefault="009C6903" w:rsidP="00DB0F9C">
            <w:pPr>
              <w:pStyle w:val="BoxReferences"/>
              <w:rPr>
                <w:rFonts w:ascii="Calibri" w:hAnsi="Calibri" w:cs="Calibri"/>
              </w:rPr>
            </w:pPr>
            <w:r>
              <w:rPr>
                <w:rFonts w:ascii="Calibri" w:hAnsi="Calibri" w:cs="Calibri"/>
              </w:rPr>
              <w:lastRenderedPageBreak/>
              <w:t>METI (</w:t>
            </w:r>
            <w:r w:rsidR="00DB0F9C">
              <w:rPr>
                <w:rFonts w:ascii="Calibri" w:hAnsi="Calibri" w:cs="Calibri"/>
              </w:rPr>
              <w:t xml:space="preserve">Japan Ministry of Economy, Trade and Industry). 2011. </w:t>
            </w:r>
            <w:r w:rsidR="00DB0F9C">
              <w:rPr>
                <w:rFonts w:ascii="Calibri" w:hAnsi="Calibri" w:cs="Calibri"/>
                <w:i/>
                <w:iCs/>
              </w:rPr>
              <w:t>White Paper on International Economy and Trade,</w:t>
            </w:r>
            <w:r w:rsidR="00DB0F9C">
              <w:rPr>
                <w:rFonts w:ascii="Calibri" w:hAnsi="Calibri" w:cs="Calibri"/>
              </w:rPr>
              <w:t xml:space="preserve"> </w:t>
            </w:r>
            <w:r w:rsidR="00DB0F9C" w:rsidRPr="00FC5DAE">
              <w:rPr>
                <w:rFonts w:ascii="Calibri" w:hAnsi="Calibri" w:cs="Calibri"/>
                <w:i/>
                <w:iCs/>
              </w:rPr>
              <w:t>Supplementary Notes</w:t>
            </w:r>
            <w:r w:rsidR="00DB0F9C">
              <w:rPr>
                <w:rFonts w:ascii="Calibri" w:hAnsi="Calibri" w:cs="Calibri"/>
              </w:rPr>
              <w:t xml:space="preserve">. Retrieved from </w:t>
            </w:r>
            <w:r w:rsidR="00DB0F9C" w:rsidRPr="00303E94">
              <w:rPr>
                <w:rFonts w:ascii="Calibri" w:hAnsi="Calibri" w:cs="Calibri"/>
              </w:rPr>
              <w:t>https://www.meti.go.jp/english/report/data/gWT2011fe.html</w:t>
            </w:r>
            <w:r w:rsidR="00DB0F9C">
              <w:rPr>
                <w:rFonts w:ascii="Calibri" w:hAnsi="Calibri" w:cs="Calibri"/>
              </w:rPr>
              <w:t>.</w:t>
            </w:r>
            <w:r w:rsidR="00DB0F9C">
              <w:t xml:space="preserve"> </w:t>
            </w:r>
          </w:p>
          <w:p w14:paraId="2AE19CC2" w14:textId="5003E3DF" w:rsidR="00DB0F9C" w:rsidRDefault="00A84956" w:rsidP="00DB0F9C">
            <w:pPr>
              <w:pStyle w:val="BoxReferences"/>
              <w:rPr>
                <w:rFonts w:ascii="Calibri" w:hAnsi="Calibri" w:cs="Calibri"/>
              </w:rPr>
            </w:pPr>
            <w:r>
              <w:rPr>
                <w:rFonts w:ascii="Calibri" w:hAnsi="Calibri" w:cs="Calibri"/>
              </w:rPr>
              <w:t>WTO (</w:t>
            </w:r>
            <w:r w:rsidR="00DB0F9C">
              <w:rPr>
                <w:rFonts w:ascii="Calibri" w:hAnsi="Calibri" w:cs="Calibri"/>
              </w:rPr>
              <w:t xml:space="preserve">World Trade Organization). 2011a. </w:t>
            </w:r>
            <w:r w:rsidR="00DB0F9C" w:rsidRPr="00AC1D38">
              <w:rPr>
                <w:rFonts w:ascii="Calibri" w:hAnsi="Calibri" w:cs="Calibri"/>
                <w:i/>
                <w:iCs/>
              </w:rPr>
              <w:t>World Trade Report 2011: The WTO and Preferential Trade Agreements: From Co-Existence to Coherence</w:t>
            </w:r>
            <w:r w:rsidR="00DB0F9C">
              <w:rPr>
                <w:rFonts w:ascii="Calibri" w:hAnsi="Calibri" w:cs="Calibri"/>
              </w:rPr>
              <w:t xml:space="preserve">. Geneva, Switzerland: World Trade Organization. </w:t>
            </w:r>
          </w:p>
          <w:p w14:paraId="738DBD0D" w14:textId="2C479B04" w:rsidR="00DF3694" w:rsidRDefault="00DB0F9C" w:rsidP="00DB0F9C">
            <w:pPr>
              <w:pStyle w:val="BoxReferences"/>
            </w:pPr>
            <w:r>
              <w:rPr>
                <w:rFonts w:ascii="Calibri" w:hAnsi="Calibri" w:cs="Calibri"/>
              </w:rPr>
              <w:t xml:space="preserve">WTO. 2011b. </w:t>
            </w:r>
            <w:r w:rsidRPr="007F2153">
              <w:rPr>
                <w:rFonts w:ascii="Calibri" w:hAnsi="Calibri" w:cs="Calibri"/>
                <w:i/>
                <w:iCs/>
              </w:rPr>
              <w:t>Trade Patterns and Global Value Chains in East Asia: From Trade in Goods to Trade in Tasks</w:t>
            </w:r>
            <w:r>
              <w:rPr>
                <w:rFonts w:ascii="Calibri" w:hAnsi="Calibri" w:cs="Calibri"/>
              </w:rPr>
              <w:t>. Geneva, Switzerland: World Trade Organization.</w:t>
            </w:r>
          </w:p>
        </w:tc>
      </w:tr>
    </w:tbl>
    <w:p w14:paraId="1C8FE35E" w14:textId="704BF3D2" w:rsidR="00DF3694" w:rsidRDefault="00DF3694" w:rsidP="008604A7"/>
    <w:p w14:paraId="6B0993EC" w14:textId="0B653D3A" w:rsidR="00BA7CE6" w:rsidRDefault="00135E17" w:rsidP="008604A7">
      <w:r>
        <w:t xml:space="preserve">The skyline chart for </w:t>
      </w:r>
      <w:r w:rsidR="00D46118">
        <w:t>SAARC</w:t>
      </w:r>
      <w:r>
        <w:t xml:space="preserve"> </w:t>
      </w:r>
      <w:r w:rsidR="00921C5C">
        <w:t xml:space="preserve">using 2020 data </w:t>
      </w:r>
      <w:r>
        <w:t xml:space="preserve">is presented in </w:t>
      </w:r>
      <w:fldSimple w:instr=" REF _Ref79240726 ">
        <w:r w:rsidR="00D57A44">
          <w:t xml:space="preserve">Figure </w:t>
        </w:r>
        <w:r w:rsidR="00D57A44">
          <w:rPr>
            <w:noProof/>
            <w:cs/>
          </w:rPr>
          <w:t>‎</w:t>
        </w:r>
        <w:r w:rsidR="00D57A44">
          <w:rPr>
            <w:noProof/>
          </w:rPr>
          <w:t>5</w:t>
        </w:r>
        <w:r w:rsidR="00D57A44">
          <w:t>.</w:t>
        </w:r>
        <w:r w:rsidR="00D57A44">
          <w:rPr>
            <w:noProof/>
          </w:rPr>
          <w:t>2</w:t>
        </w:r>
      </w:fldSimple>
      <w:r w:rsidR="0070728B">
        <w:t xml:space="preserve">. </w:t>
      </w:r>
      <w:r w:rsidR="00BD7DF3">
        <w:t xml:space="preserve">The economic structure of its members is evident in the large shares attributable to agriculture, for which the region is just about self-sufficient in. </w:t>
      </w:r>
      <w:r w:rsidR="00C33518">
        <w:t xml:space="preserve">Its most </w:t>
      </w:r>
      <w:r w:rsidR="00EC627D">
        <w:t xml:space="preserve">export-oriented sector is unsurprisingly textiles, for which output is 1.5 times the amount the region demands. </w:t>
      </w:r>
      <w:r w:rsidR="002401D9">
        <w:t xml:space="preserve">Another major sector is “other business </w:t>
      </w:r>
      <w:r w:rsidR="0095739B">
        <w:t>activities</w:t>
      </w:r>
      <w:r w:rsidR="002401D9">
        <w:t>”</w:t>
      </w:r>
      <w:r w:rsidR="00921C5C">
        <w:t xml:space="preserve">, though this is likely driven solely by India, whose business process outsourcing sector is </w:t>
      </w:r>
      <w:r w:rsidR="009F65A6">
        <w:t xml:space="preserve">a global powerhouse. </w:t>
      </w:r>
    </w:p>
    <w:p w14:paraId="072BE98C" w14:textId="3E7180A6" w:rsidR="007B5BD3" w:rsidRDefault="005E2E6D" w:rsidP="007B5BD3">
      <w:pPr>
        <w:pStyle w:val="Caption"/>
      </w:pPr>
      <w:bookmarkStart w:id="72" w:name="_Ref79240726"/>
      <w:bookmarkStart w:id="73" w:name="_Toc83849817"/>
      <w:r>
        <w:rPr>
          <w:noProof/>
        </w:rPr>
        <w:drawing>
          <wp:anchor distT="0" distB="0" distL="114300" distR="114300" simplePos="0" relativeHeight="251719680" behindDoc="0" locked="0" layoutInCell="1" allowOverlap="1" wp14:anchorId="11A8A1C0" wp14:editId="31516E7E">
            <wp:simplePos x="0" y="0"/>
            <wp:positionH relativeFrom="margin">
              <wp:align>center</wp:align>
            </wp:positionH>
            <wp:positionV relativeFrom="paragraph">
              <wp:posOffset>404116</wp:posOffset>
            </wp:positionV>
            <wp:extent cx="5731510" cy="358076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anchor>
        </w:drawing>
      </w:r>
      <w:r w:rsidR="007B5BD3">
        <w:t xml:space="preserve">Figure </w:t>
      </w:r>
      <w:fldSimple w:instr=" STYLEREF 1 \s ">
        <w:r w:rsidR="00D57A44">
          <w:rPr>
            <w:noProof/>
            <w:cs/>
          </w:rPr>
          <w:t>‎</w:t>
        </w:r>
        <w:r w:rsidR="00D57A44">
          <w:rPr>
            <w:noProof/>
          </w:rPr>
          <w:t>5</w:t>
        </w:r>
      </w:fldSimple>
      <w:r w:rsidR="003F26C2">
        <w:t>.</w:t>
      </w:r>
      <w:fldSimple w:instr=" SEQ Figure \* ARABIC \s 1 ">
        <w:r w:rsidR="00D57A44">
          <w:rPr>
            <w:noProof/>
          </w:rPr>
          <w:t>2</w:t>
        </w:r>
      </w:fldSimple>
      <w:bookmarkEnd w:id="72"/>
      <w:r w:rsidR="007B5BD3">
        <w:t>: Skyline</w:t>
      </w:r>
      <w:r w:rsidR="0071792E">
        <w:t xml:space="preserve"> Chart</w:t>
      </w:r>
      <w:r w:rsidR="007B5BD3">
        <w:t xml:space="preserve"> for the </w:t>
      </w:r>
      <w:r w:rsidR="00242805">
        <w:t>SAARC</w:t>
      </w:r>
      <w:r w:rsidR="008E40B5">
        <w:t xml:space="preserve"> </w:t>
      </w:r>
      <w:r w:rsidR="002867C4">
        <w:t>Countries</w:t>
      </w:r>
      <w:r w:rsidR="007B5BD3">
        <w:t>, 2020</w:t>
      </w:r>
      <w:bookmarkEnd w:id="73"/>
    </w:p>
    <w:p w14:paraId="6E1D713B" w14:textId="10C3CFE9" w:rsidR="00A12895" w:rsidRDefault="00A12895" w:rsidP="00A12895">
      <w:pPr>
        <w:pStyle w:val="NotesAbbreviations"/>
      </w:pPr>
      <w:r>
        <w:t>AHF = agriculture, hunting, forestry and fishing; CCP = chemicals and chemical products; CON = construction; CRP = coke, refined petroleum and nuclear fuel; EDU = education; EOE = electrical and optical equipment; FBT = food, beverages and tobacco; FIN = financial intermediation; HRS = hotels and restaurants; HSW = health and social work; ITR = inland transport; MCH = machinery, not elsewhere classified; MFM = basic metals and fabricated metal; OBA = renting of machinery &amp; equipment and other business activities; ONM = other non-metallic mineral; OSV = other community, social and personal services; PAD = public administration and defense; compulsory social security; REA = real estate activities; RTR = retail trade and repair, except of motor vehicles and motorcycles;</w:t>
      </w:r>
      <w:r w:rsidR="00BF3DFC">
        <w:t xml:space="preserve"> SAARC = South Asian Association for Regional Cooperation;</w:t>
      </w:r>
      <w:r>
        <w:t xml:space="preserve"> TEL = post and telecommunications; TEX = textiles and textile products; TRE = transport equipment; UTL = electricity, gas and water supply; WST = wholesale trade, except of motor vehicles and motorcycles. </w:t>
      </w:r>
    </w:p>
    <w:p w14:paraId="5497E243" w14:textId="063B8A9F" w:rsidR="003057B9" w:rsidRPr="00DE17AF" w:rsidRDefault="003057B9" w:rsidP="00A12895">
      <w:pPr>
        <w:pStyle w:val="Notes"/>
      </w:pPr>
      <w:r w:rsidRPr="00DE17AF">
        <w:t>Notes:</w:t>
      </w:r>
      <w:r w:rsidRPr="00DE17AF">
        <w:tab/>
      </w:r>
      <w:r w:rsidR="006B23C5" w:rsidRPr="00DE17AF">
        <w:t xml:space="preserve">The </w:t>
      </w:r>
      <w:r w:rsidR="008C161F">
        <w:t>South Asian Association for Regional Cooperation</w:t>
      </w:r>
      <w:r w:rsidR="008C161F" w:rsidRPr="00DE17AF">
        <w:t xml:space="preserve"> </w:t>
      </w:r>
      <w:r w:rsidRPr="00DE17AF">
        <w:t xml:space="preserve">includes </w:t>
      </w:r>
      <w:r w:rsidR="006B23C5" w:rsidRPr="00DE17AF">
        <w:t xml:space="preserve">Afghanistan, </w:t>
      </w:r>
      <w:r w:rsidRPr="00DE17AF">
        <w:t>Bangladesh, Bhutan, Sri Lanka, India, Maldives, Nepal, and Pakistan</w:t>
      </w:r>
      <w:r w:rsidR="006B23C5" w:rsidRPr="00DE17AF">
        <w:t>. However,</w:t>
      </w:r>
      <w:r w:rsidRPr="00DE17AF">
        <w:t xml:space="preserve"> Afghanistan</w:t>
      </w:r>
      <w:r w:rsidR="006B23C5" w:rsidRPr="00DE17AF">
        <w:t xml:space="preserve"> is excluded from the chart due to missing data</w:t>
      </w:r>
      <w:r w:rsidRPr="00DE17AF">
        <w:t xml:space="preserve">. </w:t>
      </w:r>
    </w:p>
    <w:p w14:paraId="4286A402" w14:textId="0AE4F059" w:rsidR="00CD1401" w:rsidRPr="00DE17AF" w:rsidRDefault="00C84C9F" w:rsidP="00C84C9F">
      <w:pPr>
        <w:pStyle w:val="NotesBottom"/>
      </w:pPr>
      <w:r>
        <w:lastRenderedPageBreak/>
        <w:t xml:space="preserve">Sources: </w:t>
      </w:r>
      <w:r>
        <w:tab/>
        <w:t xml:space="preserve">Asian Development Bank. Multiregional Input–Output Database. </w:t>
      </w:r>
      <w:r w:rsidRPr="0004229A">
        <w:t>https://mrio.adbx.online</w:t>
      </w:r>
      <w:r>
        <w:t xml:space="preserve"> (accessed 1 August 2021);</w:t>
      </w:r>
      <w:r w:rsidRPr="008F0425">
        <w:t xml:space="preserve"> </w:t>
      </w:r>
      <w:r>
        <w:t>Asian Development Bank estimates.</w:t>
      </w:r>
    </w:p>
    <w:p w14:paraId="4E9DC0AB" w14:textId="4E3F800B" w:rsidR="00E175A4" w:rsidRDefault="00E175A4" w:rsidP="00E175A4">
      <w:r>
        <w:t xml:space="preserve">Apart from textiles, construction, and some other relatively small sectors, SAARC’s manufacturing demand is dependent on imports. Its output in metals, electricals, transport equipment, and other machinery meet just 80% of its own demand, a far cry from the surpluses generated in other regions like ASEAN who use these exports to fuel growth. While textiles have come to serve this function for the SAARC </w:t>
      </w:r>
      <w:r w:rsidR="00AD143D">
        <w:t>countries</w:t>
      </w:r>
      <w:r>
        <w:t xml:space="preserve">, their role in this sector have remained in the relatively low-value-adding segments (see chapter 3). </w:t>
      </w:r>
      <w:fldSimple w:instr=" REF _Ref79240726 ">
        <w:r w:rsidR="00D57A44">
          <w:t xml:space="preserve">Figure </w:t>
        </w:r>
        <w:r w:rsidR="00D57A44">
          <w:rPr>
            <w:noProof/>
            <w:cs/>
          </w:rPr>
          <w:t>‎</w:t>
        </w:r>
        <w:r w:rsidR="00D57A44">
          <w:rPr>
            <w:noProof/>
          </w:rPr>
          <w:t>5</w:t>
        </w:r>
        <w:r w:rsidR="00D57A44">
          <w:t>.</w:t>
        </w:r>
        <w:r w:rsidR="00D57A44">
          <w:rPr>
            <w:noProof/>
          </w:rPr>
          <w:t>2</w:t>
        </w:r>
      </w:fldSimple>
      <w:r>
        <w:t xml:space="preserve">, then, provides a clear picture of the challenges facing SAARC should it strive for a larger export sector. </w:t>
      </w:r>
    </w:p>
    <w:p w14:paraId="5FBA4DD1" w14:textId="77777777" w:rsidR="006420CA" w:rsidRDefault="006420CA" w:rsidP="00E175A4"/>
    <w:p w14:paraId="676D8A45" w14:textId="44A6F0CF" w:rsidR="00334CC1" w:rsidRDefault="00334CC1" w:rsidP="00334CC1">
      <w:pPr>
        <w:pStyle w:val="Heading2"/>
      </w:pPr>
      <w:bookmarkStart w:id="74" w:name="_Toc83849792"/>
      <w:r>
        <w:t>Agglomeration</w:t>
      </w:r>
      <w:bookmarkEnd w:id="74"/>
    </w:p>
    <w:p w14:paraId="579BD955" w14:textId="04BA453C" w:rsidR="00781E09" w:rsidRDefault="00781E09" w:rsidP="00781E09">
      <w:r>
        <w:t>Domestic linkages add a layer of complexity in a</w:t>
      </w:r>
      <w:r w:rsidR="00CF00EF">
        <w:t xml:space="preserve"> country</w:t>
      </w:r>
      <w:r>
        <w:t xml:space="preserve">’s role in GVCs. In a highly integrated global economy, domestic sectors contribute either through intermediate inputs later consumed by other sectors or through a domestic sector’s demand for inputs from other sectors. However, indicators of GVCs do not typically capture the indirect contribution of domestic sectors (Mercer-Blackman, et al. 2017; Bernard, et al. 2007). </w:t>
      </w:r>
    </w:p>
    <w:p w14:paraId="01E25CA6" w14:textId="2E3C83E4" w:rsidR="00781E09" w:rsidRDefault="00781E09" w:rsidP="00781E09">
      <w:r>
        <w:t xml:space="preserve">In Pakistan, domestic linkages play a significant role. </w:t>
      </w:r>
      <w:r w:rsidR="00CF00EF">
        <w:t xml:space="preserve">As shown in chapter 2, the country </w:t>
      </w:r>
      <w:r>
        <w:t>is less integrated in global production networks relative to its regional neighbors (</w:t>
      </w:r>
      <w:r w:rsidR="00CF00EF">
        <w:t xml:space="preserve">see also </w:t>
      </w:r>
      <w:r>
        <w:t>State Bank of Pakistan 2020). Most production activities remain concentrated in the domestic market,</w:t>
      </w:r>
      <w:r w:rsidR="00051658">
        <w:t xml:space="preserve"> a result of </w:t>
      </w:r>
      <w:r>
        <w:t>policies that seek to increase domestic value added (DVA) in the economy (Dollar</w:t>
      </w:r>
      <w:r w:rsidR="00051658">
        <w:t>,</w:t>
      </w:r>
      <w:r>
        <w:t xml:space="preserve"> et al. 2020). For example, Pakistan’s tariff structure is designed to promote exports in key sectors while protecting local industries, </w:t>
      </w:r>
      <w:r w:rsidR="00051658">
        <w:t xml:space="preserve">incentivizing </w:t>
      </w:r>
      <w:r>
        <w:t xml:space="preserve">manufacturers to source their inputs locally (Nasir 2020). </w:t>
      </w:r>
    </w:p>
    <w:p w14:paraId="47ED7178" w14:textId="4F38AD87" w:rsidR="00781E09" w:rsidRDefault="00781E09" w:rsidP="00781E09">
      <w:r>
        <w:t>Pakistan’s textile industry illustrates the concentration of activities in the domestic economy. Like Bangladesh, textile</w:t>
      </w:r>
      <w:r w:rsidR="003139C3">
        <w:t>s</w:t>
      </w:r>
      <w:r>
        <w:t xml:space="preserve"> </w:t>
      </w:r>
      <w:r w:rsidR="003139C3">
        <w:t xml:space="preserve">are </w:t>
      </w:r>
      <w:r>
        <w:t xml:space="preserve">the largest exporting sector in Pakistan. Despite this, the performance of the sector differs between the two </w:t>
      </w:r>
      <w:r w:rsidR="003139C3">
        <w:t>countries</w:t>
      </w:r>
      <w:r>
        <w:t>. The DVA for the textile</w:t>
      </w:r>
      <w:r w:rsidR="003139C3">
        <w:t>s</w:t>
      </w:r>
      <w:r>
        <w:t xml:space="preserve"> sector in Pakistan was at 80</w:t>
      </w:r>
      <w:r w:rsidR="003139C3">
        <w:t xml:space="preserve">% </w:t>
      </w:r>
      <w:r>
        <w:t>in 2016, in contrast to 64.5</w:t>
      </w:r>
      <w:r w:rsidR="003139C3">
        <w:t xml:space="preserve">% </w:t>
      </w:r>
      <w:r>
        <w:t>of Bangladesh. However, exports of textile</w:t>
      </w:r>
      <w:r w:rsidR="003139C3">
        <w:t>s</w:t>
      </w:r>
      <w:r>
        <w:t xml:space="preserve"> in Bangladesh exhibit a higher growth </w:t>
      </w:r>
      <w:r w:rsidR="003139C3">
        <w:t xml:space="preserve">rate </w:t>
      </w:r>
      <w:r>
        <w:t>compared to Pakistan (Dollar</w:t>
      </w:r>
      <w:r w:rsidR="003139C3">
        <w:t>,</w:t>
      </w:r>
      <w:r>
        <w:t xml:space="preserve"> et al. 2020). </w:t>
      </w:r>
    </w:p>
    <w:p w14:paraId="1DEEEC51" w14:textId="4D9EF236" w:rsidR="00781E09" w:rsidRDefault="00781E09" w:rsidP="00781E09">
      <w:r>
        <w:t>The dominance of DVA for Pakistan’s textile</w:t>
      </w:r>
      <w:r w:rsidR="003139C3">
        <w:t>s</w:t>
      </w:r>
      <w:r>
        <w:t xml:space="preserve"> sector arises from barriers to trade. Tariffs on intermediates are at 8</w:t>
      </w:r>
      <w:r w:rsidR="0057626E">
        <w:t>%</w:t>
      </w:r>
      <w:r>
        <w:t>, four times higher than that of East Asia</w:t>
      </w:r>
      <w:r w:rsidR="0057626E">
        <w:t>’s average</w:t>
      </w:r>
      <w:r>
        <w:t xml:space="preserve">. High tariffs </w:t>
      </w:r>
      <w:r w:rsidR="0057626E">
        <w:t xml:space="preserve">discourage the </w:t>
      </w:r>
      <w:r>
        <w:t>import</w:t>
      </w:r>
      <w:r w:rsidR="0057626E">
        <w:t>s of</w:t>
      </w:r>
      <w:r>
        <w:t xml:space="preserve"> intermediate inputs. While there are existing tax concessions for selected sectors in imported inputs, availing these concessions remain difficult in practice (Nasir 2020</w:t>
      </w:r>
      <w:r w:rsidR="0057626E">
        <w:t>;</w:t>
      </w:r>
      <w:r>
        <w:t xml:space="preserve"> World Bank 2020). It is not surprising, therefore, to find that textile</w:t>
      </w:r>
      <w:r w:rsidR="0057626E">
        <w:t>s</w:t>
      </w:r>
      <w:r>
        <w:t xml:space="preserve"> exporters in Pakistan continue to rely on domestic sources for their inputs (World Bank 2020). </w:t>
      </w:r>
    </w:p>
    <w:p w14:paraId="1F365247" w14:textId="62452CC8" w:rsidR="00781E09" w:rsidRDefault="00781E09" w:rsidP="00781E09">
      <w:r>
        <w:lastRenderedPageBreak/>
        <w:t>The economic implications of domestic linkages are not straightforward. On the one hand, strong domestic linkages imply spillovers from sectors interlinked with the rest of the world to sectors whose activities are mostly concentrated in the home country. Thus, strong domestic linkages are associated with gains from participating in GVCs (Banga 2014). On the other hand, strong domestic linkages may result from policies that encourage sectors to source inputs from the domestic economy. This, in turn, impl</w:t>
      </w:r>
      <w:r w:rsidR="00147EE8">
        <w:t>ies</w:t>
      </w:r>
      <w:r>
        <w:t xml:space="preserve"> less reliance in international trade, resulting in a “reshoring” of activities back to the domestic economy.</w:t>
      </w:r>
    </w:p>
    <w:p w14:paraId="057FC240" w14:textId="53FC88AD" w:rsidR="00781E09" w:rsidRDefault="00781E09" w:rsidP="00103454">
      <w:r>
        <w:t xml:space="preserve">Developing a measure of domestic linkages becomes critical in examining how concentration of economic activities in the domestic economy evolves, on the aggregate and at a sector level. Earlier measures use output multipliers to measure </w:t>
      </w:r>
      <w:r w:rsidR="00103454">
        <w:t xml:space="preserve">the </w:t>
      </w:r>
      <w:r>
        <w:t>strength of domestic linkages (Jones 2011</w:t>
      </w:r>
      <w:r w:rsidR="00103454">
        <w:t>;</w:t>
      </w:r>
      <w:r>
        <w:t xml:space="preserve"> </w:t>
      </w:r>
      <w:proofErr w:type="spellStart"/>
      <w:r>
        <w:t>Bartelme</w:t>
      </w:r>
      <w:proofErr w:type="spellEnd"/>
      <w:r>
        <w:t xml:space="preserve"> </w:t>
      </w:r>
      <w:r w:rsidR="00103454">
        <w:t>and</w:t>
      </w:r>
      <w:r>
        <w:t xml:space="preserve"> </w:t>
      </w:r>
      <w:proofErr w:type="spellStart"/>
      <w:r>
        <w:t>Gorodnichenko</w:t>
      </w:r>
      <w:proofErr w:type="spellEnd"/>
      <w:r>
        <w:t xml:space="preserve"> 2015). More recent measures use </w:t>
      </w:r>
      <w:r w:rsidR="00103454">
        <w:t xml:space="preserve">either </w:t>
      </w:r>
      <w:r>
        <w:t xml:space="preserve">the imported inputs ratio in the manufacturing sector or </w:t>
      </w:r>
      <w:r w:rsidR="00103454">
        <w:t xml:space="preserve">the </w:t>
      </w:r>
      <w:r>
        <w:t xml:space="preserve">indirect value added in exports (Kearney 2021; Tang, Wei, and Wang 2020). However, </w:t>
      </w:r>
      <w:r w:rsidR="00D5311F">
        <w:t xml:space="preserve">these </w:t>
      </w:r>
      <w:r>
        <w:t>are either limited to specific sectors or challenging to implement.</w:t>
      </w:r>
    </w:p>
    <w:p w14:paraId="00FA3EDA" w14:textId="2ABA912D" w:rsidR="00334CC1" w:rsidRDefault="00781E09" w:rsidP="00781E09">
      <w:r>
        <w:t>This section ad</w:t>
      </w:r>
      <w:r w:rsidR="009F0504">
        <w:t>a</w:t>
      </w:r>
      <w:r>
        <w:t xml:space="preserve">pts the concept of agglomeration </w:t>
      </w:r>
      <w:r w:rsidR="009F0504">
        <w:t xml:space="preserve">for </w:t>
      </w:r>
      <w:r>
        <w:t>GVCs by measuring domestic linkages as the tendency of economic activities to “locate” domestically. Specifically, the agglomeration index proposed here measures how much value</w:t>
      </w:r>
      <w:r w:rsidR="009F0504">
        <w:t xml:space="preserve"> </w:t>
      </w:r>
      <w:r>
        <w:t xml:space="preserve">added is sourced from and/or absorbed by domestic sectors relative to the rest of the world. A discussion on how the index is constructed is provided in </w:t>
      </w:r>
      <w:fldSimple w:instr=" REF _Ref83846872 ">
        <w:r w:rsidR="00D57A44">
          <w:t xml:space="preserve">Box </w:t>
        </w:r>
        <w:r w:rsidR="00D57A44">
          <w:rPr>
            <w:noProof/>
          </w:rPr>
          <w:t>9</w:t>
        </w:r>
      </w:fldSimple>
      <w:r>
        <w:t>.</w:t>
      </w:r>
    </w:p>
    <w:tbl>
      <w:tblPr>
        <w:tblStyle w:val="TableGrid"/>
        <w:tblW w:w="0" w:type="auto"/>
        <w:tblLook w:val="04A0" w:firstRow="1" w:lastRow="0" w:firstColumn="1" w:lastColumn="0" w:noHBand="0" w:noVBand="1"/>
      </w:tblPr>
      <w:tblGrid>
        <w:gridCol w:w="9016"/>
      </w:tblGrid>
      <w:tr w:rsidR="005B3D0B" w14:paraId="56AF4C4D" w14:textId="77777777" w:rsidTr="005B3D0B">
        <w:tc>
          <w:tcPr>
            <w:tcW w:w="9016" w:type="dxa"/>
          </w:tcPr>
          <w:p w14:paraId="745D0719" w14:textId="1AE70C42" w:rsidR="005B3D0B" w:rsidRDefault="005B3D0B" w:rsidP="005B3D0B">
            <w:pPr>
              <w:pStyle w:val="Caption"/>
            </w:pPr>
            <w:bookmarkStart w:id="75" w:name="_Ref83846872"/>
            <w:bookmarkStart w:id="76" w:name="_Toc139902368"/>
            <w:r>
              <w:t xml:space="preserve">Box </w:t>
            </w:r>
            <w:fldSimple w:instr=" SEQ Box \* ARABIC ">
              <w:r w:rsidR="00D57A44">
                <w:rPr>
                  <w:noProof/>
                </w:rPr>
                <w:t>9</w:t>
              </w:r>
            </w:fldSimple>
            <w:bookmarkEnd w:id="75"/>
            <w:r>
              <w:t>: Constructing the Agglomeration Index</w:t>
            </w:r>
            <w:bookmarkEnd w:id="76"/>
          </w:p>
          <w:p w14:paraId="57F68B8A" w14:textId="77777777" w:rsidR="005B3D0B" w:rsidRDefault="005B3D0B" w:rsidP="00A530DE">
            <w:pPr>
              <w:pStyle w:val="Box"/>
              <w:rPr>
                <w:iCs/>
                <w:lang w:val="en-PH"/>
              </w:rPr>
            </w:pPr>
            <w:r w:rsidRPr="005F3912">
              <w:rPr>
                <w:lang w:val="en-PH"/>
              </w:rPr>
              <w:t xml:space="preserve">Assume that  </w:t>
            </w:r>
            <m:oMath>
              <m:r>
                <m:rPr>
                  <m:sty m:val="b"/>
                </m:rPr>
                <w:rPr>
                  <w:rFonts w:ascii="Cambria Math" w:hAnsi="Cambria Math"/>
                  <w:lang w:val="en-PH"/>
                </w:rPr>
                <m:t>v</m:t>
              </m:r>
            </m:oMath>
            <w:r w:rsidRPr="005F3912">
              <w:rPr>
                <w:lang w:val="en-PH"/>
              </w:rPr>
              <w:t xml:space="preserve"> is the vector of value-added coefficients and </w:t>
            </w:r>
            <m:oMath>
              <m:sSup>
                <m:sSupPr>
                  <m:ctrlPr>
                    <w:rPr>
                      <w:rFonts w:ascii="Cambria Math" w:hAnsi="Cambria Math"/>
                      <w:b/>
                      <w:bCs/>
                      <w:i/>
                      <w:iCs/>
                      <w:lang w:val="en-PH"/>
                    </w:rPr>
                  </m:ctrlPr>
                </m:sSupPr>
                <m:e>
                  <m:r>
                    <m:rPr>
                      <m:sty m:val="b"/>
                    </m:rPr>
                    <w:rPr>
                      <w:rFonts w:ascii="Cambria Math" w:hAnsi="Cambria Math"/>
                      <w:lang w:val="en-PH"/>
                    </w:rPr>
                    <m:t>y</m:t>
                  </m:r>
                  <m:ctrlPr>
                    <w:rPr>
                      <w:rFonts w:ascii="Cambria Math" w:hAnsi="Cambria Math"/>
                      <w:b/>
                      <w:bCs/>
                      <w:iCs/>
                      <w:lang w:val="en-PH"/>
                    </w:rPr>
                  </m:ctrlPr>
                </m:e>
                <m:sup>
                  <m:r>
                    <w:rPr>
                      <w:rFonts w:ascii="Cambria Math" w:hAnsi="Cambria Math"/>
                      <w:lang w:val="en-PH"/>
                    </w:rPr>
                    <m:t>d</m:t>
                  </m:r>
                </m:sup>
              </m:sSup>
            </m:oMath>
            <w:r w:rsidRPr="005F3912">
              <w:rPr>
                <w:lang w:val="en-PH"/>
              </w:rPr>
              <w:t xml:space="preserve"> be the vector of domestic final good sales. Denote </w:t>
            </w:r>
            <m:oMath>
              <m:sSup>
                <m:sSupPr>
                  <m:ctrlPr>
                    <w:rPr>
                      <w:rFonts w:ascii="Cambria Math" w:hAnsi="Cambria Math"/>
                      <w:b/>
                      <w:bCs/>
                      <w:iCs/>
                      <w:lang w:val="en-PH"/>
                    </w:rPr>
                  </m:ctrlPr>
                </m:sSupPr>
                <m:e>
                  <m:r>
                    <m:rPr>
                      <m:sty m:val="b"/>
                    </m:rPr>
                    <w:rPr>
                      <w:rFonts w:ascii="Cambria Math" w:hAnsi="Cambria Math"/>
                      <w:lang w:val="en-PH"/>
                    </w:rPr>
                    <m:t>A</m:t>
                  </m:r>
                </m:e>
                <m:sup>
                  <m:r>
                    <w:rPr>
                      <w:rFonts w:ascii="Cambria Math" w:hAnsi="Cambria Math"/>
                      <w:lang w:val="en-PH"/>
                    </w:rPr>
                    <m:t>d</m:t>
                  </m:r>
                </m:sup>
              </m:sSup>
            </m:oMath>
            <w:r w:rsidRPr="005F3912">
              <w:rPr>
                <w:iCs/>
                <w:lang w:val="en-PH"/>
              </w:rPr>
              <w:t xml:space="preserve"> as the matrix of domestic technical coefficients and </w:t>
            </w:r>
            <m:oMath>
              <m:sSup>
                <m:sSupPr>
                  <m:ctrlPr>
                    <w:rPr>
                      <w:rFonts w:ascii="Cambria Math" w:hAnsi="Cambria Math"/>
                      <w:b/>
                      <w:bCs/>
                      <w:iCs/>
                      <w:lang w:val="en-PH"/>
                    </w:rPr>
                  </m:ctrlPr>
                </m:sSupPr>
                <m:e>
                  <m:r>
                    <m:rPr>
                      <m:sty m:val="b"/>
                    </m:rPr>
                    <w:rPr>
                      <w:rFonts w:ascii="Cambria Math" w:hAnsi="Cambria Math"/>
                      <w:lang w:val="en-PH"/>
                    </w:rPr>
                    <m:t>B</m:t>
                  </m:r>
                </m:e>
                <m:sup>
                  <m:r>
                    <w:rPr>
                      <w:rFonts w:ascii="Cambria Math" w:hAnsi="Cambria Math"/>
                      <w:lang w:val="en-PH"/>
                    </w:rPr>
                    <m:t>d</m:t>
                  </m:r>
                </m:sup>
              </m:sSup>
              <m:r>
                <w:rPr>
                  <w:rFonts w:ascii="Cambria Math" w:hAnsi="Cambria Math"/>
                  <w:lang w:val="en-PH"/>
                </w:rPr>
                <m:t>≡</m:t>
              </m:r>
              <m:sSup>
                <m:sSupPr>
                  <m:ctrlPr>
                    <w:rPr>
                      <w:rFonts w:ascii="Cambria Math" w:hAnsi="Cambria Math"/>
                      <w:i/>
                      <w:iCs/>
                      <w:lang w:val="en-PH"/>
                    </w:rPr>
                  </m:ctrlPr>
                </m:sSupPr>
                <m:e>
                  <m:d>
                    <m:dPr>
                      <m:ctrlPr>
                        <w:rPr>
                          <w:rFonts w:ascii="Cambria Math" w:hAnsi="Cambria Math"/>
                          <w:i/>
                          <w:iCs/>
                          <w:lang w:val="en-PH"/>
                        </w:rPr>
                      </m:ctrlPr>
                    </m:dPr>
                    <m:e>
                      <m:r>
                        <m:rPr>
                          <m:sty m:val="b"/>
                        </m:rPr>
                        <w:rPr>
                          <w:rFonts w:ascii="Cambria Math" w:hAnsi="Cambria Math"/>
                          <w:lang w:val="en-PH"/>
                        </w:rPr>
                        <m:t>I</m:t>
                      </m:r>
                      <m:r>
                        <w:rPr>
                          <w:rFonts w:ascii="Cambria Math" w:hAnsi="Cambria Math"/>
                          <w:lang w:val="en-PH"/>
                        </w:rPr>
                        <m:t>-</m:t>
                      </m:r>
                      <m:sSup>
                        <m:sSupPr>
                          <m:ctrlPr>
                            <w:rPr>
                              <w:rFonts w:ascii="Cambria Math" w:hAnsi="Cambria Math"/>
                              <w:i/>
                              <w:iCs/>
                              <w:lang w:val="en-PH"/>
                            </w:rPr>
                          </m:ctrlPr>
                        </m:sSupPr>
                        <m:e>
                          <m:r>
                            <m:rPr>
                              <m:sty m:val="b"/>
                            </m:rPr>
                            <w:rPr>
                              <w:rFonts w:ascii="Cambria Math" w:hAnsi="Cambria Math"/>
                              <w:lang w:val="en-PH"/>
                            </w:rPr>
                            <m:t>A</m:t>
                          </m:r>
                        </m:e>
                        <m:sup>
                          <m:r>
                            <w:rPr>
                              <w:rFonts w:ascii="Cambria Math" w:hAnsi="Cambria Math"/>
                              <w:lang w:val="en-PH"/>
                            </w:rPr>
                            <m:t>d</m:t>
                          </m:r>
                        </m:sup>
                      </m:sSup>
                    </m:e>
                  </m:d>
                </m:e>
                <m:sup>
                  <m:r>
                    <w:rPr>
                      <w:rFonts w:ascii="Cambria Math" w:hAnsi="Cambria Math"/>
                      <w:lang w:val="en-PH"/>
                    </w:rPr>
                    <m:t>-1</m:t>
                  </m:r>
                </m:sup>
              </m:sSup>
            </m:oMath>
            <w:r w:rsidRPr="005F3912">
              <w:rPr>
                <w:iCs/>
                <w:lang w:val="en-PH"/>
              </w:rPr>
              <w:t>. Then</w:t>
            </w:r>
          </w:p>
          <w:p w14:paraId="3BE9C121" w14:textId="77777777" w:rsidR="005B3D0B" w:rsidRPr="005F3912" w:rsidRDefault="00000000" w:rsidP="00A530DE">
            <w:pPr>
              <w:pStyle w:val="Box"/>
              <w:rPr>
                <w:lang w:val="en-PH"/>
              </w:rPr>
            </w:pPr>
            <m:oMathPara>
              <m:oMath>
                <m:sSup>
                  <m:sSupPr>
                    <m:ctrlPr>
                      <w:rPr>
                        <w:rFonts w:ascii="Cambria Math" w:hAnsi="Cambria Math"/>
                        <w:i/>
                        <w:lang w:val="en-PH"/>
                      </w:rPr>
                    </m:ctrlPr>
                  </m:sSupPr>
                  <m:e>
                    <m:r>
                      <w:rPr>
                        <w:rFonts w:ascii="Cambria Math" w:hAnsi="Cambria Math"/>
                        <w:lang w:val="en-PH"/>
                      </w:rPr>
                      <m:t>V</m:t>
                    </m:r>
                  </m:e>
                  <m:sup>
                    <m:r>
                      <w:rPr>
                        <w:rFonts w:ascii="Cambria Math" w:hAnsi="Cambria Math"/>
                        <w:lang w:val="en-PH"/>
                      </w:rPr>
                      <m:t>D</m:t>
                    </m:r>
                  </m:sup>
                </m:sSup>
                <m:r>
                  <w:rPr>
                    <w:rFonts w:ascii="Cambria Math" w:hAnsi="Cambria Math"/>
                    <w:lang w:val="en-PH"/>
                  </w:rPr>
                  <m:t>=</m:t>
                </m:r>
                <m:acc>
                  <m:accPr>
                    <m:ctrlPr>
                      <w:rPr>
                        <w:rFonts w:ascii="Cambria Math" w:hAnsi="Cambria Math"/>
                        <w:i/>
                        <w:lang w:val="en-PH"/>
                      </w:rPr>
                    </m:ctrlPr>
                  </m:accPr>
                  <m:e>
                    <m:r>
                      <m:rPr>
                        <m:sty m:val="b"/>
                      </m:rPr>
                      <w:rPr>
                        <w:rFonts w:ascii="Cambria Math" w:hAnsi="Cambria Math"/>
                        <w:lang w:val="en-PH"/>
                      </w:rPr>
                      <m:t>v</m:t>
                    </m:r>
                  </m:e>
                </m:acc>
                <m:sSup>
                  <m:sSupPr>
                    <m:ctrlPr>
                      <w:rPr>
                        <w:rFonts w:ascii="Cambria Math" w:hAnsi="Cambria Math"/>
                        <w:i/>
                        <w:lang w:val="en-PH"/>
                      </w:rPr>
                    </m:ctrlPr>
                  </m:sSupPr>
                  <m:e>
                    <m:r>
                      <m:rPr>
                        <m:sty m:val="b"/>
                      </m:rPr>
                      <w:rPr>
                        <w:rFonts w:ascii="Cambria Math" w:hAnsi="Cambria Math"/>
                        <w:lang w:val="en-PH"/>
                      </w:rPr>
                      <m:t>B</m:t>
                    </m:r>
                  </m:e>
                  <m:sup>
                    <m:r>
                      <w:rPr>
                        <w:rFonts w:ascii="Cambria Math" w:hAnsi="Cambria Math"/>
                        <w:lang w:val="en-PH"/>
                      </w:rPr>
                      <m:t>d</m:t>
                    </m:r>
                  </m:sup>
                </m:sSup>
                <m:sSup>
                  <m:sSupPr>
                    <m:ctrlPr>
                      <w:rPr>
                        <w:rFonts w:ascii="Cambria Math" w:hAnsi="Cambria Math"/>
                        <w:i/>
                        <w:lang w:val="en-PH"/>
                      </w:rPr>
                    </m:ctrlPr>
                  </m:sSupPr>
                  <m:e>
                    <m:r>
                      <m:rPr>
                        <m:sty m:val="b"/>
                      </m:rPr>
                      <w:rPr>
                        <w:rFonts w:ascii="Cambria Math" w:hAnsi="Cambria Math"/>
                        <w:lang w:val="en-PH"/>
                      </w:rPr>
                      <m:t>y</m:t>
                    </m:r>
                  </m:e>
                  <m:sup>
                    <m:r>
                      <w:rPr>
                        <w:rFonts w:ascii="Cambria Math" w:hAnsi="Cambria Math"/>
                        <w:lang w:val="en-PH"/>
                      </w:rPr>
                      <m:t>d</m:t>
                    </m:r>
                  </m:sup>
                </m:sSup>
              </m:oMath>
            </m:oMathPara>
          </w:p>
          <w:p w14:paraId="2F133DFC" w14:textId="6B895183" w:rsidR="005B3D0B" w:rsidRDefault="005B3D0B" w:rsidP="00A530DE">
            <w:pPr>
              <w:pStyle w:val="Box"/>
              <w:rPr>
                <w:lang w:val="en-PH"/>
              </w:rPr>
            </w:pPr>
            <w:r w:rsidRPr="005F3912">
              <w:rPr>
                <w:lang w:val="en-PH"/>
              </w:rPr>
              <w:t xml:space="preserve">is the vector of value-added generated in each </w:t>
            </w:r>
            <w:r w:rsidR="00594990">
              <w:rPr>
                <w:lang w:val="en-PH"/>
              </w:rPr>
              <w:t>country-sector</w:t>
            </w:r>
            <w:r w:rsidRPr="005F3912">
              <w:rPr>
                <w:lang w:val="en-PH"/>
              </w:rPr>
              <w:t xml:space="preserve"> that end up as final goods absorbed domestically, while</w:t>
            </w:r>
          </w:p>
          <w:p w14:paraId="3276187B" w14:textId="65C0F5EA" w:rsidR="005B3D0B" w:rsidRPr="005F3912" w:rsidRDefault="00000000" w:rsidP="00A530DE">
            <w:pPr>
              <w:pStyle w:val="Box"/>
              <w:rPr>
                <w:lang w:val="en-PH"/>
              </w:rPr>
            </w:pPr>
            <m:oMathPara>
              <m:oMath>
                <m:sSup>
                  <m:sSupPr>
                    <m:ctrlPr>
                      <w:rPr>
                        <w:rFonts w:ascii="Cambria Math" w:hAnsi="Cambria Math"/>
                        <w:i/>
                        <w:lang w:val="en-PH"/>
                      </w:rPr>
                    </m:ctrlPr>
                  </m:sSupPr>
                  <m:e>
                    <m:r>
                      <w:rPr>
                        <w:rFonts w:ascii="Cambria Math" w:hAnsi="Cambria Math"/>
                        <w:lang w:val="en-PH"/>
                      </w:rPr>
                      <m:t>Y</m:t>
                    </m:r>
                  </m:e>
                  <m:sup>
                    <m:r>
                      <w:rPr>
                        <w:rFonts w:ascii="Cambria Math" w:hAnsi="Cambria Math"/>
                        <w:lang w:val="en-PH"/>
                      </w:rPr>
                      <m:t>D</m:t>
                    </m:r>
                  </m:sup>
                </m:sSup>
                <m:r>
                  <w:rPr>
                    <w:rFonts w:ascii="Cambria Math" w:hAnsi="Cambria Math"/>
                    <w:lang w:val="en-PH"/>
                  </w:rPr>
                  <m:t>=</m:t>
                </m:r>
                <m:r>
                  <m:rPr>
                    <m:sty m:val="b"/>
                  </m:rPr>
                  <w:rPr>
                    <w:rFonts w:ascii="Cambria Math" w:hAnsi="Cambria Math"/>
                    <w:lang w:val="en-PH"/>
                  </w:rPr>
                  <m:t>v</m:t>
                </m:r>
                <m:sSup>
                  <m:sSupPr>
                    <m:ctrlPr>
                      <w:rPr>
                        <w:rFonts w:ascii="Cambria Math" w:hAnsi="Cambria Math"/>
                        <w:i/>
                        <w:lang w:val="en-PH"/>
                      </w:rPr>
                    </m:ctrlPr>
                  </m:sSupPr>
                  <m:e>
                    <m:r>
                      <m:rPr>
                        <m:sty m:val="b"/>
                      </m:rPr>
                      <w:rPr>
                        <w:rFonts w:ascii="Cambria Math" w:hAnsi="Cambria Math"/>
                        <w:lang w:val="en-PH"/>
                      </w:rPr>
                      <m:t>B</m:t>
                    </m:r>
                  </m:e>
                  <m:sup>
                    <m:r>
                      <w:rPr>
                        <w:rFonts w:ascii="Cambria Math" w:hAnsi="Cambria Math"/>
                        <w:lang w:val="en-PH"/>
                      </w:rPr>
                      <m:t>d</m:t>
                    </m:r>
                  </m:sup>
                </m:sSup>
                <m:sSup>
                  <m:sSupPr>
                    <m:ctrlPr>
                      <w:rPr>
                        <w:rFonts w:ascii="Cambria Math" w:hAnsi="Cambria Math"/>
                        <w:i/>
                        <w:lang w:val="en-PH"/>
                      </w:rPr>
                    </m:ctrlPr>
                  </m:sSupPr>
                  <m:e>
                    <m:acc>
                      <m:accPr>
                        <m:ctrlPr>
                          <w:rPr>
                            <w:rFonts w:ascii="Cambria Math" w:hAnsi="Cambria Math"/>
                            <w:iCs/>
                            <w:lang w:val="en-PH"/>
                          </w:rPr>
                        </m:ctrlPr>
                      </m:accPr>
                      <m:e>
                        <m:r>
                          <m:rPr>
                            <m:sty m:val="b"/>
                          </m:rPr>
                          <w:rPr>
                            <w:rFonts w:ascii="Cambria Math" w:hAnsi="Cambria Math"/>
                            <w:lang w:val="en-PH"/>
                          </w:rPr>
                          <m:t>y</m:t>
                        </m:r>
                      </m:e>
                    </m:acc>
                  </m:e>
                  <m:sup>
                    <m:r>
                      <w:rPr>
                        <w:rFonts w:ascii="Cambria Math" w:hAnsi="Cambria Math"/>
                        <w:lang w:val="en-PH"/>
                      </w:rPr>
                      <m:t>d</m:t>
                    </m:r>
                  </m:sup>
                </m:sSup>
              </m:oMath>
            </m:oMathPara>
          </w:p>
          <w:p w14:paraId="4E6E5F92" w14:textId="37EF8174" w:rsidR="005B3D0B" w:rsidRPr="005F3912" w:rsidRDefault="005B3D0B" w:rsidP="00A530DE">
            <w:pPr>
              <w:pStyle w:val="Box"/>
              <w:rPr>
                <w:lang w:val="en-PH"/>
              </w:rPr>
            </w:pPr>
            <w:r w:rsidRPr="005F3912">
              <w:rPr>
                <w:lang w:val="en-PH"/>
              </w:rPr>
              <w:t xml:space="preserve">is the vector of each </w:t>
            </w:r>
            <w:r w:rsidR="00594990">
              <w:rPr>
                <w:lang w:val="en-PH"/>
              </w:rPr>
              <w:t>country-sector</w:t>
            </w:r>
            <w:r w:rsidRPr="005F3912">
              <w:rPr>
                <w:lang w:val="en-PH"/>
              </w:rPr>
              <w:t>’s final goods absorbed domestically whose value</w:t>
            </w:r>
            <w:r w:rsidR="00594990">
              <w:rPr>
                <w:lang w:val="en-PH"/>
              </w:rPr>
              <w:t xml:space="preserve"> </w:t>
            </w:r>
            <w:r w:rsidRPr="005F3912">
              <w:rPr>
                <w:lang w:val="en-PH"/>
              </w:rPr>
              <w:t xml:space="preserve">added also originated domestically. A hat on top of a vector, as in </w:t>
            </w:r>
            <m:oMath>
              <m:acc>
                <m:accPr>
                  <m:ctrlPr>
                    <w:rPr>
                      <w:rFonts w:ascii="Cambria Math" w:hAnsi="Cambria Math"/>
                      <w:i/>
                      <w:lang w:val="en-PH"/>
                    </w:rPr>
                  </m:ctrlPr>
                </m:accPr>
                <m:e>
                  <m:r>
                    <m:rPr>
                      <m:sty m:val="b"/>
                    </m:rPr>
                    <w:rPr>
                      <w:rFonts w:ascii="Cambria Math" w:hAnsi="Cambria Math"/>
                      <w:lang w:val="en-PH"/>
                    </w:rPr>
                    <m:t>x</m:t>
                  </m:r>
                </m:e>
              </m:acc>
            </m:oMath>
            <w:r w:rsidRPr="005F3912">
              <w:rPr>
                <w:lang w:val="en-PH"/>
              </w:rPr>
              <w:t>, denotes its diagonalized version.</w:t>
            </w:r>
          </w:p>
          <w:p w14:paraId="0FD7B68D" w14:textId="6A482116" w:rsidR="005B3D0B" w:rsidRPr="005F3912" w:rsidRDefault="005B3D0B" w:rsidP="00A530DE">
            <w:pPr>
              <w:pStyle w:val="Box"/>
              <w:rPr>
                <w:iCs/>
                <w:lang w:val="en-PH"/>
              </w:rPr>
            </w:pPr>
            <w:r w:rsidRPr="005F3912">
              <w:rPr>
                <w:lang w:val="en-PH"/>
              </w:rPr>
              <w:t xml:space="preserve">Let </w:t>
            </w:r>
            <m:oMath>
              <m:r>
                <m:rPr>
                  <m:sty m:val="b"/>
                </m:rPr>
                <w:rPr>
                  <w:rFonts w:ascii="Cambria Math" w:hAnsi="Cambria Math"/>
                  <w:lang w:val="en-PH"/>
                </w:rPr>
                <m:t>va</m:t>
              </m:r>
            </m:oMath>
            <w:r w:rsidRPr="005F3912">
              <w:rPr>
                <w:iCs/>
                <w:lang w:val="en-PH"/>
              </w:rPr>
              <w:t xml:space="preserve"> be the vector of value</w:t>
            </w:r>
            <w:r w:rsidR="00594990">
              <w:rPr>
                <w:iCs/>
                <w:lang w:val="en-PH"/>
              </w:rPr>
              <w:t xml:space="preserve"> </w:t>
            </w:r>
            <w:r w:rsidRPr="005F3912">
              <w:rPr>
                <w:iCs/>
                <w:lang w:val="en-PH"/>
              </w:rPr>
              <w:t xml:space="preserve">added generated by each </w:t>
            </w:r>
            <w:r w:rsidR="00594990">
              <w:rPr>
                <w:lang w:val="en-PH"/>
              </w:rPr>
              <w:t>country-sector</w:t>
            </w:r>
            <w:r w:rsidRPr="005F3912">
              <w:rPr>
                <w:iCs/>
                <w:lang w:val="en-PH"/>
              </w:rPr>
              <w:t xml:space="preserve">. The forward agglomeration index for </w:t>
            </w:r>
            <w:r w:rsidR="00594990">
              <w:rPr>
                <w:lang w:val="en-PH"/>
              </w:rPr>
              <w:t>country-sector</w:t>
            </w:r>
            <w:r w:rsidR="00594990" w:rsidRPr="005F3912">
              <w:rPr>
                <w:lang w:val="en-PH"/>
              </w:rPr>
              <w:t xml:space="preserve"> </w:t>
            </w:r>
            <m:oMath>
              <m:d>
                <m:dPr>
                  <m:ctrlPr>
                    <w:rPr>
                      <w:rFonts w:ascii="Cambria Math" w:hAnsi="Cambria Math"/>
                      <w:iCs/>
                      <w:lang w:val="en-PH"/>
                    </w:rPr>
                  </m:ctrlPr>
                </m:dPr>
                <m:e>
                  <m:r>
                    <w:rPr>
                      <w:rFonts w:ascii="Cambria Math" w:hAnsi="Cambria Math"/>
                      <w:lang w:val="en-PH"/>
                    </w:rPr>
                    <m:t>s,i</m:t>
                  </m:r>
                </m:e>
              </m:d>
            </m:oMath>
            <w:r w:rsidRPr="005F3912">
              <w:rPr>
                <w:iCs/>
                <w:lang w:val="en-PH"/>
              </w:rPr>
              <w:t xml:space="preserve"> is given by</w:t>
            </w:r>
          </w:p>
          <w:p w14:paraId="7A1DF23F" w14:textId="28D7EBBE" w:rsidR="005B3D0B" w:rsidRPr="005F3912" w:rsidRDefault="005B3D0B" w:rsidP="00A530DE">
            <w:pPr>
              <w:pStyle w:val="Box"/>
              <w:rPr>
                <w:lang w:val="en-PH"/>
              </w:rPr>
            </w:pPr>
            <m:oMathPara>
              <m:oMath>
                <m:r>
                  <w:rPr>
                    <w:rFonts w:ascii="Cambria Math" w:hAnsi="Cambria Math"/>
                    <w:lang w:val="en-PH"/>
                  </w:rPr>
                  <m:t>AG</m:t>
                </m:r>
                <m:sSubSup>
                  <m:sSubSupPr>
                    <m:ctrlPr>
                      <w:rPr>
                        <w:rFonts w:ascii="Cambria Math" w:hAnsi="Cambria Math"/>
                        <w:i/>
                        <w:lang w:val="en-PH"/>
                      </w:rPr>
                    </m:ctrlPr>
                  </m:sSubSupPr>
                  <m:e>
                    <m:r>
                      <w:rPr>
                        <w:rFonts w:ascii="Cambria Math" w:hAnsi="Cambria Math"/>
                        <w:lang w:val="en-PH"/>
                      </w:rPr>
                      <m:t>G</m:t>
                    </m:r>
                  </m:e>
                  <m:sub>
                    <m:r>
                      <w:rPr>
                        <w:rFonts w:ascii="Cambria Math" w:hAnsi="Cambria Math"/>
                        <w:lang w:val="en-PH"/>
                      </w:rPr>
                      <m:t>s,i</m:t>
                    </m:r>
                  </m:sub>
                  <m:sup>
                    <m:r>
                      <w:rPr>
                        <w:rFonts w:ascii="Cambria Math" w:hAnsi="Cambria Math"/>
                        <w:lang w:val="en-PH"/>
                      </w:rPr>
                      <m:t>F</m:t>
                    </m:r>
                  </m:sup>
                </m:sSubSup>
                <m:r>
                  <w:rPr>
                    <w:rFonts w:ascii="Cambria Math" w:hAnsi="Cambria Math"/>
                    <w:lang w:val="en-PH"/>
                  </w:rPr>
                  <m:t>=</m:t>
                </m:r>
                <m:f>
                  <m:fPr>
                    <m:ctrlPr>
                      <w:rPr>
                        <w:rFonts w:ascii="Cambria Math" w:hAnsi="Cambria Math"/>
                        <w:i/>
                        <w:lang w:val="en-PH"/>
                      </w:rPr>
                    </m:ctrlPr>
                  </m:fPr>
                  <m:num>
                    <m:sSubSup>
                      <m:sSubSupPr>
                        <m:ctrlPr>
                          <w:rPr>
                            <w:rFonts w:ascii="Cambria Math" w:hAnsi="Cambria Math"/>
                            <w:i/>
                            <w:lang w:val="en-PH"/>
                          </w:rPr>
                        </m:ctrlPr>
                      </m:sSubSupPr>
                      <m:e>
                        <m:r>
                          <w:rPr>
                            <w:rFonts w:ascii="Cambria Math" w:hAnsi="Cambria Math"/>
                            <w:lang w:val="en-PH"/>
                          </w:rPr>
                          <m:t>V</m:t>
                        </m:r>
                      </m:e>
                      <m:sub>
                        <m:d>
                          <m:dPr>
                            <m:ctrlPr>
                              <w:rPr>
                                <w:rFonts w:ascii="Cambria Math" w:hAnsi="Cambria Math"/>
                                <w:i/>
                                <w:lang w:val="en-PH"/>
                              </w:rPr>
                            </m:ctrlPr>
                          </m:dPr>
                          <m:e>
                            <m:r>
                              <w:rPr>
                                <w:rFonts w:ascii="Cambria Math" w:hAnsi="Cambria Math"/>
                                <w:lang w:val="en-PH"/>
                              </w:rPr>
                              <m:t>s,i</m:t>
                            </m:r>
                          </m:e>
                        </m:d>
                      </m:sub>
                      <m:sup>
                        <m:r>
                          <w:rPr>
                            <w:rFonts w:ascii="Cambria Math" w:hAnsi="Cambria Math"/>
                            <w:lang w:val="en-PH"/>
                          </w:rPr>
                          <m:t>D</m:t>
                        </m:r>
                      </m:sup>
                    </m:sSubSup>
                    <m:r>
                      <w:rPr>
                        <w:rFonts w:ascii="Cambria Math" w:hAnsi="Cambria Math"/>
                        <w:lang w:val="en-PH"/>
                      </w:rPr>
                      <m:t>/v</m:t>
                    </m:r>
                    <m:sSub>
                      <m:sSubPr>
                        <m:ctrlPr>
                          <w:rPr>
                            <w:rFonts w:ascii="Cambria Math" w:hAnsi="Cambria Math"/>
                            <w:i/>
                            <w:lang w:val="en-PH"/>
                          </w:rPr>
                        </m:ctrlPr>
                      </m:sSubPr>
                      <m:e>
                        <m:r>
                          <w:rPr>
                            <w:rFonts w:ascii="Cambria Math" w:hAnsi="Cambria Math"/>
                            <w:lang w:val="en-PH"/>
                          </w:rPr>
                          <m:t>a</m:t>
                        </m:r>
                      </m:e>
                      <m:sub>
                        <m:r>
                          <w:rPr>
                            <w:rFonts w:ascii="Cambria Math" w:hAnsi="Cambria Math"/>
                            <w:lang w:val="en-PH"/>
                          </w:rPr>
                          <m:t>(s,i)</m:t>
                        </m:r>
                      </m:sub>
                    </m:sSub>
                  </m:num>
                  <m:den>
                    <m:nary>
                      <m:naryPr>
                        <m:chr m:val="∑"/>
                        <m:limLoc m:val="subSup"/>
                        <m:ctrlPr>
                          <w:rPr>
                            <w:rFonts w:ascii="Cambria Math" w:hAnsi="Cambria Math"/>
                            <w:i/>
                            <w:lang w:val="en-PH"/>
                          </w:rPr>
                        </m:ctrlPr>
                      </m:naryPr>
                      <m:sub>
                        <m:r>
                          <w:rPr>
                            <w:rFonts w:ascii="Cambria Math" w:hAnsi="Cambria Math"/>
                            <w:lang w:val="en-PH"/>
                          </w:rPr>
                          <m:t xml:space="preserve"> τ=t-1</m:t>
                        </m:r>
                      </m:sub>
                      <m:sup>
                        <m:r>
                          <w:rPr>
                            <w:rFonts w:ascii="Cambria Math" w:hAnsi="Cambria Math"/>
                            <w:lang w:val="en-PH"/>
                          </w:rPr>
                          <m:t>t</m:t>
                        </m:r>
                      </m:sup>
                      <m:e>
                        <m:nary>
                          <m:naryPr>
                            <m:chr m:val="∑"/>
                            <m:limLoc m:val="subSup"/>
                            <m:supHide m:val="1"/>
                            <m:ctrlPr>
                              <w:rPr>
                                <w:rFonts w:ascii="Cambria Math" w:hAnsi="Cambria Math"/>
                                <w:i/>
                                <w:lang w:val="en-PH"/>
                              </w:rPr>
                            </m:ctrlPr>
                          </m:naryPr>
                          <m:sub>
                            <m:r>
                              <w:rPr>
                                <w:rFonts w:ascii="Cambria Math" w:hAnsi="Cambria Math"/>
                                <w:lang w:val="en-PH"/>
                              </w:rPr>
                              <m:t>r</m:t>
                            </m:r>
                          </m:sub>
                          <m:sup/>
                          <m:e>
                            <m:sSubSup>
                              <m:sSubSupPr>
                                <m:ctrlPr>
                                  <w:rPr>
                                    <w:rFonts w:ascii="Cambria Math" w:hAnsi="Cambria Math"/>
                                    <w:i/>
                                    <w:lang w:val="en-PH"/>
                                  </w:rPr>
                                </m:ctrlPr>
                              </m:sSubSupPr>
                              <m:e>
                                <m:sSub>
                                  <m:sSubPr>
                                    <m:ctrlPr>
                                      <w:rPr>
                                        <w:rFonts w:ascii="Cambria Math" w:hAnsi="Cambria Math"/>
                                        <w:i/>
                                        <w:lang w:val="en-PH"/>
                                      </w:rPr>
                                    </m:ctrlPr>
                                  </m:sSubPr>
                                  <m:e>
                                    <m:r>
                                      <w:rPr>
                                        <w:rFonts w:ascii="Cambria Math" w:hAnsi="Cambria Math"/>
                                        <w:lang w:val="en-PH"/>
                                      </w:rPr>
                                      <m:t>γ</m:t>
                                    </m:r>
                                  </m:e>
                                  <m:sub>
                                    <m:r>
                                      <w:rPr>
                                        <w:rFonts w:ascii="Cambria Math" w:hAnsi="Cambria Math"/>
                                        <w:lang w:val="en-PH"/>
                                      </w:rPr>
                                      <m:t>(r,i,τ)</m:t>
                                    </m:r>
                                  </m:sub>
                                </m:sSub>
                                <m:r>
                                  <w:rPr>
                                    <w:rFonts w:ascii="Cambria Math" w:hAnsi="Cambria Math"/>
                                    <w:lang w:val="en-PH"/>
                                  </w:rPr>
                                  <m:t>V</m:t>
                                </m:r>
                              </m:e>
                              <m:sub>
                                <m:d>
                                  <m:dPr>
                                    <m:ctrlPr>
                                      <w:rPr>
                                        <w:rFonts w:ascii="Cambria Math" w:hAnsi="Cambria Math"/>
                                        <w:i/>
                                        <w:lang w:val="en-PH"/>
                                      </w:rPr>
                                    </m:ctrlPr>
                                  </m:dPr>
                                  <m:e>
                                    <m:r>
                                      <w:rPr>
                                        <w:rFonts w:ascii="Cambria Math" w:hAnsi="Cambria Math"/>
                                        <w:lang w:val="en-PH"/>
                                      </w:rPr>
                                      <m:t>r,i,τ</m:t>
                                    </m:r>
                                  </m:e>
                                </m:d>
                              </m:sub>
                              <m:sup>
                                <m:r>
                                  <w:rPr>
                                    <w:rFonts w:ascii="Cambria Math" w:hAnsi="Cambria Math"/>
                                    <w:lang w:val="en-PH"/>
                                  </w:rPr>
                                  <m:t>D</m:t>
                                </m:r>
                              </m:sup>
                            </m:sSubSup>
                            <m:r>
                              <w:rPr>
                                <w:rFonts w:ascii="Cambria Math" w:hAnsi="Cambria Math"/>
                                <w:lang w:val="en-PH"/>
                              </w:rPr>
                              <m:t>/2v</m:t>
                            </m:r>
                            <m:sSub>
                              <m:sSubPr>
                                <m:ctrlPr>
                                  <w:rPr>
                                    <w:rFonts w:ascii="Cambria Math" w:hAnsi="Cambria Math"/>
                                    <w:i/>
                                    <w:lang w:val="en-PH"/>
                                  </w:rPr>
                                </m:ctrlPr>
                              </m:sSubPr>
                              <m:e>
                                <m:r>
                                  <w:rPr>
                                    <w:rFonts w:ascii="Cambria Math" w:hAnsi="Cambria Math"/>
                                    <w:lang w:val="en-PH"/>
                                  </w:rPr>
                                  <m:t>a</m:t>
                                </m:r>
                              </m:e>
                              <m:sub>
                                <m:d>
                                  <m:dPr>
                                    <m:ctrlPr>
                                      <w:rPr>
                                        <w:rFonts w:ascii="Cambria Math" w:hAnsi="Cambria Math"/>
                                        <w:i/>
                                        <w:lang w:val="en-PH"/>
                                      </w:rPr>
                                    </m:ctrlPr>
                                  </m:dPr>
                                  <m:e>
                                    <m:r>
                                      <w:rPr>
                                        <w:rFonts w:ascii="Cambria Math" w:hAnsi="Cambria Math"/>
                                        <w:lang w:val="en-PH"/>
                                      </w:rPr>
                                      <m:t>r,i,τ</m:t>
                                    </m:r>
                                  </m:e>
                                </m:d>
                              </m:sub>
                            </m:sSub>
                          </m:e>
                        </m:nary>
                      </m:e>
                    </m:nary>
                  </m:den>
                </m:f>
                <m:r>
                  <w:rPr>
                    <w:rFonts w:ascii="Cambria Math" w:hAnsi="Cambria Math"/>
                    <w:lang w:val="en-PH"/>
                  </w:rPr>
                  <m:t>.</m:t>
                </m:r>
              </m:oMath>
            </m:oMathPara>
          </w:p>
          <w:p w14:paraId="4E75BDC7" w14:textId="4FA2D46B" w:rsidR="005B3D0B" w:rsidRPr="005F3912" w:rsidRDefault="005B3D0B" w:rsidP="00A530DE">
            <w:pPr>
              <w:pStyle w:val="Box"/>
              <w:rPr>
                <w:lang w:val="en-PH"/>
              </w:rPr>
            </w:pPr>
            <w:r w:rsidRPr="005F3912">
              <w:rPr>
                <w:lang w:val="en-PH"/>
              </w:rPr>
              <w:t>The numerator is the share of value</w:t>
            </w:r>
            <w:r w:rsidR="00594990">
              <w:rPr>
                <w:lang w:val="en-PH"/>
              </w:rPr>
              <w:t xml:space="preserve"> </w:t>
            </w:r>
            <w:r w:rsidRPr="005F3912">
              <w:rPr>
                <w:lang w:val="en-PH"/>
              </w:rPr>
              <w:t xml:space="preserve">added generated in </w:t>
            </w:r>
            <m:oMath>
              <m:d>
                <m:dPr>
                  <m:ctrlPr>
                    <w:rPr>
                      <w:rFonts w:ascii="Cambria Math" w:hAnsi="Cambria Math"/>
                      <w:iCs/>
                      <w:lang w:val="en-PH"/>
                    </w:rPr>
                  </m:ctrlPr>
                </m:dPr>
                <m:e>
                  <m:r>
                    <w:rPr>
                      <w:rFonts w:ascii="Cambria Math" w:hAnsi="Cambria Math"/>
                      <w:lang w:val="en-PH"/>
                    </w:rPr>
                    <m:t>s,i</m:t>
                  </m:r>
                </m:e>
              </m:d>
            </m:oMath>
            <w:r w:rsidRPr="005F3912">
              <w:rPr>
                <w:lang w:val="en-PH"/>
              </w:rPr>
              <w:t xml:space="preserve"> that end up as final goods absorbed domestically in total value</w:t>
            </w:r>
            <w:r w:rsidR="00594990">
              <w:rPr>
                <w:lang w:val="en-PH"/>
              </w:rPr>
              <w:t xml:space="preserve"> </w:t>
            </w:r>
            <w:r w:rsidRPr="005F3912">
              <w:rPr>
                <w:lang w:val="en-PH"/>
              </w:rPr>
              <w:t xml:space="preserve">added generated in </w:t>
            </w:r>
            <m:oMath>
              <m:d>
                <m:dPr>
                  <m:ctrlPr>
                    <w:rPr>
                      <w:rFonts w:ascii="Cambria Math" w:hAnsi="Cambria Math"/>
                      <w:iCs/>
                      <w:lang w:val="en-PH"/>
                    </w:rPr>
                  </m:ctrlPr>
                </m:dPr>
                <m:e>
                  <m:r>
                    <w:rPr>
                      <w:rFonts w:ascii="Cambria Math" w:hAnsi="Cambria Math"/>
                      <w:lang w:val="en-PH"/>
                    </w:rPr>
                    <m:t>s,i</m:t>
                  </m:r>
                </m:e>
              </m:d>
            </m:oMath>
            <w:r w:rsidRPr="005F3912">
              <w:rPr>
                <w:iCs/>
                <w:lang w:val="en-PH"/>
              </w:rPr>
              <w:t xml:space="preserve">. The denominator is the two-year moving average of the same share for sector </w:t>
            </w:r>
            <m:oMath>
              <m:r>
                <w:rPr>
                  <w:rFonts w:ascii="Cambria Math" w:hAnsi="Cambria Math"/>
                  <w:lang w:val="en-PH"/>
                </w:rPr>
                <m:t>i</m:t>
              </m:r>
            </m:oMath>
            <w:r w:rsidRPr="005F3912">
              <w:rPr>
                <w:iCs/>
                <w:lang w:val="en-PH"/>
              </w:rPr>
              <w:t xml:space="preserve"> for all </w:t>
            </w:r>
            <w:r w:rsidR="00594990">
              <w:rPr>
                <w:iCs/>
                <w:lang w:val="en-PH"/>
              </w:rPr>
              <w:t>countries</w:t>
            </w:r>
            <w:r w:rsidRPr="005F3912">
              <w:rPr>
                <w:iCs/>
                <w:lang w:val="en-PH"/>
              </w:rPr>
              <w:t>, using sector share (</w:t>
            </w:r>
            <m:oMath>
              <m:sSub>
                <m:sSubPr>
                  <m:ctrlPr>
                    <w:rPr>
                      <w:rFonts w:ascii="Cambria Math" w:hAnsi="Cambria Math"/>
                      <w:i/>
                      <w:lang w:val="en-PH"/>
                    </w:rPr>
                  </m:ctrlPr>
                </m:sSubPr>
                <m:e>
                  <m:r>
                    <w:rPr>
                      <w:rFonts w:ascii="Cambria Math" w:hAnsi="Cambria Math"/>
                      <w:lang w:val="en-PH"/>
                    </w:rPr>
                    <m:t>γ</m:t>
                  </m:r>
                </m:e>
                <m:sub>
                  <m:r>
                    <w:rPr>
                      <w:rFonts w:ascii="Cambria Math" w:hAnsi="Cambria Math"/>
                      <w:lang w:val="en-PH"/>
                    </w:rPr>
                    <m:t>(r,i,τ)</m:t>
                  </m:r>
                </m:sub>
              </m:sSub>
            </m:oMath>
            <w:r w:rsidRPr="005F3912">
              <w:rPr>
                <w:iCs/>
                <w:lang w:val="en-PH"/>
              </w:rPr>
              <w:t xml:space="preserve">) as weights. Thus, the forward agglomeration index is the ratio of </w:t>
            </w:r>
            <m:oMath>
              <m:d>
                <m:dPr>
                  <m:ctrlPr>
                    <w:rPr>
                      <w:rFonts w:ascii="Cambria Math" w:hAnsi="Cambria Math"/>
                      <w:iCs/>
                      <w:lang w:val="en-PH"/>
                    </w:rPr>
                  </m:ctrlPr>
                </m:dPr>
                <m:e>
                  <m:r>
                    <w:rPr>
                      <w:rFonts w:ascii="Cambria Math" w:hAnsi="Cambria Math"/>
                      <w:lang w:val="en-PH"/>
                    </w:rPr>
                    <m:t>s,i</m:t>
                  </m:r>
                </m:e>
              </m:d>
            </m:oMath>
            <w:r w:rsidRPr="005F3912">
              <w:rPr>
                <w:iCs/>
                <w:lang w:val="en-PH"/>
              </w:rPr>
              <w:t xml:space="preserve">’s </w:t>
            </w:r>
            <m:oMath>
              <m:sSup>
                <m:sSupPr>
                  <m:ctrlPr>
                    <w:rPr>
                      <w:rFonts w:ascii="Cambria Math" w:hAnsi="Cambria Math"/>
                      <w:i/>
                      <w:lang w:val="en-PH"/>
                    </w:rPr>
                  </m:ctrlPr>
                </m:sSupPr>
                <m:e>
                  <m:r>
                    <w:rPr>
                      <w:rFonts w:ascii="Cambria Math" w:hAnsi="Cambria Math"/>
                      <w:lang w:val="en-PH"/>
                    </w:rPr>
                    <m:t>V</m:t>
                  </m:r>
                </m:e>
                <m:sup>
                  <m:r>
                    <w:rPr>
                      <w:rFonts w:ascii="Cambria Math" w:hAnsi="Cambria Math"/>
                      <w:lang w:val="en-PH"/>
                    </w:rPr>
                    <m:t>D</m:t>
                  </m:r>
                </m:sup>
              </m:sSup>
            </m:oMath>
            <w:r w:rsidRPr="005F3912">
              <w:rPr>
                <w:lang w:val="en-PH"/>
              </w:rPr>
              <w:t xml:space="preserve"> share against the world average for that sector. </w:t>
            </w:r>
          </w:p>
          <w:p w14:paraId="5CA40207" w14:textId="6F4E76D9" w:rsidR="005B3D0B" w:rsidRPr="005F3912" w:rsidRDefault="005B3D0B" w:rsidP="00A530DE">
            <w:pPr>
              <w:pStyle w:val="Box"/>
              <w:rPr>
                <w:iCs/>
                <w:lang w:val="en-PH"/>
              </w:rPr>
            </w:pPr>
            <w:r w:rsidRPr="005F3912">
              <w:rPr>
                <w:lang w:val="en-PH"/>
              </w:rPr>
              <w:lastRenderedPageBreak/>
              <w:t xml:space="preserve">Likewise, let </w:t>
            </w:r>
            <m:oMath>
              <m:r>
                <m:rPr>
                  <m:sty m:val="b"/>
                </m:rPr>
                <w:rPr>
                  <w:rFonts w:ascii="Cambria Math" w:hAnsi="Cambria Math"/>
                  <w:lang w:val="en-PH"/>
                </w:rPr>
                <m:t>y</m:t>
              </m:r>
            </m:oMath>
            <w:r w:rsidRPr="005F3912">
              <w:rPr>
                <w:iCs/>
                <w:lang w:val="en-PH"/>
              </w:rPr>
              <w:t xml:space="preserve"> be the vector of final good sales by each </w:t>
            </w:r>
            <w:r w:rsidR="00594990">
              <w:rPr>
                <w:lang w:val="en-PH"/>
              </w:rPr>
              <w:t>country-sector</w:t>
            </w:r>
            <w:r w:rsidRPr="005F3912">
              <w:rPr>
                <w:iCs/>
                <w:lang w:val="en-PH"/>
              </w:rPr>
              <w:t xml:space="preserve">. The backward agglomeration index for </w:t>
            </w:r>
            <w:r w:rsidR="00594990">
              <w:rPr>
                <w:lang w:val="en-PH"/>
              </w:rPr>
              <w:t>country-sector</w:t>
            </w:r>
            <w:r w:rsidR="00594990" w:rsidRPr="005F3912">
              <w:rPr>
                <w:lang w:val="en-PH"/>
              </w:rPr>
              <w:t xml:space="preserve"> </w:t>
            </w:r>
            <m:oMath>
              <m:d>
                <m:dPr>
                  <m:ctrlPr>
                    <w:rPr>
                      <w:rFonts w:ascii="Cambria Math" w:hAnsi="Cambria Math"/>
                      <w:iCs/>
                      <w:lang w:val="en-PH"/>
                    </w:rPr>
                  </m:ctrlPr>
                </m:dPr>
                <m:e>
                  <m:r>
                    <w:rPr>
                      <w:rFonts w:ascii="Cambria Math" w:hAnsi="Cambria Math"/>
                      <w:lang w:val="en-PH"/>
                    </w:rPr>
                    <m:t>s,i</m:t>
                  </m:r>
                </m:e>
              </m:d>
            </m:oMath>
            <w:r w:rsidRPr="005F3912">
              <w:rPr>
                <w:iCs/>
                <w:lang w:val="en-PH"/>
              </w:rPr>
              <w:t xml:space="preserve"> is given by</w:t>
            </w:r>
          </w:p>
          <w:p w14:paraId="4F2CC58A" w14:textId="0C5665EA" w:rsidR="005B3D0B" w:rsidRPr="005F3912" w:rsidRDefault="005B3D0B" w:rsidP="00A530DE">
            <w:pPr>
              <w:pStyle w:val="Box"/>
              <w:rPr>
                <w:lang w:val="en-PH"/>
              </w:rPr>
            </w:pPr>
            <m:oMathPara>
              <m:oMath>
                <m:r>
                  <w:rPr>
                    <w:rFonts w:ascii="Cambria Math" w:hAnsi="Cambria Math"/>
                    <w:lang w:val="en-PH"/>
                  </w:rPr>
                  <m:t>AG</m:t>
                </m:r>
                <m:sSubSup>
                  <m:sSubSupPr>
                    <m:ctrlPr>
                      <w:rPr>
                        <w:rFonts w:ascii="Cambria Math" w:hAnsi="Cambria Math"/>
                        <w:i/>
                        <w:lang w:val="en-PH"/>
                      </w:rPr>
                    </m:ctrlPr>
                  </m:sSubSupPr>
                  <m:e>
                    <m:r>
                      <w:rPr>
                        <w:rFonts w:ascii="Cambria Math" w:hAnsi="Cambria Math"/>
                        <w:lang w:val="en-PH"/>
                      </w:rPr>
                      <m:t>G</m:t>
                    </m:r>
                  </m:e>
                  <m:sub>
                    <m:r>
                      <w:rPr>
                        <w:rFonts w:ascii="Cambria Math" w:hAnsi="Cambria Math"/>
                        <w:lang w:val="en-PH"/>
                      </w:rPr>
                      <m:t>s,i</m:t>
                    </m:r>
                  </m:sub>
                  <m:sup>
                    <m:r>
                      <w:rPr>
                        <w:rFonts w:ascii="Cambria Math" w:hAnsi="Cambria Math"/>
                        <w:lang w:val="en-PH"/>
                      </w:rPr>
                      <m:t>B</m:t>
                    </m:r>
                  </m:sup>
                </m:sSubSup>
                <m:r>
                  <w:rPr>
                    <w:rFonts w:ascii="Cambria Math" w:hAnsi="Cambria Math"/>
                    <w:lang w:val="en-PH"/>
                  </w:rPr>
                  <m:t>=</m:t>
                </m:r>
                <m:f>
                  <m:fPr>
                    <m:ctrlPr>
                      <w:rPr>
                        <w:rFonts w:ascii="Cambria Math" w:hAnsi="Cambria Math"/>
                        <w:i/>
                        <w:lang w:val="en-PH"/>
                      </w:rPr>
                    </m:ctrlPr>
                  </m:fPr>
                  <m:num>
                    <m:sSubSup>
                      <m:sSubSupPr>
                        <m:ctrlPr>
                          <w:rPr>
                            <w:rFonts w:ascii="Cambria Math" w:hAnsi="Cambria Math"/>
                            <w:i/>
                            <w:lang w:val="en-PH"/>
                          </w:rPr>
                        </m:ctrlPr>
                      </m:sSubSupPr>
                      <m:e>
                        <m:r>
                          <w:rPr>
                            <w:rFonts w:ascii="Cambria Math" w:hAnsi="Cambria Math"/>
                            <w:lang w:val="en-PH"/>
                          </w:rPr>
                          <m:t>Y</m:t>
                        </m:r>
                      </m:e>
                      <m:sub>
                        <m:d>
                          <m:dPr>
                            <m:ctrlPr>
                              <w:rPr>
                                <w:rFonts w:ascii="Cambria Math" w:hAnsi="Cambria Math"/>
                                <w:i/>
                                <w:lang w:val="en-PH"/>
                              </w:rPr>
                            </m:ctrlPr>
                          </m:dPr>
                          <m:e>
                            <m:r>
                              <w:rPr>
                                <w:rFonts w:ascii="Cambria Math" w:hAnsi="Cambria Math"/>
                                <w:lang w:val="en-PH"/>
                              </w:rPr>
                              <m:t>s,i</m:t>
                            </m:r>
                          </m:e>
                        </m:d>
                      </m:sub>
                      <m:sup>
                        <m:r>
                          <w:rPr>
                            <w:rFonts w:ascii="Cambria Math" w:hAnsi="Cambria Math"/>
                            <w:lang w:val="en-PH"/>
                          </w:rPr>
                          <m:t>D</m:t>
                        </m:r>
                      </m:sup>
                    </m:sSubSup>
                    <m:r>
                      <w:rPr>
                        <w:rFonts w:ascii="Cambria Math" w:hAnsi="Cambria Math"/>
                        <w:lang w:val="en-PH"/>
                      </w:rPr>
                      <m:t>/</m:t>
                    </m:r>
                    <m:sSub>
                      <m:sSubPr>
                        <m:ctrlPr>
                          <w:rPr>
                            <w:rFonts w:ascii="Cambria Math" w:hAnsi="Cambria Math"/>
                            <w:i/>
                            <w:lang w:val="en-PH"/>
                          </w:rPr>
                        </m:ctrlPr>
                      </m:sSubPr>
                      <m:e>
                        <m:r>
                          <w:rPr>
                            <w:rFonts w:ascii="Cambria Math" w:hAnsi="Cambria Math"/>
                            <w:lang w:val="en-PH"/>
                          </w:rPr>
                          <m:t>y</m:t>
                        </m:r>
                      </m:e>
                      <m:sub>
                        <m:r>
                          <w:rPr>
                            <w:rFonts w:ascii="Cambria Math" w:hAnsi="Cambria Math"/>
                            <w:lang w:val="en-PH"/>
                          </w:rPr>
                          <m:t>(s,i)</m:t>
                        </m:r>
                      </m:sub>
                    </m:sSub>
                  </m:num>
                  <m:den>
                    <m:nary>
                      <m:naryPr>
                        <m:chr m:val="∑"/>
                        <m:limLoc m:val="subSup"/>
                        <m:ctrlPr>
                          <w:rPr>
                            <w:rFonts w:ascii="Cambria Math" w:hAnsi="Cambria Math"/>
                            <w:i/>
                            <w:lang w:val="en-PH"/>
                          </w:rPr>
                        </m:ctrlPr>
                      </m:naryPr>
                      <m:sub>
                        <m:r>
                          <w:rPr>
                            <w:rFonts w:ascii="Cambria Math" w:hAnsi="Cambria Math"/>
                            <w:lang w:val="en-PH"/>
                          </w:rPr>
                          <m:t>τ=t-1</m:t>
                        </m:r>
                      </m:sub>
                      <m:sup>
                        <m:r>
                          <w:rPr>
                            <w:rFonts w:ascii="Cambria Math" w:hAnsi="Cambria Math"/>
                            <w:lang w:val="en-PH"/>
                          </w:rPr>
                          <m:t>t</m:t>
                        </m:r>
                      </m:sup>
                      <m:e>
                        <m:nary>
                          <m:naryPr>
                            <m:chr m:val="∑"/>
                            <m:limLoc m:val="subSup"/>
                            <m:supHide m:val="1"/>
                            <m:ctrlPr>
                              <w:rPr>
                                <w:rFonts w:ascii="Cambria Math" w:hAnsi="Cambria Math"/>
                                <w:i/>
                                <w:lang w:val="en-PH"/>
                              </w:rPr>
                            </m:ctrlPr>
                          </m:naryPr>
                          <m:sub>
                            <m:r>
                              <w:rPr>
                                <w:rFonts w:ascii="Cambria Math" w:hAnsi="Cambria Math"/>
                                <w:lang w:val="en-PH"/>
                              </w:rPr>
                              <m:t>r</m:t>
                            </m:r>
                          </m:sub>
                          <m:sup/>
                          <m:e>
                            <m:sSubSup>
                              <m:sSubSupPr>
                                <m:ctrlPr>
                                  <w:rPr>
                                    <w:rFonts w:ascii="Cambria Math" w:hAnsi="Cambria Math"/>
                                    <w:i/>
                                    <w:lang w:val="en-PH"/>
                                  </w:rPr>
                                </m:ctrlPr>
                              </m:sSubSupPr>
                              <m:e>
                                <m:sSub>
                                  <m:sSubPr>
                                    <m:ctrlPr>
                                      <w:rPr>
                                        <w:rFonts w:ascii="Cambria Math" w:hAnsi="Cambria Math"/>
                                        <w:i/>
                                        <w:lang w:val="en-PH"/>
                                      </w:rPr>
                                    </m:ctrlPr>
                                  </m:sSubPr>
                                  <m:e>
                                    <m:r>
                                      <w:rPr>
                                        <w:rFonts w:ascii="Cambria Math" w:hAnsi="Cambria Math"/>
                                        <w:lang w:val="en-PH"/>
                                      </w:rPr>
                                      <m:t>γ</m:t>
                                    </m:r>
                                  </m:e>
                                  <m:sub>
                                    <m:r>
                                      <w:rPr>
                                        <w:rFonts w:ascii="Cambria Math" w:hAnsi="Cambria Math"/>
                                        <w:lang w:val="en-PH"/>
                                      </w:rPr>
                                      <m:t>(r,i,τ)</m:t>
                                    </m:r>
                                  </m:sub>
                                </m:sSub>
                                <m:r>
                                  <w:rPr>
                                    <w:rFonts w:ascii="Cambria Math" w:hAnsi="Cambria Math"/>
                                    <w:lang w:val="en-PH"/>
                                  </w:rPr>
                                  <m:t>Y</m:t>
                                </m:r>
                              </m:e>
                              <m:sub>
                                <m:d>
                                  <m:dPr>
                                    <m:ctrlPr>
                                      <w:rPr>
                                        <w:rFonts w:ascii="Cambria Math" w:hAnsi="Cambria Math"/>
                                        <w:i/>
                                        <w:lang w:val="en-PH"/>
                                      </w:rPr>
                                    </m:ctrlPr>
                                  </m:dPr>
                                  <m:e>
                                    <m:r>
                                      <w:rPr>
                                        <w:rFonts w:ascii="Cambria Math" w:hAnsi="Cambria Math"/>
                                        <w:lang w:val="en-PH"/>
                                      </w:rPr>
                                      <m:t>r,i,τ</m:t>
                                    </m:r>
                                  </m:e>
                                </m:d>
                              </m:sub>
                              <m:sup>
                                <m:r>
                                  <w:rPr>
                                    <w:rFonts w:ascii="Cambria Math" w:hAnsi="Cambria Math"/>
                                    <w:lang w:val="en-PH"/>
                                  </w:rPr>
                                  <m:t>D</m:t>
                                </m:r>
                              </m:sup>
                            </m:sSubSup>
                            <m:r>
                              <w:rPr>
                                <w:rFonts w:ascii="Cambria Math" w:hAnsi="Cambria Math"/>
                                <w:lang w:val="en-PH"/>
                              </w:rPr>
                              <m:t>/2</m:t>
                            </m:r>
                            <m:sSub>
                              <m:sSubPr>
                                <m:ctrlPr>
                                  <w:rPr>
                                    <w:rFonts w:ascii="Cambria Math" w:hAnsi="Cambria Math"/>
                                    <w:i/>
                                    <w:lang w:val="en-PH"/>
                                  </w:rPr>
                                </m:ctrlPr>
                              </m:sSubPr>
                              <m:e>
                                <m:r>
                                  <w:rPr>
                                    <w:rFonts w:ascii="Cambria Math" w:hAnsi="Cambria Math"/>
                                    <w:lang w:val="en-PH"/>
                                  </w:rPr>
                                  <m:t>y</m:t>
                                </m:r>
                              </m:e>
                              <m:sub>
                                <m:r>
                                  <w:rPr>
                                    <w:rFonts w:ascii="Cambria Math" w:hAnsi="Cambria Math"/>
                                    <w:lang w:val="en-PH"/>
                                  </w:rPr>
                                  <m:t>(r,i,τ)</m:t>
                                </m:r>
                              </m:sub>
                            </m:sSub>
                          </m:e>
                        </m:nary>
                      </m:e>
                    </m:nary>
                  </m:den>
                </m:f>
                <m:r>
                  <w:rPr>
                    <w:rFonts w:ascii="Cambria Math" w:hAnsi="Cambria Math"/>
                    <w:lang w:val="en-PH"/>
                  </w:rPr>
                  <m:t>.</m:t>
                </m:r>
              </m:oMath>
            </m:oMathPara>
          </w:p>
          <w:p w14:paraId="261296D3" w14:textId="69906D9D" w:rsidR="005B3D0B" w:rsidRPr="005F3912" w:rsidRDefault="005B3D0B" w:rsidP="00A530DE">
            <w:pPr>
              <w:pStyle w:val="Box"/>
              <w:rPr>
                <w:lang w:val="en-PH"/>
              </w:rPr>
            </w:pPr>
            <w:r w:rsidRPr="005F3912">
              <w:rPr>
                <w:iCs/>
                <w:lang w:val="en-PH"/>
              </w:rPr>
              <w:t xml:space="preserve">This is the ratio of </w:t>
            </w:r>
            <m:oMath>
              <m:d>
                <m:dPr>
                  <m:ctrlPr>
                    <w:rPr>
                      <w:rFonts w:ascii="Cambria Math" w:hAnsi="Cambria Math"/>
                      <w:iCs/>
                      <w:lang w:val="en-PH"/>
                    </w:rPr>
                  </m:ctrlPr>
                </m:dPr>
                <m:e>
                  <m:r>
                    <w:rPr>
                      <w:rFonts w:ascii="Cambria Math" w:hAnsi="Cambria Math"/>
                      <w:lang w:val="en-PH"/>
                    </w:rPr>
                    <m:t>s,i</m:t>
                  </m:r>
                </m:e>
              </m:d>
            </m:oMath>
            <w:r w:rsidRPr="005F3912">
              <w:rPr>
                <w:iCs/>
                <w:lang w:val="en-PH"/>
              </w:rPr>
              <w:t xml:space="preserve">’s </w:t>
            </w:r>
            <m:oMath>
              <m:sSup>
                <m:sSupPr>
                  <m:ctrlPr>
                    <w:rPr>
                      <w:rFonts w:ascii="Cambria Math" w:hAnsi="Cambria Math"/>
                      <w:i/>
                      <w:lang w:val="en-PH"/>
                    </w:rPr>
                  </m:ctrlPr>
                </m:sSupPr>
                <m:e>
                  <m:r>
                    <w:rPr>
                      <w:rFonts w:ascii="Cambria Math" w:hAnsi="Cambria Math"/>
                      <w:lang w:val="en-PH"/>
                    </w:rPr>
                    <m:t>Y</m:t>
                  </m:r>
                </m:e>
                <m:sup>
                  <m:r>
                    <w:rPr>
                      <w:rFonts w:ascii="Cambria Math" w:hAnsi="Cambria Math"/>
                      <w:lang w:val="en-PH"/>
                    </w:rPr>
                    <m:t>D</m:t>
                  </m:r>
                </m:sup>
              </m:sSup>
            </m:oMath>
            <w:r w:rsidRPr="005F3912">
              <w:rPr>
                <w:lang w:val="en-PH"/>
              </w:rPr>
              <w:t xml:space="preserve"> share in final goods sales against the world average for that sector.</w:t>
            </w:r>
          </w:p>
          <w:p w14:paraId="197BC7D2" w14:textId="7F46BEE5" w:rsidR="005B3D0B" w:rsidRDefault="005B3D0B" w:rsidP="00A530DE">
            <w:pPr>
              <w:pStyle w:val="Box"/>
              <w:rPr>
                <w:lang w:val="en-PH"/>
              </w:rPr>
            </w:pPr>
            <w:r w:rsidRPr="005F3912">
              <w:rPr>
                <w:lang w:val="en-PH"/>
              </w:rPr>
              <w:t xml:space="preserve">Being ratios, agglomeration in either perspective is said to be high if the index is greater than 1; conversely if it were less than 1. A </w:t>
            </w:r>
            <w:r w:rsidR="00594990">
              <w:rPr>
                <w:lang w:val="en-PH"/>
              </w:rPr>
              <w:t>country-sector</w:t>
            </w:r>
            <w:r w:rsidR="00594990" w:rsidRPr="005F3912">
              <w:rPr>
                <w:lang w:val="en-PH"/>
              </w:rPr>
              <w:t xml:space="preserve"> </w:t>
            </w:r>
            <w:r w:rsidRPr="005F3912">
              <w:rPr>
                <w:lang w:val="en-PH"/>
              </w:rPr>
              <w:t xml:space="preserve">may be profiled by whether it has high or low forward and backward agglomeration. The four possible types are presented in the agglomeration map </w:t>
            </w:r>
            <w:r w:rsidR="00413E9B">
              <w:rPr>
                <w:lang w:val="en-PH"/>
              </w:rPr>
              <w:t>below</w:t>
            </w:r>
            <w:r w:rsidRPr="005F3912">
              <w:rPr>
                <w:lang w:val="en-PH"/>
              </w:rPr>
              <w:t>.</w:t>
            </w:r>
          </w:p>
          <w:p w14:paraId="68FC48FB" w14:textId="527AAEBB" w:rsidR="005B3D0B" w:rsidRPr="00A530DE" w:rsidRDefault="005B3D0B" w:rsidP="00A530DE">
            <w:pPr>
              <w:pStyle w:val="Box"/>
              <w:jc w:val="center"/>
              <w:rPr>
                <w:b/>
                <w:bCs/>
              </w:rPr>
            </w:pPr>
            <w:r w:rsidRPr="00A530DE">
              <w:rPr>
                <w:b/>
                <w:bCs/>
              </w:rPr>
              <w:t>The Agglomeration Map</w:t>
            </w:r>
          </w:p>
          <w:p w14:paraId="3188B2BB" w14:textId="478E267B" w:rsidR="005B3D0B" w:rsidRPr="005F3912" w:rsidRDefault="00A530DE" w:rsidP="00A530DE">
            <w:pPr>
              <w:pStyle w:val="Box"/>
            </w:pPr>
            <w:bookmarkStart w:id="77" w:name="_Ref77926083"/>
            <w:r w:rsidRPr="00A530DE">
              <w:rPr>
                <w:b/>
                <w:bCs/>
                <w:noProof/>
                <w:lang w:val="en-PH"/>
              </w:rPr>
              <mc:AlternateContent>
                <mc:Choice Requires="wps">
                  <w:drawing>
                    <wp:anchor distT="0" distB="0" distL="114300" distR="114300" simplePos="0" relativeHeight="251732992" behindDoc="0" locked="0" layoutInCell="1" allowOverlap="1" wp14:anchorId="57EFA6E9" wp14:editId="3C3ED885">
                      <wp:simplePos x="0" y="0"/>
                      <wp:positionH relativeFrom="margin">
                        <wp:posOffset>649605</wp:posOffset>
                      </wp:positionH>
                      <wp:positionV relativeFrom="paragraph">
                        <wp:posOffset>50800</wp:posOffset>
                      </wp:positionV>
                      <wp:extent cx="4255135" cy="113792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255135" cy="1137920"/>
                              </a:xfrm>
                              <a:prstGeom prst="rect">
                                <a:avLst/>
                              </a:prstGeom>
                              <a:noFill/>
                              <a:ln w="6350">
                                <a:noFill/>
                              </a:ln>
                            </wps:spPr>
                            <wps:txbx>
                              <w:txbxContent>
                                <w:tbl>
                                  <w:tblPr>
                                    <w:tblStyle w:val="TableGrid"/>
                                    <w:tblW w:w="0" w:type="auto"/>
                                    <w:jc w:val="center"/>
                                    <w:tblLook w:val="04A0" w:firstRow="1" w:lastRow="0" w:firstColumn="1" w:lastColumn="0" w:noHBand="0" w:noVBand="1"/>
                                  </w:tblPr>
                                  <w:tblGrid>
                                    <w:gridCol w:w="2977"/>
                                    <w:gridCol w:w="3047"/>
                                  </w:tblGrid>
                                  <w:tr w:rsidR="005B3D0B" w:rsidRPr="007742A5" w14:paraId="2EE0D630" w14:textId="77777777" w:rsidTr="00E33ABE">
                                    <w:trPr>
                                      <w:trHeight w:val="557"/>
                                      <w:jc w:val="center"/>
                                    </w:trPr>
                                    <w:tc>
                                      <w:tcPr>
                                        <w:tcW w:w="2977" w:type="dxa"/>
                                        <w:tcBorders>
                                          <w:left w:val="single" w:sz="4" w:space="0" w:color="000000" w:themeColor="text1"/>
                                        </w:tcBorders>
                                        <w:shd w:val="clear" w:color="auto" w:fill="FFFFFF" w:themeFill="background1"/>
                                      </w:tcPr>
                                      <w:p w14:paraId="35FE48E5" w14:textId="77777777" w:rsidR="005B3D0B" w:rsidRPr="007742A5" w:rsidRDefault="005B3D0B" w:rsidP="002A11EC">
                                        <w:pPr>
                                          <w:spacing w:before="60" w:after="60"/>
                                          <w:jc w:val="center"/>
                                          <w:rPr>
                                            <w:sz w:val="20"/>
                                            <w:szCs w:val="20"/>
                                          </w:rPr>
                                        </w:pPr>
                                        <w:r w:rsidRPr="007742A5">
                                          <w:rPr>
                                            <w:sz w:val="20"/>
                                            <w:szCs w:val="20"/>
                                          </w:rPr>
                                          <w:t>Reshoring economies</w:t>
                                        </w:r>
                                      </w:p>
                                      <w:p w14:paraId="773F574C" w14:textId="77777777" w:rsidR="005B3D0B" w:rsidRPr="007742A5" w:rsidRDefault="005B3D0B" w:rsidP="002A11EC">
                                        <w:pPr>
                                          <w:spacing w:before="60" w:after="60"/>
                                          <w:jc w:val="center"/>
                                          <w:rPr>
                                            <w:sz w:val="20"/>
                                            <w:szCs w:val="20"/>
                                          </w:rPr>
                                        </w:pPr>
                                        <m:oMathPara>
                                          <m:oMath>
                                            <m:r>
                                              <w:rPr>
                                                <w:rFonts w:ascii="Cambria Math" w:hAnsi="Cambria Math"/>
                                                <w:sz w:val="20"/>
                                                <w:szCs w:val="20"/>
                                              </w:rPr>
                                              <m:t>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F</m:t>
                                                </m:r>
                                              </m:sup>
                                            </m:sSup>
                                            <m:r>
                                              <w:rPr>
                                                <w:rFonts w:ascii="Cambria Math" w:hAnsi="Cambria Math"/>
                                                <w:sz w:val="20"/>
                                                <w:szCs w:val="20"/>
                                              </w:rPr>
                                              <m:t>&lt;1, 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B</m:t>
                                                </m:r>
                                              </m:sup>
                                            </m:sSup>
                                            <m:r>
                                              <w:rPr>
                                                <w:rFonts w:ascii="Cambria Math" w:hAnsi="Cambria Math"/>
                                                <w:sz w:val="20"/>
                                                <w:szCs w:val="20"/>
                                              </w:rPr>
                                              <m:t>&gt;1</m:t>
                                            </m:r>
                                          </m:oMath>
                                        </m:oMathPara>
                                      </w:p>
                                    </w:tc>
                                    <w:tc>
                                      <w:tcPr>
                                        <w:tcW w:w="3047" w:type="dxa"/>
                                        <w:shd w:val="clear" w:color="auto" w:fill="FFFFFF" w:themeFill="background1"/>
                                      </w:tcPr>
                                      <w:p w14:paraId="54050435" w14:textId="77777777" w:rsidR="005B3D0B" w:rsidRPr="007742A5" w:rsidRDefault="005B3D0B" w:rsidP="002A11EC">
                                        <w:pPr>
                                          <w:spacing w:before="60" w:after="60"/>
                                          <w:jc w:val="center"/>
                                          <w:rPr>
                                            <w:sz w:val="20"/>
                                            <w:szCs w:val="20"/>
                                          </w:rPr>
                                        </w:pPr>
                                        <w:r w:rsidRPr="007742A5">
                                          <w:rPr>
                                            <w:sz w:val="20"/>
                                            <w:szCs w:val="20"/>
                                          </w:rPr>
                                          <w:t>High agglomeration</w:t>
                                        </w:r>
                                      </w:p>
                                      <w:p w14:paraId="5F7F39FF" w14:textId="77777777" w:rsidR="005B3D0B" w:rsidRPr="007742A5" w:rsidRDefault="005B3D0B" w:rsidP="002A11EC">
                                        <w:pPr>
                                          <w:spacing w:before="60" w:after="60"/>
                                          <w:jc w:val="center"/>
                                          <w:rPr>
                                            <w:sz w:val="20"/>
                                            <w:szCs w:val="20"/>
                                          </w:rPr>
                                        </w:pPr>
                                        <m:oMathPara>
                                          <m:oMath>
                                            <m:r>
                                              <w:rPr>
                                                <w:rFonts w:ascii="Cambria Math" w:hAnsi="Cambria Math"/>
                                                <w:sz w:val="20"/>
                                                <w:szCs w:val="20"/>
                                              </w:rPr>
                                              <m:t>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F</m:t>
                                                </m:r>
                                              </m:sup>
                                            </m:sSup>
                                            <m:r>
                                              <w:rPr>
                                                <w:rFonts w:ascii="Cambria Math" w:hAnsi="Cambria Math"/>
                                                <w:sz w:val="20"/>
                                                <w:szCs w:val="20"/>
                                              </w:rPr>
                                              <m:t>&gt;1,AG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B</m:t>
                                                </m:r>
                                              </m:sup>
                                            </m:sSup>
                                            <m:r>
                                              <w:rPr>
                                                <w:rFonts w:ascii="Cambria Math" w:hAnsi="Cambria Math"/>
                                                <w:sz w:val="20"/>
                                                <w:szCs w:val="20"/>
                                              </w:rPr>
                                              <m:t>&gt;1</m:t>
                                            </m:r>
                                          </m:oMath>
                                        </m:oMathPara>
                                      </w:p>
                                    </w:tc>
                                  </w:tr>
                                  <w:tr w:rsidR="005B3D0B" w:rsidRPr="007742A5" w14:paraId="1BEB1F63" w14:textId="77777777" w:rsidTr="00E33ABE">
                                    <w:trPr>
                                      <w:trHeight w:val="171"/>
                                      <w:jc w:val="center"/>
                                    </w:trPr>
                                    <w:tc>
                                      <w:tcPr>
                                        <w:tcW w:w="2977" w:type="dxa"/>
                                        <w:tcBorders>
                                          <w:left w:val="single" w:sz="4" w:space="0" w:color="000000" w:themeColor="text1"/>
                                        </w:tcBorders>
                                        <w:shd w:val="clear" w:color="auto" w:fill="FFFFFF" w:themeFill="background1"/>
                                      </w:tcPr>
                                      <w:p w14:paraId="0285AE28" w14:textId="77777777" w:rsidR="005B3D0B" w:rsidRPr="007742A5" w:rsidRDefault="005B3D0B" w:rsidP="002A11EC">
                                        <w:pPr>
                                          <w:spacing w:before="60" w:after="60"/>
                                          <w:jc w:val="center"/>
                                          <w:rPr>
                                            <w:sz w:val="20"/>
                                            <w:szCs w:val="20"/>
                                          </w:rPr>
                                        </w:pPr>
                                        <w:r w:rsidRPr="007742A5">
                                          <w:rPr>
                                            <w:sz w:val="20"/>
                                            <w:szCs w:val="20"/>
                                          </w:rPr>
                                          <w:t>Low agglomeration</w:t>
                                        </w:r>
                                      </w:p>
                                      <w:p w14:paraId="5D76E948" w14:textId="77777777" w:rsidR="005B3D0B" w:rsidRPr="007742A5" w:rsidRDefault="005B3D0B" w:rsidP="002A11EC">
                                        <w:pPr>
                                          <w:spacing w:before="60" w:after="60"/>
                                          <w:jc w:val="center"/>
                                          <w:rPr>
                                            <w:sz w:val="20"/>
                                            <w:szCs w:val="20"/>
                                          </w:rPr>
                                        </w:pPr>
                                        <m:oMathPara>
                                          <m:oMath>
                                            <m:r>
                                              <w:rPr>
                                                <w:rFonts w:ascii="Cambria Math" w:hAnsi="Cambria Math"/>
                                                <w:sz w:val="20"/>
                                                <w:szCs w:val="20"/>
                                              </w:rPr>
                                              <m:t>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F</m:t>
                                                </m:r>
                                              </m:sup>
                                            </m:sSup>
                                            <m:r>
                                              <w:rPr>
                                                <w:rFonts w:ascii="Cambria Math" w:hAnsi="Cambria Math"/>
                                                <w:sz w:val="20"/>
                                                <w:szCs w:val="20"/>
                                              </w:rPr>
                                              <m:t>&lt;1,AG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B</m:t>
                                                </m:r>
                                              </m:sup>
                                            </m:sSup>
                                            <m:r>
                                              <w:rPr>
                                                <w:rFonts w:ascii="Cambria Math" w:hAnsi="Cambria Math"/>
                                                <w:sz w:val="20"/>
                                                <w:szCs w:val="20"/>
                                              </w:rPr>
                                              <m:t>&lt;1</m:t>
                                            </m:r>
                                          </m:oMath>
                                        </m:oMathPara>
                                      </w:p>
                                    </w:tc>
                                    <w:tc>
                                      <w:tcPr>
                                        <w:tcW w:w="3047" w:type="dxa"/>
                                        <w:shd w:val="clear" w:color="auto" w:fill="FFFFFF" w:themeFill="background1"/>
                                      </w:tcPr>
                                      <w:p w14:paraId="35E04434" w14:textId="77777777" w:rsidR="005B3D0B" w:rsidRPr="007742A5" w:rsidRDefault="005B3D0B" w:rsidP="002A11EC">
                                        <w:pPr>
                                          <w:spacing w:before="60" w:after="60"/>
                                          <w:jc w:val="center"/>
                                          <w:rPr>
                                            <w:sz w:val="20"/>
                                            <w:szCs w:val="20"/>
                                          </w:rPr>
                                        </w:pPr>
                                        <w:r w:rsidRPr="007742A5">
                                          <w:rPr>
                                            <w:sz w:val="20"/>
                                            <w:szCs w:val="20"/>
                                          </w:rPr>
                                          <w:t>DVA generating economies</w:t>
                                        </w:r>
                                      </w:p>
                                      <w:p w14:paraId="77A54F96" w14:textId="77777777" w:rsidR="005B3D0B" w:rsidRPr="007742A5" w:rsidRDefault="005B3D0B" w:rsidP="002A11EC">
                                        <w:pPr>
                                          <w:spacing w:before="60" w:after="60"/>
                                          <w:jc w:val="center"/>
                                          <w:rPr>
                                            <w:sz w:val="20"/>
                                            <w:szCs w:val="20"/>
                                          </w:rPr>
                                        </w:pPr>
                                        <m:oMathPara>
                                          <m:oMath>
                                            <m:r>
                                              <w:rPr>
                                                <w:rFonts w:ascii="Cambria Math" w:hAnsi="Cambria Math"/>
                                                <w:sz w:val="20"/>
                                                <w:szCs w:val="20"/>
                                              </w:rPr>
                                              <m:t>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F</m:t>
                                                </m:r>
                                              </m:sup>
                                            </m:sSup>
                                            <m:r>
                                              <w:rPr>
                                                <w:rFonts w:ascii="Cambria Math" w:hAnsi="Cambria Math"/>
                                                <w:sz w:val="20"/>
                                                <w:szCs w:val="20"/>
                                              </w:rPr>
                                              <m:t>&gt;1,AG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B</m:t>
                                                </m:r>
                                              </m:sup>
                                            </m:sSup>
                                            <m:r>
                                              <w:rPr>
                                                <w:rFonts w:ascii="Cambria Math" w:hAnsi="Cambria Math"/>
                                                <w:sz w:val="20"/>
                                                <w:szCs w:val="20"/>
                                              </w:rPr>
                                              <m:t>&lt;1</m:t>
                                            </m:r>
                                          </m:oMath>
                                        </m:oMathPara>
                                      </w:p>
                                    </w:tc>
                                  </w:tr>
                                </w:tbl>
                                <w:p w14:paraId="261FD00A" w14:textId="77777777" w:rsidR="005B3D0B" w:rsidRPr="007742A5" w:rsidRDefault="005B3D0B" w:rsidP="005B3D0B">
                                  <w:pPr>
                                    <w:pStyle w:val="Notes"/>
                                    <w:rPr>
                                      <w:sz w:val="20"/>
                                      <w:szCs w:val="20"/>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EFA6E9" id="_x0000_t202" coordsize="21600,21600" o:spt="202" path="m,l,21600r21600,l21600,xe">
                      <v:stroke joinstyle="miter"/>
                      <v:path gradientshapeok="t" o:connecttype="rect"/>
                    </v:shapetype>
                    <v:shape id="Text Box 15" o:spid="_x0000_s1043" type="#_x0000_t202" style="position:absolute;margin-left:51.15pt;margin-top:4pt;width:335.05pt;height:89.6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" filled="f" stroked="f" strokeweight=".5pt">
                      <v:textbox>
                        <w:txbxContent>
                          <w:tbl>
                            <w:tblPr>
                              <w:tblStyle w:val="TableGrid"/>
                              <w:tblW w:w="0" w:type="auto"/>
                              <w:jc w:val="center"/>
                              <w:tblLook w:val="04A0" w:firstRow="1" w:lastRow="0" w:firstColumn="1" w:lastColumn="0" w:noHBand="0" w:noVBand="1"/>
                            </w:tblPr>
                            <w:tblGrid>
                              <w:gridCol w:w="2977"/>
                              <w:gridCol w:w="3047"/>
                            </w:tblGrid>
                            <w:tr w:rsidR="005B3D0B" w:rsidRPr="007742A5" w14:paraId="2EE0D630" w14:textId="77777777" w:rsidTr="00E33ABE">
                              <w:trPr>
                                <w:trHeight w:val="557"/>
                                <w:jc w:val="center"/>
                              </w:trPr>
                              <w:tc>
                                <w:tcPr>
                                  <w:tcW w:w="2977" w:type="dxa"/>
                                  <w:tcBorders>
                                    <w:left w:val="single" w:sz="4" w:space="0" w:color="000000" w:themeColor="text1"/>
                                  </w:tcBorders>
                                  <w:shd w:val="clear" w:color="auto" w:fill="FFFFFF" w:themeFill="background1"/>
                                </w:tcPr>
                                <w:p w14:paraId="35FE48E5" w14:textId="77777777" w:rsidR="005B3D0B" w:rsidRPr="007742A5" w:rsidRDefault="005B3D0B" w:rsidP="002A11EC">
                                  <w:pPr>
                                    <w:spacing w:before="60" w:after="60"/>
                                    <w:jc w:val="center"/>
                                    <w:rPr>
                                      <w:sz w:val="20"/>
                                      <w:szCs w:val="20"/>
                                    </w:rPr>
                                  </w:pPr>
                                  <w:r w:rsidRPr="007742A5">
                                    <w:rPr>
                                      <w:sz w:val="20"/>
                                      <w:szCs w:val="20"/>
                                    </w:rPr>
                                    <w:t>Reshoring economies</w:t>
                                  </w:r>
                                </w:p>
                                <w:p w14:paraId="773F574C" w14:textId="77777777" w:rsidR="005B3D0B" w:rsidRPr="007742A5" w:rsidRDefault="005B3D0B" w:rsidP="002A11EC">
                                  <w:pPr>
                                    <w:spacing w:before="60" w:after="60"/>
                                    <w:jc w:val="center"/>
                                    <w:rPr>
                                      <w:sz w:val="20"/>
                                      <w:szCs w:val="20"/>
                                    </w:rPr>
                                  </w:pPr>
                                  <m:oMathPara>
                                    <m:oMath>
                                      <m:r>
                                        <w:rPr>
                                          <w:rFonts w:ascii="Cambria Math" w:hAnsi="Cambria Math"/>
                                          <w:sz w:val="20"/>
                                          <w:szCs w:val="20"/>
                                        </w:rPr>
                                        <m:t>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F</m:t>
                                          </m:r>
                                        </m:sup>
                                      </m:sSup>
                                      <m:r>
                                        <w:rPr>
                                          <w:rFonts w:ascii="Cambria Math" w:hAnsi="Cambria Math"/>
                                          <w:sz w:val="20"/>
                                          <w:szCs w:val="20"/>
                                        </w:rPr>
                                        <m:t>&lt;1, 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B</m:t>
                                          </m:r>
                                        </m:sup>
                                      </m:sSup>
                                      <m:r>
                                        <w:rPr>
                                          <w:rFonts w:ascii="Cambria Math" w:hAnsi="Cambria Math"/>
                                          <w:sz w:val="20"/>
                                          <w:szCs w:val="20"/>
                                        </w:rPr>
                                        <m:t>&gt;1</m:t>
                                      </m:r>
                                    </m:oMath>
                                  </m:oMathPara>
                                </w:p>
                              </w:tc>
                              <w:tc>
                                <w:tcPr>
                                  <w:tcW w:w="3047" w:type="dxa"/>
                                  <w:shd w:val="clear" w:color="auto" w:fill="FFFFFF" w:themeFill="background1"/>
                                </w:tcPr>
                                <w:p w14:paraId="54050435" w14:textId="77777777" w:rsidR="005B3D0B" w:rsidRPr="007742A5" w:rsidRDefault="005B3D0B" w:rsidP="002A11EC">
                                  <w:pPr>
                                    <w:spacing w:before="60" w:after="60"/>
                                    <w:jc w:val="center"/>
                                    <w:rPr>
                                      <w:sz w:val="20"/>
                                      <w:szCs w:val="20"/>
                                    </w:rPr>
                                  </w:pPr>
                                  <w:r w:rsidRPr="007742A5">
                                    <w:rPr>
                                      <w:sz w:val="20"/>
                                      <w:szCs w:val="20"/>
                                    </w:rPr>
                                    <w:t>High agglomeration</w:t>
                                  </w:r>
                                </w:p>
                                <w:p w14:paraId="5F7F39FF" w14:textId="77777777" w:rsidR="005B3D0B" w:rsidRPr="007742A5" w:rsidRDefault="005B3D0B" w:rsidP="002A11EC">
                                  <w:pPr>
                                    <w:spacing w:before="60" w:after="60"/>
                                    <w:jc w:val="center"/>
                                    <w:rPr>
                                      <w:sz w:val="20"/>
                                      <w:szCs w:val="20"/>
                                    </w:rPr>
                                  </w:pPr>
                                  <m:oMathPara>
                                    <m:oMath>
                                      <m:r>
                                        <w:rPr>
                                          <w:rFonts w:ascii="Cambria Math" w:hAnsi="Cambria Math"/>
                                          <w:sz w:val="20"/>
                                          <w:szCs w:val="20"/>
                                        </w:rPr>
                                        <m:t>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F</m:t>
                                          </m:r>
                                        </m:sup>
                                      </m:sSup>
                                      <m:r>
                                        <w:rPr>
                                          <w:rFonts w:ascii="Cambria Math" w:hAnsi="Cambria Math"/>
                                          <w:sz w:val="20"/>
                                          <w:szCs w:val="20"/>
                                        </w:rPr>
                                        <m:t>&gt;1,AG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B</m:t>
                                          </m:r>
                                        </m:sup>
                                      </m:sSup>
                                      <m:r>
                                        <w:rPr>
                                          <w:rFonts w:ascii="Cambria Math" w:hAnsi="Cambria Math"/>
                                          <w:sz w:val="20"/>
                                          <w:szCs w:val="20"/>
                                        </w:rPr>
                                        <m:t>&gt;1</m:t>
                                      </m:r>
                                    </m:oMath>
                                  </m:oMathPara>
                                </w:p>
                              </w:tc>
                            </w:tr>
                            <w:tr w:rsidR="005B3D0B" w:rsidRPr="007742A5" w14:paraId="1BEB1F63" w14:textId="77777777" w:rsidTr="00E33ABE">
                              <w:trPr>
                                <w:trHeight w:val="171"/>
                                <w:jc w:val="center"/>
                              </w:trPr>
                              <w:tc>
                                <w:tcPr>
                                  <w:tcW w:w="2977" w:type="dxa"/>
                                  <w:tcBorders>
                                    <w:left w:val="single" w:sz="4" w:space="0" w:color="000000" w:themeColor="text1"/>
                                  </w:tcBorders>
                                  <w:shd w:val="clear" w:color="auto" w:fill="FFFFFF" w:themeFill="background1"/>
                                </w:tcPr>
                                <w:p w14:paraId="0285AE28" w14:textId="77777777" w:rsidR="005B3D0B" w:rsidRPr="007742A5" w:rsidRDefault="005B3D0B" w:rsidP="002A11EC">
                                  <w:pPr>
                                    <w:spacing w:before="60" w:after="60"/>
                                    <w:jc w:val="center"/>
                                    <w:rPr>
                                      <w:sz w:val="20"/>
                                      <w:szCs w:val="20"/>
                                    </w:rPr>
                                  </w:pPr>
                                  <w:r w:rsidRPr="007742A5">
                                    <w:rPr>
                                      <w:sz w:val="20"/>
                                      <w:szCs w:val="20"/>
                                    </w:rPr>
                                    <w:t>Low agglomeration</w:t>
                                  </w:r>
                                </w:p>
                                <w:p w14:paraId="5D76E948" w14:textId="77777777" w:rsidR="005B3D0B" w:rsidRPr="007742A5" w:rsidRDefault="005B3D0B" w:rsidP="002A11EC">
                                  <w:pPr>
                                    <w:spacing w:before="60" w:after="60"/>
                                    <w:jc w:val="center"/>
                                    <w:rPr>
                                      <w:sz w:val="20"/>
                                      <w:szCs w:val="20"/>
                                    </w:rPr>
                                  </w:pPr>
                                  <m:oMathPara>
                                    <m:oMath>
                                      <m:r>
                                        <w:rPr>
                                          <w:rFonts w:ascii="Cambria Math" w:hAnsi="Cambria Math"/>
                                          <w:sz w:val="20"/>
                                          <w:szCs w:val="20"/>
                                        </w:rPr>
                                        <m:t>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F</m:t>
                                          </m:r>
                                        </m:sup>
                                      </m:sSup>
                                      <m:r>
                                        <w:rPr>
                                          <w:rFonts w:ascii="Cambria Math" w:hAnsi="Cambria Math"/>
                                          <w:sz w:val="20"/>
                                          <w:szCs w:val="20"/>
                                        </w:rPr>
                                        <m:t>&lt;1,AG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B</m:t>
                                          </m:r>
                                        </m:sup>
                                      </m:sSup>
                                      <m:r>
                                        <w:rPr>
                                          <w:rFonts w:ascii="Cambria Math" w:hAnsi="Cambria Math"/>
                                          <w:sz w:val="20"/>
                                          <w:szCs w:val="20"/>
                                        </w:rPr>
                                        <m:t>&lt;1</m:t>
                                      </m:r>
                                    </m:oMath>
                                  </m:oMathPara>
                                </w:p>
                              </w:tc>
                              <w:tc>
                                <w:tcPr>
                                  <w:tcW w:w="3047" w:type="dxa"/>
                                  <w:shd w:val="clear" w:color="auto" w:fill="FFFFFF" w:themeFill="background1"/>
                                </w:tcPr>
                                <w:p w14:paraId="35E04434" w14:textId="77777777" w:rsidR="005B3D0B" w:rsidRPr="007742A5" w:rsidRDefault="005B3D0B" w:rsidP="002A11EC">
                                  <w:pPr>
                                    <w:spacing w:before="60" w:after="60"/>
                                    <w:jc w:val="center"/>
                                    <w:rPr>
                                      <w:sz w:val="20"/>
                                      <w:szCs w:val="20"/>
                                    </w:rPr>
                                  </w:pPr>
                                  <w:r w:rsidRPr="007742A5">
                                    <w:rPr>
                                      <w:sz w:val="20"/>
                                      <w:szCs w:val="20"/>
                                    </w:rPr>
                                    <w:t>DVA generating economies</w:t>
                                  </w:r>
                                </w:p>
                                <w:p w14:paraId="77A54F96" w14:textId="77777777" w:rsidR="005B3D0B" w:rsidRPr="007742A5" w:rsidRDefault="005B3D0B" w:rsidP="002A11EC">
                                  <w:pPr>
                                    <w:spacing w:before="60" w:after="60"/>
                                    <w:jc w:val="center"/>
                                    <w:rPr>
                                      <w:sz w:val="20"/>
                                      <w:szCs w:val="20"/>
                                    </w:rPr>
                                  </w:pPr>
                                  <m:oMathPara>
                                    <m:oMath>
                                      <m:r>
                                        <w:rPr>
                                          <w:rFonts w:ascii="Cambria Math" w:hAnsi="Cambria Math"/>
                                          <w:sz w:val="20"/>
                                          <w:szCs w:val="20"/>
                                        </w:rPr>
                                        <m:t>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F</m:t>
                                          </m:r>
                                        </m:sup>
                                      </m:sSup>
                                      <m:r>
                                        <w:rPr>
                                          <w:rFonts w:ascii="Cambria Math" w:hAnsi="Cambria Math"/>
                                          <w:sz w:val="20"/>
                                          <w:szCs w:val="20"/>
                                        </w:rPr>
                                        <m:t>&gt;1,AG</m:t>
                                      </m:r>
                                      <m:sSup>
                                        <m:sSupPr>
                                          <m:ctrlPr>
                                            <w:rPr>
                                              <w:rFonts w:ascii="Cambria Math" w:hAnsi="Cambria Math"/>
                                              <w:i/>
                                              <w:sz w:val="20"/>
                                              <w:szCs w:val="20"/>
                                            </w:rPr>
                                          </m:ctrlPr>
                                        </m:sSupPr>
                                        <m:e>
                                          <m:r>
                                            <w:rPr>
                                              <w:rFonts w:ascii="Cambria Math" w:hAnsi="Cambria Math"/>
                                              <w:sz w:val="20"/>
                                              <w:szCs w:val="20"/>
                                            </w:rPr>
                                            <m:t>G</m:t>
                                          </m:r>
                                        </m:e>
                                        <m:sup>
                                          <m:r>
                                            <w:rPr>
                                              <w:rFonts w:ascii="Cambria Math" w:hAnsi="Cambria Math"/>
                                              <w:sz w:val="20"/>
                                              <w:szCs w:val="20"/>
                                            </w:rPr>
                                            <m:t>B</m:t>
                                          </m:r>
                                        </m:sup>
                                      </m:sSup>
                                      <m:r>
                                        <w:rPr>
                                          <w:rFonts w:ascii="Cambria Math" w:hAnsi="Cambria Math"/>
                                          <w:sz w:val="20"/>
                                          <w:szCs w:val="20"/>
                                        </w:rPr>
                                        <m:t>&lt;1</m:t>
                                      </m:r>
                                    </m:oMath>
                                  </m:oMathPara>
                                </w:p>
                              </w:tc>
                            </w:tr>
                          </w:tbl>
                          <w:p w14:paraId="261FD00A" w14:textId="77777777" w:rsidR="005B3D0B" w:rsidRPr="007742A5" w:rsidRDefault="005B3D0B" w:rsidP="005B3D0B">
                            <w:pPr>
                              <w:pStyle w:val="Notes"/>
                              <w:rPr>
                                <w:sz w:val="20"/>
                                <w:szCs w:val="20"/>
                                <w:lang w:val="en-PH"/>
                              </w:rPr>
                            </w:pPr>
                          </w:p>
                        </w:txbxContent>
                      </v:textbox>
                      <w10:wrap anchorx="margin"/>
                    </v:shape>
                  </w:pict>
                </mc:Fallback>
              </mc:AlternateContent>
            </w:r>
            <w:bookmarkEnd w:id="77"/>
          </w:p>
          <w:p w14:paraId="643D78D6" w14:textId="77777777" w:rsidR="005B3D0B" w:rsidRPr="005F3912" w:rsidRDefault="005B3D0B" w:rsidP="00A530DE">
            <w:pPr>
              <w:pStyle w:val="Box"/>
            </w:pPr>
          </w:p>
          <w:p w14:paraId="25519FD5" w14:textId="77777777" w:rsidR="005B3D0B" w:rsidRPr="005F3912" w:rsidRDefault="005B3D0B" w:rsidP="00A530DE">
            <w:pPr>
              <w:pStyle w:val="Box"/>
              <w:rPr>
                <w:lang w:val="en-PH"/>
              </w:rPr>
            </w:pPr>
          </w:p>
          <w:p w14:paraId="476D6C0B" w14:textId="336721C3" w:rsidR="005B3D0B" w:rsidRDefault="005B3D0B" w:rsidP="00A530DE">
            <w:pPr>
              <w:pStyle w:val="Box"/>
              <w:rPr>
                <w:lang w:val="en-PH"/>
              </w:rPr>
            </w:pPr>
          </w:p>
          <w:p w14:paraId="168710F5" w14:textId="56A235AF" w:rsidR="00A530DE" w:rsidRDefault="00A530DE" w:rsidP="00A530DE">
            <w:pPr>
              <w:pStyle w:val="Box"/>
              <w:rPr>
                <w:lang w:val="en-PH"/>
              </w:rPr>
            </w:pPr>
          </w:p>
          <w:p w14:paraId="69556B06" w14:textId="1587B2DE" w:rsidR="00A530DE" w:rsidRPr="005F3912" w:rsidRDefault="00A530DE" w:rsidP="00A530DE">
            <w:pPr>
              <w:pStyle w:val="NotesBottom"/>
              <w:rPr>
                <w:lang w:val="en-PH"/>
              </w:rPr>
            </w:pPr>
            <w:r>
              <w:rPr>
                <w:lang w:val="en-PH"/>
              </w:rPr>
              <w:t>Source: Authors’ drawing.</w:t>
            </w:r>
          </w:p>
          <w:p w14:paraId="5A890C72" w14:textId="06692493" w:rsidR="005B3D0B" w:rsidRDefault="005B3D0B" w:rsidP="00E33ABE">
            <w:pPr>
              <w:pStyle w:val="Box"/>
            </w:pPr>
            <w:r w:rsidRPr="005F3912">
              <w:rPr>
                <w:lang w:val="en-PH"/>
              </w:rPr>
              <w:t>A high backward agglomeration signals that domestic value</w:t>
            </w:r>
            <w:r w:rsidR="00594990">
              <w:rPr>
                <w:lang w:val="en-PH"/>
              </w:rPr>
              <w:t xml:space="preserve"> </w:t>
            </w:r>
            <w:r w:rsidRPr="005F3912">
              <w:rPr>
                <w:lang w:val="en-PH"/>
              </w:rPr>
              <w:t>added embodied in final goods and services consumed domestically is high. Intuitively, this imply that domestic production for domestic consumption is higher than the world average. Meanwhile, a high forward agglomeration indicates that domestic sectors absorb a significant portion  of value</w:t>
            </w:r>
            <w:r w:rsidR="00594990">
              <w:rPr>
                <w:lang w:val="en-PH"/>
              </w:rPr>
              <w:t xml:space="preserve"> </w:t>
            </w:r>
            <w:r w:rsidRPr="005F3912">
              <w:rPr>
                <w:lang w:val="en-PH"/>
              </w:rPr>
              <w:t xml:space="preserve">added generated by a </w:t>
            </w:r>
            <w:r w:rsidR="00594990">
              <w:rPr>
                <w:lang w:val="en-PH"/>
              </w:rPr>
              <w:t>country-sector</w:t>
            </w:r>
            <w:r w:rsidRPr="005F3912">
              <w:rPr>
                <w:lang w:val="en-PH"/>
              </w:rPr>
              <w:t>. This means that value</w:t>
            </w:r>
            <w:r w:rsidR="003E460F">
              <w:rPr>
                <w:lang w:val="en-PH"/>
              </w:rPr>
              <w:t xml:space="preserve"> </w:t>
            </w:r>
            <w:r w:rsidRPr="005F3912">
              <w:rPr>
                <w:lang w:val="en-PH"/>
              </w:rPr>
              <w:t>added that goes to domestic production is higher than world average. The classification presented in the agglomeration map  combine these two effects to determine the form of domestic linkages taking place in a</w:t>
            </w:r>
            <w:r w:rsidR="006A1051">
              <w:rPr>
                <w:lang w:val="en-PH"/>
              </w:rPr>
              <w:t xml:space="preserve"> country-sector</w:t>
            </w:r>
            <w:r w:rsidRPr="005F3912">
              <w:rPr>
                <w:lang w:val="en-PH"/>
              </w:rPr>
              <w:t xml:space="preserve">. </w:t>
            </w:r>
          </w:p>
        </w:tc>
      </w:tr>
    </w:tbl>
    <w:p w14:paraId="493140A2" w14:textId="01895D9F" w:rsidR="009F0504" w:rsidRPr="002D7CF2" w:rsidRDefault="009F0504" w:rsidP="002D7CF2"/>
    <w:p w14:paraId="0BB450BB" w14:textId="605CF30C" w:rsidR="00CA079F" w:rsidRPr="002D7CF2" w:rsidRDefault="00692306" w:rsidP="002D7CF2">
      <w:r w:rsidRPr="002D7CF2">
        <w:t xml:space="preserve">The agglomeration indices allow for an analysis of how concentrated economic activities are in Pakistan relative to other </w:t>
      </w:r>
      <w:r w:rsidR="00250E30" w:rsidRPr="002D7CF2">
        <w:t>countries</w:t>
      </w:r>
      <w:r w:rsidRPr="002D7CF2">
        <w:t xml:space="preserve">. Focus is given to </w:t>
      </w:r>
      <w:r w:rsidR="00250E30" w:rsidRPr="002D7CF2">
        <w:t>neighboring ADB MRIO countries</w:t>
      </w:r>
      <w:r w:rsidRPr="002D7CF2">
        <w:t xml:space="preserve">, namely </w:t>
      </w:r>
      <w:r w:rsidR="00250E30" w:rsidRPr="002D7CF2">
        <w:t xml:space="preserve">Bangladesh, India, </w:t>
      </w:r>
      <w:r w:rsidRPr="002D7CF2">
        <w:t xml:space="preserve">the </w:t>
      </w:r>
      <w:r w:rsidR="00E33ABE">
        <w:t>PRC</w:t>
      </w:r>
      <w:r w:rsidRPr="002D7CF2">
        <w:t xml:space="preserve">, </w:t>
      </w:r>
      <w:r w:rsidR="00250E30" w:rsidRPr="002D7CF2">
        <w:t xml:space="preserve">and </w:t>
      </w:r>
      <w:r w:rsidRPr="002D7CF2">
        <w:t>Sri Lanka. Both the backward and forward agglomeration indices are higher in Pakistan across the years (</w:t>
      </w:r>
      <w:fldSimple w:instr=" REF _Ref83837075 ">
        <w:r w:rsidR="00D57A44">
          <w:t xml:space="preserve">Figure </w:t>
        </w:r>
        <w:r w:rsidR="00D57A44">
          <w:rPr>
            <w:noProof/>
            <w:cs/>
          </w:rPr>
          <w:t>‎</w:t>
        </w:r>
        <w:r w:rsidR="00D57A44">
          <w:rPr>
            <w:noProof/>
          </w:rPr>
          <w:t>5</w:t>
        </w:r>
        <w:r w:rsidR="00D57A44">
          <w:t>.</w:t>
        </w:r>
        <w:r w:rsidR="00D57A44">
          <w:rPr>
            <w:noProof/>
          </w:rPr>
          <w:t>3</w:t>
        </w:r>
      </w:fldSimple>
      <w:r w:rsidRPr="002D7CF2">
        <w:t>). High backward agglomeration implies that domestic production for domestic consumption is high, which may be attributed to barriers to trade. For example, tariff rates in Pakistan and Bangladesh are highest in the region from 2007 to 2017.</w:t>
      </w:r>
      <w:r w:rsidR="007E7E47">
        <w:rPr>
          <w:rStyle w:val="FootnoteReference"/>
        </w:rPr>
        <w:footnoteReference w:id="10"/>
      </w:r>
      <w:r w:rsidRPr="002D7CF2">
        <w:t xml:space="preserve"> This, in turn, incentiv</w:t>
      </w:r>
      <w:r w:rsidR="00F576A3">
        <w:t>izes</w:t>
      </w:r>
      <w:r w:rsidRPr="002D7CF2">
        <w:t xml:space="preserve"> rel</w:t>
      </w:r>
      <w:r w:rsidR="00F576A3">
        <w:t>iance</w:t>
      </w:r>
      <w:r w:rsidRPr="002D7CF2">
        <w:t xml:space="preserve"> on the domestic sector </w:t>
      </w:r>
      <w:r w:rsidR="00F576A3">
        <w:t xml:space="preserve">for </w:t>
      </w:r>
      <w:r w:rsidRPr="002D7CF2">
        <w:t>sourc</w:t>
      </w:r>
      <w:r w:rsidR="00F576A3">
        <w:t>ing</w:t>
      </w:r>
      <w:r w:rsidRPr="002D7CF2">
        <w:t xml:space="preserve"> inputs</w:t>
      </w:r>
      <w:r w:rsidR="00F576A3">
        <w:t>,</w:t>
      </w:r>
      <w:r w:rsidRPr="002D7CF2">
        <w:t xml:space="preserve"> resulting in high backward agglomeration. It must be noted, however, that Pakistan’s backward agglomeration has declined over</w:t>
      </w:r>
      <w:r w:rsidR="00216168">
        <w:t xml:space="preserve"> </w:t>
      </w:r>
      <w:r w:rsidRPr="002D7CF2">
        <w:t>time in contrast to the rest of the region.</w:t>
      </w:r>
    </w:p>
    <w:p w14:paraId="42DD896C" w14:textId="3B500ED8" w:rsidR="009A0787" w:rsidRDefault="00CA079F" w:rsidP="009A0787">
      <w:pPr>
        <w:pStyle w:val="Caption"/>
        <w:rPr>
          <w:sz w:val="22"/>
          <w:szCs w:val="22"/>
        </w:rPr>
      </w:pPr>
      <w:bookmarkStart w:id="78" w:name="_Ref83837075"/>
      <w:bookmarkStart w:id="79" w:name="_Toc83849818"/>
      <w:r>
        <w:rPr>
          <w:noProof/>
          <w:sz w:val="22"/>
          <w:szCs w:val="22"/>
        </w:rPr>
        <w:lastRenderedPageBreak/>
        <w:drawing>
          <wp:anchor distT="0" distB="0" distL="114300" distR="114300" simplePos="0" relativeHeight="251735040" behindDoc="0" locked="0" layoutInCell="1" allowOverlap="1" wp14:anchorId="326E8CD3" wp14:editId="021EB841">
            <wp:simplePos x="0" y="0"/>
            <wp:positionH relativeFrom="margin">
              <wp:align>center</wp:align>
            </wp:positionH>
            <wp:positionV relativeFrom="paragraph">
              <wp:posOffset>199048</wp:posOffset>
            </wp:positionV>
            <wp:extent cx="5731510" cy="232791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327910"/>
                    </a:xfrm>
                    <a:prstGeom prst="rect">
                      <a:avLst/>
                    </a:prstGeom>
                  </pic:spPr>
                </pic:pic>
              </a:graphicData>
            </a:graphic>
          </wp:anchor>
        </w:drawing>
      </w:r>
      <w:r w:rsidR="009A0787">
        <w:t xml:space="preserve">Figure </w:t>
      </w:r>
      <w:fldSimple w:instr=" STYLEREF 1 \s ">
        <w:r w:rsidR="00D57A44">
          <w:rPr>
            <w:noProof/>
            <w:cs/>
          </w:rPr>
          <w:t>‎</w:t>
        </w:r>
        <w:r w:rsidR="00D57A44">
          <w:rPr>
            <w:noProof/>
          </w:rPr>
          <w:t>5</w:t>
        </w:r>
      </w:fldSimple>
      <w:r w:rsidR="003F26C2">
        <w:t>.</w:t>
      </w:r>
      <w:fldSimple w:instr=" SEQ Figure \* ARABIC \s 1 ">
        <w:r w:rsidR="00D57A44">
          <w:rPr>
            <w:noProof/>
          </w:rPr>
          <w:t>3</w:t>
        </w:r>
      </w:fldSimple>
      <w:bookmarkEnd w:id="78"/>
      <w:r w:rsidR="009A0787">
        <w:t>: Backward and Forward Agglomeration Indices, 200</w:t>
      </w:r>
      <w:r w:rsidR="00804BD7">
        <w:t>7</w:t>
      </w:r>
      <w:r w:rsidR="009A0787">
        <w:t>, 2010, 2007</w:t>
      </w:r>
      <w:bookmarkEnd w:id="79"/>
    </w:p>
    <w:p w14:paraId="2FD400AF" w14:textId="311F26BC" w:rsidR="00E33ABE" w:rsidRDefault="00E33ABE" w:rsidP="00E33ABE">
      <w:pPr>
        <w:pStyle w:val="NotesAbbreviations"/>
      </w:pPr>
      <w:r>
        <w:t>PRC = People’s Republic of China.</w:t>
      </w:r>
    </w:p>
    <w:p w14:paraId="43F140D0" w14:textId="52054925" w:rsidR="009A0787" w:rsidRPr="00B977FB" w:rsidRDefault="009A0787" w:rsidP="009A0787">
      <w:pPr>
        <w:pStyle w:val="NotesBottom"/>
      </w:pPr>
      <w:r w:rsidRPr="00B977FB">
        <w:t xml:space="preserve">Source: </w:t>
      </w:r>
      <w:r w:rsidRPr="00B977FB">
        <w:tab/>
      </w:r>
      <w:r>
        <w:t xml:space="preserve">Asian Development Bank. Multiregional Input–Output Database. </w:t>
      </w:r>
      <w:r w:rsidRPr="0004229A">
        <w:t>https://mrio.adbx.online</w:t>
      </w:r>
      <w:r>
        <w:t xml:space="preserve"> (accessed 1 August 2021)</w:t>
      </w:r>
      <w:r w:rsidRPr="00B977FB">
        <w:t>.</w:t>
      </w:r>
    </w:p>
    <w:p w14:paraId="51DAF436" w14:textId="347C4327" w:rsidR="002D7CF2" w:rsidRPr="005F3912" w:rsidRDefault="002D7CF2" w:rsidP="002D7CF2">
      <w:r w:rsidRPr="005F3912">
        <w:t xml:space="preserve">Meanwhile, </w:t>
      </w:r>
      <w:r>
        <w:t xml:space="preserve">a </w:t>
      </w:r>
      <w:r w:rsidRPr="005F3912">
        <w:t>high forward agglomeration signal</w:t>
      </w:r>
      <w:r>
        <w:t>s</w:t>
      </w:r>
      <w:r w:rsidRPr="005F3912">
        <w:t xml:space="preserve"> that value</w:t>
      </w:r>
      <w:r w:rsidR="00A37AD7">
        <w:t xml:space="preserve"> </w:t>
      </w:r>
      <w:r w:rsidRPr="005F3912">
        <w:t xml:space="preserve">added absorbed domestically as final goods and services in Pakistan is higher compared to other </w:t>
      </w:r>
      <w:r w:rsidR="00A37AD7">
        <w:t>countries</w:t>
      </w:r>
      <w:r w:rsidRPr="005F3912">
        <w:t>. Thus, on average, sectors in Pakistan generate more value</w:t>
      </w:r>
      <w:r w:rsidR="00B84AE7">
        <w:t xml:space="preserve"> </w:t>
      </w:r>
      <w:r w:rsidRPr="005F3912">
        <w:t xml:space="preserve">added to domestic sectors compared to the rest of the region. </w:t>
      </w:r>
    </w:p>
    <w:p w14:paraId="57D7A531" w14:textId="7BCF325B" w:rsidR="002D7CF2" w:rsidRDefault="002D7CF2" w:rsidP="002D7CF2">
      <w:r w:rsidRPr="005F3912">
        <w:t xml:space="preserve">The agglomeration indices allow for a deeper analysis of domestic concentration at a sector level. Using the ADB MRIO sector classification, </w:t>
      </w:r>
      <w:fldSimple w:instr=" REF _Ref83837059 ">
        <w:r w:rsidR="00D57A44">
          <w:t xml:space="preserve">Figure </w:t>
        </w:r>
        <w:r w:rsidR="00D57A44">
          <w:rPr>
            <w:noProof/>
            <w:cs/>
          </w:rPr>
          <w:t>‎</w:t>
        </w:r>
        <w:r w:rsidR="00D57A44">
          <w:rPr>
            <w:noProof/>
          </w:rPr>
          <w:t>5</w:t>
        </w:r>
        <w:r w:rsidR="00D57A44">
          <w:t>.</w:t>
        </w:r>
        <w:r w:rsidR="00D57A44">
          <w:rPr>
            <w:noProof/>
          </w:rPr>
          <w:t>4</w:t>
        </w:r>
      </w:fldSimple>
      <w:r w:rsidR="00876309">
        <w:t xml:space="preserve"> </w:t>
      </w:r>
      <w:r w:rsidRPr="005F3912">
        <w:t>plots the agglomeration indices for the textile</w:t>
      </w:r>
      <w:r w:rsidR="00586747">
        <w:t>s</w:t>
      </w:r>
      <w:r w:rsidRPr="005F3912">
        <w:t xml:space="preserve"> sector in 2010 and 2019. </w:t>
      </w:r>
      <w:r>
        <w:t>Pakistan is compared to</w:t>
      </w:r>
      <w:r w:rsidRPr="005F3912">
        <w:t xml:space="preserve"> Bangladesh, </w:t>
      </w:r>
      <w:r w:rsidR="00586747" w:rsidRPr="005F3912">
        <w:t>Cambodia</w:t>
      </w:r>
      <w:r w:rsidR="00586747">
        <w:t>,</w:t>
      </w:r>
      <w:r w:rsidR="00586747" w:rsidRPr="005F3912">
        <w:t xml:space="preserve"> </w:t>
      </w:r>
      <w:r w:rsidRPr="005F3912">
        <w:t xml:space="preserve">India, </w:t>
      </w:r>
      <w:r w:rsidR="00586747">
        <w:t xml:space="preserve">and </w:t>
      </w:r>
      <w:r w:rsidRPr="005F3912">
        <w:t xml:space="preserve">Sri Lanka, who contribute significantly to textiles exports in the world. The indices are plotted in the agglomeration map, which examines (1) the level of agglomeration in the textile sector of different </w:t>
      </w:r>
      <w:r w:rsidR="0013667A">
        <w:t>countries</w:t>
      </w:r>
      <w:r w:rsidR="005368C9">
        <w:t>;</w:t>
      </w:r>
      <w:r w:rsidR="0013667A">
        <w:t xml:space="preserve"> and</w:t>
      </w:r>
      <w:r w:rsidRPr="005F3912">
        <w:t xml:space="preserve"> (2) the movement of the textile sector across different agglomeration classes over time. </w:t>
      </w:r>
    </w:p>
    <w:p w14:paraId="5A2F5977" w14:textId="3AC0FA58" w:rsidR="002D7CF2" w:rsidRPr="00F54571" w:rsidRDefault="002D7CF2" w:rsidP="002D7CF2">
      <w:r w:rsidRPr="005F3912">
        <w:t xml:space="preserve">Among the sample of </w:t>
      </w:r>
      <w:r w:rsidR="008B0133">
        <w:t>countries</w:t>
      </w:r>
      <w:r w:rsidR="008B0133" w:rsidRPr="005F3912">
        <w:t xml:space="preserve"> </w:t>
      </w:r>
      <w:r w:rsidRPr="005F3912">
        <w:t xml:space="preserve">selected, Pakistan and India belong to the high agglomeration class in the last decade. This implies high backward and forward agglomeration in both </w:t>
      </w:r>
      <w:r w:rsidR="002A606C">
        <w:t>countries’</w:t>
      </w:r>
      <w:r w:rsidR="002A606C" w:rsidRPr="005F3912">
        <w:t xml:space="preserve"> </w:t>
      </w:r>
      <w:r w:rsidRPr="005F3912">
        <w:t>textile</w:t>
      </w:r>
      <w:r w:rsidR="002A606C">
        <w:t>s</w:t>
      </w:r>
      <w:r w:rsidRPr="005F3912">
        <w:t xml:space="preserve"> sector. Other </w:t>
      </w:r>
      <w:r w:rsidR="002A606C">
        <w:t>countries</w:t>
      </w:r>
      <w:r w:rsidRPr="005F3912">
        <w:t>, such as Bangladesh, Cambodia, and Sri Lanka, are consistently in the low agglomeration class. This implies that for the</w:t>
      </w:r>
      <w:r>
        <w:t xml:space="preserve"> selected </w:t>
      </w:r>
      <w:r w:rsidR="002A606C">
        <w:t>countries</w:t>
      </w:r>
      <w:r w:rsidRPr="005F3912">
        <w:t>, the value added that textile</w:t>
      </w:r>
      <w:r w:rsidR="002A606C">
        <w:t>s</w:t>
      </w:r>
      <w:r w:rsidRPr="005F3912">
        <w:t xml:space="preserve"> sector sources from and/or forwards to domestic sectors are lower than the world average.</w:t>
      </w:r>
    </w:p>
    <w:p w14:paraId="658811B4" w14:textId="60CC5DFD" w:rsidR="002D7CF2" w:rsidRDefault="002D7CF2" w:rsidP="002D7CF2">
      <w:r w:rsidRPr="005F3912">
        <w:t>Focusing on Pakistan illustrates a decline in backward agglomeration between 2010 and 2019. Hence, the textile</w:t>
      </w:r>
      <w:r w:rsidR="002A606C">
        <w:t>s</w:t>
      </w:r>
      <w:r w:rsidRPr="005F3912">
        <w:t xml:space="preserve"> sector is starting to rely less on domestic sectors as a source of inputs. Meanwhile, forward agglomeration exhibits very little change for Pakistan’s textile</w:t>
      </w:r>
      <w:r w:rsidR="002A606C">
        <w:t>s</w:t>
      </w:r>
      <w:r w:rsidRPr="005F3912">
        <w:t xml:space="preserve"> sector and remains to be high (</w:t>
      </w:r>
      <m:oMath>
        <m:r>
          <w:rPr>
            <w:rFonts w:ascii="Cambria Math" w:hAnsi="Cambria Math"/>
          </w:rPr>
          <m:t>AG</m:t>
        </m:r>
        <m:sSup>
          <m:sSupPr>
            <m:ctrlPr>
              <w:rPr>
                <w:rFonts w:ascii="Cambria Math" w:hAnsi="Cambria Math"/>
                <w:i/>
              </w:rPr>
            </m:ctrlPr>
          </m:sSupPr>
          <m:e>
            <m:r>
              <w:rPr>
                <w:rFonts w:ascii="Cambria Math" w:hAnsi="Cambria Math"/>
              </w:rPr>
              <m:t>G</m:t>
            </m:r>
          </m:e>
          <m:sup>
            <m:r>
              <w:rPr>
                <w:rFonts w:ascii="Cambria Math" w:hAnsi="Cambria Math"/>
              </w:rPr>
              <m:t>F</m:t>
            </m:r>
          </m:sup>
        </m:sSup>
        <m:r>
          <w:rPr>
            <w:rFonts w:ascii="Cambria Math" w:hAnsi="Cambria Math"/>
          </w:rPr>
          <m:t>&gt;1</m:t>
        </m:r>
      </m:oMath>
      <w:r w:rsidRPr="005F3912">
        <w:t>)</w:t>
      </w:r>
      <w:r>
        <w:t>. Thus, the value added generated by Pakistan’s textile</w:t>
      </w:r>
      <w:r w:rsidR="002A606C">
        <w:t>s</w:t>
      </w:r>
      <w:r>
        <w:t xml:space="preserve"> sector that is absorbed domestically as final goods is higher compared to the rest of the world. </w:t>
      </w:r>
    </w:p>
    <w:p w14:paraId="665A240F" w14:textId="7E50C6DB" w:rsidR="00775E07" w:rsidRDefault="00951B66" w:rsidP="003F26C2">
      <w:pPr>
        <w:pStyle w:val="Caption"/>
        <w:rPr>
          <w:sz w:val="22"/>
          <w:szCs w:val="22"/>
        </w:rPr>
      </w:pPr>
      <w:bookmarkStart w:id="80" w:name="_Ref83837059"/>
      <w:bookmarkStart w:id="81" w:name="_Toc83849819"/>
      <w:r>
        <w:rPr>
          <w:noProof/>
        </w:rPr>
        <w:lastRenderedPageBreak/>
        <w:drawing>
          <wp:anchor distT="0" distB="0" distL="114300" distR="114300" simplePos="0" relativeHeight="251736064" behindDoc="0" locked="0" layoutInCell="1" allowOverlap="1" wp14:anchorId="12A8FDAD" wp14:editId="1ED01995">
            <wp:simplePos x="0" y="0"/>
            <wp:positionH relativeFrom="margin">
              <wp:align>center</wp:align>
            </wp:positionH>
            <wp:positionV relativeFrom="paragraph">
              <wp:posOffset>190246</wp:posOffset>
            </wp:positionV>
            <wp:extent cx="5731510" cy="3935095"/>
            <wp:effectExtent l="0" t="0" r="0"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935095"/>
                    </a:xfrm>
                    <a:prstGeom prst="rect">
                      <a:avLst/>
                    </a:prstGeom>
                  </pic:spPr>
                </pic:pic>
              </a:graphicData>
            </a:graphic>
          </wp:anchor>
        </w:drawing>
      </w:r>
      <w:r w:rsidR="003F26C2">
        <w:t xml:space="preserve">Figure </w:t>
      </w:r>
      <w:fldSimple w:instr=" STYLEREF 1 \s ">
        <w:r w:rsidR="00D57A44">
          <w:rPr>
            <w:noProof/>
            <w:cs/>
          </w:rPr>
          <w:t>‎</w:t>
        </w:r>
        <w:r w:rsidR="00D57A44">
          <w:rPr>
            <w:noProof/>
          </w:rPr>
          <w:t>5</w:t>
        </w:r>
      </w:fldSimple>
      <w:r w:rsidR="003F26C2">
        <w:t>.</w:t>
      </w:r>
      <w:fldSimple w:instr=" SEQ Figure \* ARABIC \s 1 ">
        <w:r w:rsidR="00D57A44">
          <w:rPr>
            <w:noProof/>
          </w:rPr>
          <w:t>4</w:t>
        </w:r>
      </w:fldSimple>
      <w:bookmarkEnd w:id="80"/>
      <w:r w:rsidR="003F26C2">
        <w:t xml:space="preserve">: </w:t>
      </w:r>
      <w:r w:rsidR="00775E07">
        <w:t>Agglomeration Map, Textiles, 2010, 2019</w:t>
      </w:r>
      <w:bookmarkEnd w:id="81"/>
    </w:p>
    <w:p w14:paraId="48430723" w14:textId="056D21DF" w:rsidR="00C33960" w:rsidRPr="00B977FB" w:rsidRDefault="00C33960" w:rsidP="00C33960">
      <w:pPr>
        <w:pStyle w:val="NotesBottom"/>
      </w:pPr>
      <w:r w:rsidRPr="00B977FB">
        <w:t xml:space="preserve">Source: </w:t>
      </w:r>
      <w:r w:rsidRPr="00B977FB">
        <w:tab/>
      </w:r>
      <w:r>
        <w:t xml:space="preserve">Asian Development Bank. Multiregional Input–Output Database. </w:t>
      </w:r>
      <w:r w:rsidRPr="0004229A">
        <w:t>https://mrio.adbx.online</w:t>
      </w:r>
      <w:r>
        <w:t xml:space="preserve"> (accessed 1 August 2021)</w:t>
      </w:r>
      <w:r w:rsidRPr="00B977FB">
        <w:t>.</w:t>
      </w:r>
    </w:p>
    <w:p w14:paraId="7651E2F2" w14:textId="182F1F69" w:rsidR="002D7CF2" w:rsidRDefault="002D7CF2" w:rsidP="002D7CF2">
      <w:r>
        <w:t>Overall, this illustrates that Pakistan’s textile</w:t>
      </w:r>
      <w:r w:rsidR="002A606C">
        <w:t>s</w:t>
      </w:r>
      <w:r>
        <w:t xml:space="preserve"> sector exhibits strong domestic linkages, which are evolving overtime. The decline in backward agglomeration for Pakistan’s textile</w:t>
      </w:r>
      <w:r w:rsidR="00B00229">
        <w:t>s</w:t>
      </w:r>
      <w:r>
        <w:t xml:space="preserve"> sector may signal that Pakistan is starting to rely less on </w:t>
      </w:r>
      <w:proofErr w:type="spellStart"/>
      <w:r>
        <w:t>domsestic</w:t>
      </w:r>
      <w:proofErr w:type="spellEnd"/>
      <w:r>
        <w:t xml:space="preserve"> sectors as sources of intermediates. Strong forward agglomeration, on the other hand, depict </w:t>
      </w:r>
      <w:r w:rsidRPr="00505127">
        <w:t>ability of domestic sectors to absorb value</w:t>
      </w:r>
      <w:r>
        <w:t xml:space="preserve"> </w:t>
      </w:r>
      <w:r w:rsidRPr="00505127">
        <w:t xml:space="preserve">added from GVCs, </w:t>
      </w:r>
      <w:r>
        <w:t xml:space="preserve">increasing </w:t>
      </w:r>
      <w:r w:rsidRPr="00505127">
        <w:t>incentives to</w:t>
      </w:r>
      <w:r>
        <w:t xml:space="preserve"> participate. Whether this marks the start of a period of increased integration to GVCs for Pakistan remains to be seen.</w:t>
      </w:r>
    </w:p>
    <w:p w14:paraId="0DD95D47" w14:textId="77777777" w:rsidR="009F0504" w:rsidRDefault="009F0504" w:rsidP="00692306"/>
    <w:p w14:paraId="14F53DC9" w14:textId="77777777" w:rsidR="00E175A4" w:rsidRDefault="00E175A4" w:rsidP="00E175A4">
      <w:pPr>
        <w:pStyle w:val="Heading2"/>
      </w:pPr>
      <w:bookmarkStart w:id="82" w:name="_Toc83849793"/>
      <w:r>
        <w:t>The COVID-19 Shock</w:t>
      </w:r>
      <w:bookmarkEnd w:id="82"/>
    </w:p>
    <w:p w14:paraId="1F4FFD72" w14:textId="3035383D" w:rsidR="00E175A4" w:rsidRDefault="00E175A4" w:rsidP="00E175A4">
      <w:r>
        <w:t xml:space="preserve">The COVID-19 pandemic that began in 2020 set off unprecedented disruptions to economic activity and trade. While the full extent of its consequences will take years to unfold, preliminary data in the ADB MRIO Dataset provide a glimpse into one facet of the crisis: the role of global value chains. By connecting </w:t>
      </w:r>
      <w:r w:rsidR="004D6E25">
        <w:t>countries</w:t>
      </w:r>
      <w:r>
        <w:t xml:space="preserve"> to other markets in complex ways, GVCs have the power to both mitigate shocks (through diversification) and amplify shocks (though contagion effects). Which effect dominates will depend on the circumstances prevailing in a given </w:t>
      </w:r>
      <w:r w:rsidR="00461EF4">
        <w:t>country</w:t>
      </w:r>
      <w:r>
        <w:t xml:space="preserve"> (ADB 2021). </w:t>
      </w:r>
    </w:p>
    <w:p w14:paraId="2A6DC237" w14:textId="07DEF485" w:rsidR="00656C89" w:rsidRDefault="007C306F" w:rsidP="007C306F">
      <w:r>
        <w:t>As a first approximation of the impact of GVC</w:t>
      </w:r>
      <w:r w:rsidR="00C265AA">
        <w:t xml:space="preserve">s </w:t>
      </w:r>
      <w:r>
        <w:t xml:space="preserve">on COVID-19 </w:t>
      </w:r>
      <w:r w:rsidR="00AE2D68">
        <w:t>outcomes</w:t>
      </w:r>
      <w:r w:rsidR="00C265AA">
        <w:t>,</w:t>
      </w:r>
      <w:r>
        <w:t xml:space="preserve"> this section </w:t>
      </w:r>
      <w:r w:rsidR="00C265AA">
        <w:t xml:space="preserve">correlates each </w:t>
      </w:r>
      <w:r w:rsidR="00A832E8">
        <w:t>country</w:t>
      </w:r>
      <w:r w:rsidR="00C265AA">
        <w:t xml:space="preserve">’s GVC participation in 2019 with the shock to GDP </w:t>
      </w:r>
      <w:r w:rsidR="00541353">
        <w:t>it</w:t>
      </w:r>
      <w:r w:rsidR="00C265AA">
        <w:t xml:space="preserve"> experienced in </w:t>
      </w:r>
      <w:r w:rsidR="00C265AA">
        <w:lastRenderedPageBreak/>
        <w:t>2020</w:t>
      </w:r>
      <w:r w:rsidR="004D6B85">
        <w:t>.</w:t>
      </w:r>
      <w:r w:rsidR="00C265AA">
        <w:t xml:space="preserve"> </w:t>
      </w:r>
      <w:r w:rsidR="004D6B85">
        <w:t xml:space="preserve">The former is measured </w:t>
      </w:r>
      <w:r w:rsidR="00F97DA8">
        <w:t>by</w:t>
      </w:r>
      <w:r w:rsidR="004D6B85">
        <w:t xml:space="preserve"> the share of indirect trade in exports (see </w:t>
      </w:r>
      <w:fldSimple w:instr=" REF _Ref77751741 ">
        <w:r w:rsidR="00D57A44" w:rsidRPr="009F0FF5">
          <w:t xml:space="preserve">Box </w:t>
        </w:r>
        <w:r w:rsidR="00D57A44">
          <w:rPr>
            <w:noProof/>
          </w:rPr>
          <w:t>3</w:t>
        </w:r>
      </w:fldSimple>
      <w:r w:rsidR="004D6B85">
        <w:t>)</w:t>
      </w:r>
      <w:r w:rsidR="002B11F3">
        <w:t>, lagged by one year to remove potential distortions that occurred during the pandemic.</w:t>
      </w:r>
      <w:r w:rsidR="004D6B85">
        <w:t xml:space="preserve"> </w:t>
      </w:r>
      <w:r w:rsidR="00F97DA8">
        <w:t xml:space="preserve">The latter uses the difference in forecasted and actual growth rates for 2020, the reasoning being that this reflects the unexpected disruptions of the pandemic. </w:t>
      </w:r>
      <w:fldSimple w:instr=" REF _Ref79331437 ">
        <w:r w:rsidR="00D57A44">
          <w:t xml:space="preserve">Box </w:t>
        </w:r>
        <w:r w:rsidR="00D57A44">
          <w:rPr>
            <w:noProof/>
          </w:rPr>
          <w:t>10</w:t>
        </w:r>
      </w:fldSimple>
      <w:r w:rsidR="00CE1514">
        <w:t xml:space="preserve"> provides more details. </w:t>
      </w:r>
    </w:p>
    <w:tbl>
      <w:tblPr>
        <w:tblStyle w:val="TableGrid"/>
        <w:tblW w:w="0" w:type="auto"/>
        <w:tblLook w:val="04A0" w:firstRow="1" w:lastRow="0" w:firstColumn="1" w:lastColumn="0" w:noHBand="0" w:noVBand="1"/>
      </w:tblPr>
      <w:tblGrid>
        <w:gridCol w:w="9016"/>
      </w:tblGrid>
      <w:tr w:rsidR="00656C89" w14:paraId="480A7A6F" w14:textId="77777777" w:rsidTr="00AF7B8E">
        <w:tc>
          <w:tcPr>
            <w:tcW w:w="9016" w:type="dxa"/>
          </w:tcPr>
          <w:p w14:paraId="0A70D423" w14:textId="2770EFAD" w:rsidR="00656C89" w:rsidRDefault="00656C89" w:rsidP="00656C89">
            <w:pPr>
              <w:pStyle w:val="Caption"/>
            </w:pPr>
            <w:bookmarkStart w:id="83" w:name="_Ref79331437"/>
            <w:bookmarkStart w:id="84" w:name="_Toc139902369"/>
            <w:r>
              <w:t xml:space="preserve">Box </w:t>
            </w:r>
            <w:fldSimple w:instr=" SEQ Box \* ARABIC ">
              <w:r w:rsidR="00D57A44">
                <w:rPr>
                  <w:noProof/>
                </w:rPr>
                <w:t>10</w:t>
              </w:r>
            </w:fldSimple>
            <w:bookmarkEnd w:id="83"/>
            <w:r>
              <w:t>: Estimating the COVID-19 Shock</w:t>
            </w:r>
            <w:bookmarkEnd w:id="84"/>
          </w:p>
          <w:p w14:paraId="1C0C9411" w14:textId="0C55282D" w:rsidR="001C7197" w:rsidRDefault="00E94118" w:rsidP="0020271B">
            <w:pPr>
              <w:pStyle w:val="Box"/>
            </w:pPr>
            <w:r>
              <w:t xml:space="preserve">The COVID-19 shock is defined as the percentage-point </w:t>
            </w:r>
            <w:r w:rsidR="002A79EB">
              <w:t>deviation</w:t>
            </w:r>
            <w:r>
              <w:t xml:space="preserve"> in the growth of </w:t>
            </w:r>
            <w:r w:rsidR="002A79EB">
              <w:t xml:space="preserve">a </w:t>
            </w:r>
            <w:r>
              <w:t xml:space="preserve">macroeconomic variable attributable to the </w:t>
            </w:r>
            <w:r w:rsidR="00B05375">
              <w:t xml:space="preserve">unexpected </w:t>
            </w:r>
            <w:r>
              <w:t>disruptions caused by the pandemic. That is, if a</w:t>
            </w:r>
            <w:r w:rsidR="00A832E8">
              <w:t xml:space="preserve"> country </w:t>
            </w:r>
            <w:r>
              <w:t xml:space="preserve">contracted by 5% in 2020 where it would have grown by 5% had there been no pandemic, then the COVID-19 shock was </w:t>
            </w:r>
            <w:r w:rsidR="00B05375">
              <w:t xml:space="preserve">negative </w:t>
            </w:r>
            <w:r>
              <w:t xml:space="preserve">10 percentage points. </w:t>
            </w:r>
          </w:p>
          <w:p w14:paraId="04B9BD6D" w14:textId="7A432AF2" w:rsidR="00656C89" w:rsidRDefault="001C7197" w:rsidP="0020271B">
            <w:pPr>
              <w:pStyle w:val="Box"/>
            </w:pPr>
            <w:r>
              <w:t xml:space="preserve">Of course, counterfactual growth rates are impossible to know for certain, but a reasonable approximation, used </w:t>
            </w:r>
            <w:r w:rsidR="00FB4032">
              <w:t xml:space="preserve">in </w:t>
            </w:r>
            <w:r>
              <w:t xml:space="preserve">research </w:t>
            </w:r>
            <w:r w:rsidR="00AF7B8E">
              <w:t xml:space="preserve">like </w:t>
            </w:r>
            <w:proofErr w:type="spellStart"/>
            <w:r w:rsidR="00C63C39">
              <w:t>Giglio</w:t>
            </w:r>
            <w:r w:rsidR="001F1EBA">
              <w:t>l</w:t>
            </w:r>
            <w:r w:rsidR="00C63C39">
              <w:t>i</w:t>
            </w:r>
            <w:proofErr w:type="spellEnd"/>
            <w:r w:rsidR="00F9573C">
              <w:t>,</w:t>
            </w:r>
            <w:r w:rsidR="00C63C39">
              <w:t xml:space="preserve"> et al. (2021)</w:t>
            </w:r>
            <w:r w:rsidR="00F9573C">
              <w:t xml:space="preserve">, </w:t>
            </w:r>
            <w:r w:rsidR="00923DAE">
              <w:t xml:space="preserve">are </w:t>
            </w:r>
            <w:r w:rsidR="00892C2C">
              <w:t xml:space="preserve">pre-2020 </w:t>
            </w:r>
            <w:r w:rsidR="001D45D1">
              <w:t xml:space="preserve">forecasts. </w:t>
            </w:r>
            <w:r w:rsidR="00120932">
              <w:t>G</w:t>
            </w:r>
            <w:r w:rsidR="001D45D1">
              <w:t>rowth forecasts for a</w:t>
            </w:r>
            <w:r w:rsidR="00A832E8">
              <w:t xml:space="preserve"> country </w:t>
            </w:r>
            <w:r w:rsidR="001D45D1">
              <w:t xml:space="preserve">reflect all available information </w:t>
            </w:r>
            <w:r w:rsidR="007E10FE">
              <w:t>at the moment they are made</w:t>
            </w:r>
            <w:r w:rsidR="004C08E3">
              <w:t>, so a</w:t>
            </w:r>
            <w:r w:rsidR="00123110">
              <w:t xml:space="preserve">ny deviation from them would be shocks in the truest sense—that is, </w:t>
            </w:r>
            <w:r w:rsidR="00A04C9A">
              <w:t xml:space="preserve">random fluctuations with an expected value of zero. </w:t>
            </w:r>
            <w:r w:rsidR="00C44F11">
              <w:t xml:space="preserve">By comparing forecasts made just before the onset of the pandemic with actual growth rates in 2020, an estimate of the COVID-19 shock is obtained. </w:t>
            </w:r>
          </w:p>
          <w:p w14:paraId="6780FFC3" w14:textId="3DBA3994" w:rsidR="00AA0115" w:rsidRDefault="00AA0115" w:rsidP="0020271B">
            <w:pPr>
              <w:pStyle w:val="Box"/>
            </w:pPr>
            <w:r>
              <w:t xml:space="preserve">In this section, </w:t>
            </w:r>
            <w:r w:rsidR="009637FA">
              <w:t>f</w:t>
            </w:r>
            <w:r>
              <w:t xml:space="preserve">orecasts for </w:t>
            </w:r>
            <w:r w:rsidR="00246A0B">
              <w:t>gross domestic product growth</w:t>
            </w:r>
            <w:r>
              <w:t xml:space="preserve"> are taken from the October 2019 edition of the International Monetary Fund’s </w:t>
            </w:r>
            <w:r w:rsidRPr="002708E7">
              <w:rPr>
                <w:i/>
                <w:iCs/>
              </w:rPr>
              <w:t>World Economic Outlook</w:t>
            </w:r>
            <w:r>
              <w:t xml:space="preserve"> (IMF, 2019). </w:t>
            </w:r>
          </w:p>
          <w:p w14:paraId="2C3FC3B9" w14:textId="77777777" w:rsidR="00194D1B" w:rsidRDefault="00194D1B" w:rsidP="0020271B">
            <w:pPr>
              <w:pStyle w:val="Box"/>
            </w:pPr>
          </w:p>
          <w:p w14:paraId="771F7A95" w14:textId="57C40D7E" w:rsidR="001D45D1" w:rsidRPr="00194D1B" w:rsidRDefault="001D45D1" w:rsidP="00194D1B">
            <w:pPr>
              <w:pStyle w:val="Box"/>
              <w:rPr>
                <w:b/>
                <w:bCs/>
              </w:rPr>
            </w:pPr>
            <w:r w:rsidRPr="00194D1B">
              <w:rPr>
                <w:b/>
                <w:bCs/>
              </w:rPr>
              <w:t>References</w:t>
            </w:r>
          </w:p>
          <w:p w14:paraId="75D9C6EB" w14:textId="5CF03F9E" w:rsidR="00C63C39" w:rsidRDefault="00C63C39" w:rsidP="00E9180D">
            <w:pPr>
              <w:pStyle w:val="BoxReferences"/>
            </w:pPr>
            <w:r>
              <w:t xml:space="preserve">S. </w:t>
            </w:r>
            <w:proofErr w:type="spellStart"/>
            <w:r>
              <w:t>Giglio</w:t>
            </w:r>
            <w:r w:rsidR="0020271B">
              <w:t>l</w:t>
            </w:r>
            <w:r>
              <w:t>i</w:t>
            </w:r>
            <w:proofErr w:type="spellEnd"/>
            <w:r>
              <w:t xml:space="preserve">, G. Giovannetti, E. </w:t>
            </w:r>
            <w:proofErr w:type="spellStart"/>
            <w:r>
              <w:t>Marvasi</w:t>
            </w:r>
            <w:proofErr w:type="spellEnd"/>
            <w:r>
              <w:t xml:space="preserve">, and A. </w:t>
            </w:r>
            <w:proofErr w:type="spellStart"/>
            <w:r>
              <w:t>Vivoli</w:t>
            </w:r>
            <w:proofErr w:type="spellEnd"/>
            <w:r>
              <w:t xml:space="preserve">. 2021. The Resilience of Global Value Chains During the Covid-19 Pandemic: The Case of Italy. </w:t>
            </w:r>
            <w:proofErr w:type="spellStart"/>
            <w:r w:rsidRPr="00B70D6E">
              <w:rPr>
                <w:i/>
                <w:iCs/>
              </w:rPr>
              <w:t>UniFI</w:t>
            </w:r>
            <w:proofErr w:type="spellEnd"/>
            <w:r>
              <w:t xml:space="preserve"> </w:t>
            </w:r>
            <w:r w:rsidRPr="00C62A65">
              <w:rPr>
                <w:i/>
                <w:iCs/>
              </w:rPr>
              <w:t>DISEI Working Paper No. 07/2021</w:t>
            </w:r>
            <w:r>
              <w:t xml:space="preserve">. Florence, Italy: </w:t>
            </w:r>
            <w:proofErr w:type="spellStart"/>
            <w:r>
              <w:t>Università</w:t>
            </w:r>
            <w:proofErr w:type="spellEnd"/>
            <w:r>
              <w:t xml:space="preserve"> </w:t>
            </w:r>
            <w:proofErr w:type="spellStart"/>
            <w:r>
              <w:t>degli</w:t>
            </w:r>
            <w:proofErr w:type="spellEnd"/>
            <w:r>
              <w:t xml:space="preserve"> </w:t>
            </w:r>
            <w:proofErr w:type="spellStart"/>
            <w:r>
              <w:t>Studi</w:t>
            </w:r>
            <w:proofErr w:type="spellEnd"/>
            <w:r>
              <w:t xml:space="preserve"> Firenze </w:t>
            </w:r>
            <w:proofErr w:type="spellStart"/>
            <w:r>
              <w:t>Dipartimento</w:t>
            </w:r>
            <w:proofErr w:type="spellEnd"/>
            <w:r>
              <w:t xml:space="preserve"> di </w:t>
            </w:r>
            <w:proofErr w:type="spellStart"/>
            <w:r>
              <w:t>Scienze</w:t>
            </w:r>
            <w:proofErr w:type="spellEnd"/>
            <w:r>
              <w:t xml:space="preserve"> per </w:t>
            </w:r>
            <w:proofErr w:type="spellStart"/>
            <w:r>
              <w:t>L’Economia</w:t>
            </w:r>
            <w:proofErr w:type="spellEnd"/>
            <w:r>
              <w:t xml:space="preserve"> e </w:t>
            </w:r>
            <w:proofErr w:type="spellStart"/>
            <w:r>
              <w:t>L’Impresa</w:t>
            </w:r>
            <w:proofErr w:type="spellEnd"/>
            <w:r>
              <w:t>.</w:t>
            </w:r>
          </w:p>
          <w:p w14:paraId="42DA3405" w14:textId="5B916274" w:rsidR="00E9180D" w:rsidRPr="00423A1E" w:rsidRDefault="00E9180D" w:rsidP="00423A1E">
            <w:pPr>
              <w:pStyle w:val="BoxReferences"/>
            </w:pPr>
            <w:r w:rsidRPr="009721D6">
              <w:t>International Monetary Fund (IMF). 20</w:t>
            </w:r>
            <w:r>
              <w:t>19</w:t>
            </w:r>
            <w:r w:rsidRPr="009721D6">
              <w:t xml:space="preserve">. </w:t>
            </w:r>
            <w:r w:rsidRPr="009721D6">
              <w:rPr>
                <w:i/>
                <w:iCs/>
              </w:rPr>
              <w:t xml:space="preserve">World Economic Outlook: </w:t>
            </w:r>
            <w:r>
              <w:rPr>
                <w:i/>
                <w:iCs/>
              </w:rPr>
              <w:t>Global Manufacturing Downturn, Rising Trade Barriers</w:t>
            </w:r>
            <w:r w:rsidRPr="009721D6">
              <w:t>. Washington, DC: International Monetary Fund.</w:t>
            </w:r>
          </w:p>
        </w:tc>
      </w:tr>
    </w:tbl>
    <w:p w14:paraId="54916253" w14:textId="77777777" w:rsidR="00B977FB" w:rsidRDefault="00B977FB" w:rsidP="008604A7"/>
    <w:p w14:paraId="0C56C8DB" w14:textId="441FBB31" w:rsidR="00B977FB" w:rsidRDefault="00000000" w:rsidP="008604A7">
      <w:fldSimple w:instr=" REF _Ref79331454 ">
        <w:r w:rsidR="00D57A44">
          <w:t xml:space="preserve">Figure </w:t>
        </w:r>
        <w:r w:rsidR="00D57A44">
          <w:rPr>
            <w:noProof/>
            <w:cs/>
          </w:rPr>
          <w:t>‎</w:t>
        </w:r>
        <w:r w:rsidR="00D57A44">
          <w:rPr>
            <w:noProof/>
          </w:rPr>
          <w:t>5</w:t>
        </w:r>
        <w:r w:rsidR="00D57A44">
          <w:t>.</w:t>
        </w:r>
        <w:r w:rsidR="00D57A44">
          <w:rPr>
            <w:noProof/>
          </w:rPr>
          <w:t>5</w:t>
        </w:r>
      </w:fldSimple>
      <w:r w:rsidR="00CE1514">
        <w:t xml:space="preserve"> plots these two variables for the 62 </w:t>
      </w:r>
      <w:r w:rsidR="0068625A">
        <w:t>countries</w:t>
      </w:r>
      <w:r w:rsidR="00CE1514">
        <w:t xml:space="preserve"> covered in the ADB MRIO Database. </w:t>
      </w:r>
      <w:r w:rsidR="007707CD">
        <w:t xml:space="preserve">A quadratic line is fitted through them along with its 95% confidence interval. </w:t>
      </w:r>
      <w:r w:rsidR="00DE6D8F">
        <w:t xml:space="preserve">What emerges is an inverted-U relationship where the size of the COVID-19 shock increases (that is, becomes more negative) </w:t>
      </w:r>
      <w:r w:rsidR="007E5BF6">
        <w:t xml:space="preserve">the higher the GVC participation rate up to a rate of about 45%, after which the shock </w:t>
      </w:r>
      <w:r w:rsidR="007E5BF6" w:rsidRPr="007E5BF6">
        <w:rPr>
          <w:i/>
          <w:iCs/>
        </w:rPr>
        <w:t>decreases</w:t>
      </w:r>
      <w:r w:rsidR="007E5BF6">
        <w:t xml:space="preserve"> the higher the participation rate</w:t>
      </w:r>
      <w:r w:rsidR="00D76C32">
        <w:t xml:space="preserve">. </w:t>
      </w:r>
    </w:p>
    <w:p w14:paraId="666C3520" w14:textId="1FBD31FE" w:rsidR="00213305" w:rsidRDefault="00213305" w:rsidP="00213305">
      <w:r>
        <w:t>Pakistan had the lowest GVC participation rate in the dataset at 25.4%. Tellingly, its COVID-19 shock was a relatively mild –2.8 points, meaning growth in 2020 was 2.8 percentage points lower than what it would have been without the pandemic. This compares favorably with a</w:t>
      </w:r>
      <w:r w:rsidR="0068625A">
        <w:t xml:space="preserve"> country </w:t>
      </w:r>
      <w:r>
        <w:t xml:space="preserve">like the Philippines, whose GVC participation was much higher at 47.1% and whose shock was also much higher at –15.7 points. </w:t>
      </w:r>
    </w:p>
    <w:p w14:paraId="603EE7F6" w14:textId="77777777" w:rsidR="00213305" w:rsidRDefault="00213305" w:rsidP="00213305">
      <w:r>
        <w:t xml:space="preserve">On the flipside, those economies with the highest rates of GVC participation appeared to have done relatively well. The most dramatic case is </w:t>
      </w:r>
      <w:proofErr w:type="spellStart"/>
      <w:r>
        <w:t>Taipei,China</w:t>
      </w:r>
      <w:proofErr w:type="spellEnd"/>
      <w:r>
        <w:t xml:space="preserve">, whose participation rate </w:t>
      </w:r>
      <w:r>
        <w:lastRenderedPageBreak/>
        <w:t xml:space="preserve">was 57.5% and whose shock was actually positive at 1.2 points, meaning the pandemic’s disruptions seemed to have made it grow </w:t>
      </w:r>
      <w:r w:rsidRPr="00A5559F">
        <w:rPr>
          <w:i/>
          <w:iCs/>
        </w:rPr>
        <w:t>faster</w:t>
      </w:r>
      <w:r>
        <w:t xml:space="preserve">. Elsewhere, Viet Nam, with a participation rate of 58.8%, experienced a shock of –3.6 points. </w:t>
      </w:r>
    </w:p>
    <w:p w14:paraId="125BCA4A" w14:textId="049DF45E" w:rsidR="00213305" w:rsidRPr="00213305" w:rsidRDefault="00213305" w:rsidP="00213305">
      <w:pPr>
        <w:rPr>
          <w:color w:val="000000" w:themeColor="text1"/>
        </w:rPr>
      </w:pPr>
      <w:r>
        <w:t xml:space="preserve">As the figure shows, there is much variation around the average relationship. Indeed, both the Philippines and </w:t>
      </w:r>
      <w:proofErr w:type="spellStart"/>
      <w:r>
        <w:t>Taipei,China</w:t>
      </w:r>
      <w:proofErr w:type="spellEnd"/>
      <w:r>
        <w:t xml:space="preserve"> are far away from the fitted curve, suggesting that a host of other factors contributed to influencing the size of the shock. Nevertheless, the U-shaped relationship is distinct. One explanation may be found in a similar study by </w:t>
      </w:r>
      <w:proofErr w:type="spellStart"/>
      <w:r>
        <w:rPr>
          <w:color w:val="000000" w:themeColor="text1"/>
        </w:rPr>
        <w:t>Giglioni</w:t>
      </w:r>
      <w:proofErr w:type="spellEnd"/>
      <w:r>
        <w:rPr>
          <w:color w:val="000000" w:themeColor="text1"/>
        </w:rPr>
        <w:t xml:space="preserve">, et al. (2021), who divide 2020 into a “first wave” (October 2019 to April 2020) and a “second wave” (April to October 2020). They find that while GVC participation exacerbated the shock in the first wave, its impact was positive-to-neutral in the second wave. By taking 2020 as a whole, </w:t>
      </w:r>
      <w:fldSimple w:instr=" REF _Ref79331454 ">
        <w:r w:rsidR="00D57A44">
          <w:t xml:space="preserve">Figure </w:t>
        </w:r>
        <w:r w:rsidR="00D57A44">
          <w:rPr>
            <w:noProof/>
            <w:cs/>
          </w:rPr>
          <w:t>‎</w:t>
        </w:r>
        <w:r w:rsidR="00D57A44">
          <w:rPr>
            <w:noProof/>
          </w:rPr>
          <w:t>5</w:t>
        </w:r>
        <w:r w:rsidR="00D57A44">
          <w:t>.</w:t>
        </w:r>
        <w:r w:rsidR="00D57A44">
          <w:rPr>
            <w:noProof/>
          </w:rPr>
          <w:t>5</w:t>
        </w:r>
      </w:fldSimple>
      <w:r>
        <w:t xml:space="preserve"> </w:t>
      </w:r>
      <w:r>
        <w:rPr>
          <w:color w:val="000000" w:themeColor="text1"/>
        </w:rPr>
        <w:t xml:space="preserve">may be collating these two trends. </w:t>
      </w:r>
    </w:p>
    <w:p w14:paraId="17BA86AE" w14:textId="4713F4F0" w:rsidR="00B977FB" w:rsidRDefault="001751E4" w:rsidP="00B977FB">
      <w:pPr>
        <w:pStyle w:val="Caption"/>
        <w:rPr>
          <w:rFonts w:eastAsia="Calibri" w:cstheme="minorHAnsi"/>
          <w:szCs w:val="22"/>
        </w:rPr>
      </w:pPr>
      <w:bookmarkStart w:id="85" w:name="_Ref79331454"/>
      <w:bookmarkStart w:id="86" w:name="_Toc83849820"/>
      <w:r>
        <w:rPr>
          <w:noProof/>
        </w:rPr>
        <w:drawing>
          <wp:anchor distT="0" distB="0" distL="114300" distR="114300" simplePos="0" relativeHeight="251720704" behindDoc="0" locked="0" layoutInCell="1" allowOverlap="1" wp14:anchorId="56952A05" wp14:editId="2B4D02D2">
            <wp:simplePos x="0" y="0"/>
            <wp:positionH relativeFrom="margin">
              <wp:align>center</wp:align>
            </wp:positionH>
            <wp:positionV relativeFrom="paragraph">
              <wp:posOffset>193472</wp:posOffset>
            </wp:positionV>
            <wp:extent cx="5731510" cy="4301490"/>
            <wp:effectExtent l="0" t="0" r="0" b="381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4301490"/>
                    </a:xfrm>
                    <a:prstGeom prst="rect">
                      <a:avLst/>
                    </a:prstGeom>
                  </pic:spPr>
                </pic:pic>
              </a:graphicData>
            </a:graphic>
          </wp:anchor>
        </w:drawing>
      </w:r>
      <w:r w:rsidR="00B977FB">
        <w:t xml:space="preserve">Figure </w:t>
      </w:r>
      <w:fldSimple w:instr=" STYLEREF 1 \s ">
        <w:r w:rsidR="00D57A44">
          <w:rPr>
            <w:noProof/>
            <w:cs/>
          </w:rPr>
          <w:t>‎</w:t>
        </w:r>
        <w:r w:rsidR="00D57A44">
          <w:rPr>
            <w:noProof/>
          </w:rPr>
          <w:t>5</w:t>
        </w:r>
      </w:fldSimple>
      <w:r w:rsidR="003F26C2">
        <w:t>.</w:t>
      </w:r>
      <w:fldSimple w:instr=" SEQ Figure \* ARABIC \s 1 ">
        <w:r w:rsidR="00D57A44">
          <w:rPr>
            <w:noProof/>
          </w:rPr>
          <w:t>5</w:t>
        </w:r>
      </w:fldSimple>
      <w:bookmarkEnd w:id="85"/>
      <w:r w:rsidR="00B977FB">
        <w:t>: The COVID-19 Shock to Growth Under Varying Rates of GVC Participation</w:t>
      </w:r>
      <w:bookmarkEnd w:id="86"/>
    </w:p>
    <w:p w14:paraId="69CD6ED7" w14:textId="5FDACE09" w:rsidR="00B977FB" w:rsidRDefault="00B977FB" w:rsidP="00B977FB">
      <w:pPr>
        <w:pStyle w:val="NotesAbbreviations"/>
      </w:pPr>
      <w:r>
        <w:t xml:space="preserve">BAN = Bangladesh, </w:t>
      </w:r>
      <w:r w:rsidR="004E1696">
        <w:t xml:space="preserve">COVID-19 = coronavirus disease 2019, </w:t>
      </w:r>
      <w:r>
        <w:t xml:space="preserve">IND = India, </w:t>
      </w:r>
      <w:r w:rsidR="008E139F">
        <w:t xml:space="preserve">GDP = gross domestic product, </w:t>
      </w:r>
      <w:r>
        <w:t xml:space="preserve">GER = Germany, </w:t>
      </w:r>
      <w:r w:rsidR="008E139F">
        <w:t xml:space="preserve">GVC = global value chain, </w:t>
      </w:r>
      <w:r>
        <w:t xml:space="preserve">JPN = Japan, MAL = Malaysia, PAK = Pakistan, PHI = Philippines, PRC = People’s Republic of China, TAP = </w:t>
      </w:r>
      <w:proofErr w:type="spellStart"/>
      <w:r>
        <w:t>Taipei,China</w:t>
      </w:r>
      <w:proofErr w:type="spellEnd"/>
      <w:r>
        <w:t>, THA = Thailand, SIN = Singapore, USA = United States, VIE = Viet Nam</w:t>
      </w:r>
      <w:r w:rsidR="00064C79">
        <w:t>.</w:t>
      </w:r>
    </w:p>
    <w:p w14:paraId="09221FB3" w14:textId="1CF54442" w:rsidR="00B977FB" w:rsidRPr="00B977FB" w:rsidRDefault="00B977FB" w:rsidP="00B977FB">
      <w:pPr>
        <w:pStyle w:val="Notes"/>
      </w:pPr>
      <w:r w:rsidRPr="00B977FB">
        <w:t xml:space="preserve">Notes: </w:t>
      </w:r>
      <w:r w:rsidRPr="00B977FB">
        <w:tab/>
        <w:t xml:space="preserve">Participation rates are trade-based rates computed using the methodology in Asian Development Bank (2021). The COVID-19 shock is the percentage-point difference between forecasted gross domestic product growth for 2020 and actual growth in 2020. </w:t>
      </w:r>
      <w:r w:rsidR="00C92BCB">
        <w:t>Participation rates and n</w:t>
      </w:r>
      <w:r w:rsidR="008E139F">
        <w:t xml:space="preserve">ominal </w:t>
      </w:r>
      <w:r w:rsidR="00514584">
        <w:t xml:space="preserve">GDP </w:t>
      </w:r>
      <w:r w:rsidR="00E81E79">
        <w:t xml:space="preserve">are </w:t>
      </w:r>
      <w:r w:rsidR="00B919C3">
        <w:t>as of</w:t>
      </w:r>
      <w:r w:rsidR="00514584">
        <w:t xml:space="preserve"> 2019.</w:t>
      </w:r>
    </w:p>
    <w:p w14:paraId="3CCD2AC8" w14:textId="6E7C312B" w:rsidR="00A5559F" w:rsidRPr="00B977FB" w:rsidRDefault="00B977FB" w:rsidP="005B74B9">
      <w:pPr>
        <w:pStyle w:val="NotesBottom"/>
      </w:pPr>
      <w:r w:rsidRPr="00B977FB">
        <w:t>Source</w:t>
      </w:r>
      <w:r w:rsidR="007B20CB">
        <w:t>s</w:t>
      </w:r>
      <w:r w:rsidRPr="00B977FB">
        <w:t xml:space="preserve">: </w:t>
      </w:r>
      <w:r w:rsidRPr="00B977FB">
        <w:tab/>
      </w:r>
      <w:r w:rsidR="00000DAC">
        <w:t xml:space="preserve">Asian Development Bank. Multiregional Input–Output Database. </w:t>
      </w:r>
      <w:r w:rsidR="00000DAC" w:rsidRPr="0004229A">
        <w:t>https://mrio.adbx.online</w:t>
      </w:r>
      <w:r w:rsidR="00000DAC">
        <w:t xml:space="preserve"> (accessed 1 August 2021);</w:t>
      </w:r>
      <w:r w:rsidR="00000DAC" w:rsidRPr="008F0425">
        <w:t xml:space="preserve"> </w:t>
      </w:r>
      <w:r w:rsidRPr="00B977FB">
        <w:t>forecasted growth rates from the International Monetary Fund’s World Economic Outlook (October 2019); and actual growth rates from the International Monetary Fund’s World Economic Outlook (April 2021).</w:t>
      </w:r>
    </w:p>
    <w:p w14:paraId="256DCD37" w14:textId="62DA816B" w:rsidR="001B2312" w:rsidRDefault="001B2312" w:rsidP="008604A7">
      <w:pPr>
        <w:rPr>
          <w:color w:val="000000" w:themeColor="text1"/>
        </w:rPr>
      </w:pPr>
      <w:r>
        <w:rPr>
          <w:color w:val="000000" w:themeColor="text1"/>
        </w:rPr>
        <w:lastRenderedPageBreak/>
        <w:t xml:space="preserve">As for whether the U-shaped pattern points to some “optimal” level of GVC participation, the results given here are unable to </w:t>
      </w:r>
      <w:r w:rsidR="008D00A7">
        <w:rPr>
          <w:color w:val="000000" w:themeColor="text1"/>
        </w:rPr>
        <w:t>give a definitive answer.</w:t>
      </w:r>
      <w:r w:rsidR="000E7BC1">
        <w:rPr>
          <w:color w:val="000000" w:themeColor="text1"/>
        </w:rPr>
        <w:t xml:space="preserve"> Even if better data in the coming years proves that the relationship is robust, </w:t>
      </w:r>
      <w:r w:rsidR="00A0248B">
        <w:rPr>
          <w:color w:val="000000" w:themeColor="text1"/>
        </w:rPr>
        <w:t xml:space="preserve">there is no guarantee that the unique </w:t>
      </w:r>
      <w:r w:rsidR="00C91D33">
        <w:rPr>
          <w:color w:val="000000" w:themeColor="text1"/>
        </w:rPr>
        <w:t xml:space="preserve">circumstances of the COVID-19 pandemic generalizes to other types of shocks. </w:t>
      </w:r>
      <w:r w:rsidR="00D0167F">
        <w:rPr>
          <w:color w:val="000000" w:themeColor="text1"/>
        </w:rPr>
        <w:t xml:space="preserve">A better prescription to keep in mind </w:t>
      </w:r>
      <w:r w:rsidR="00E91A2F">
        <w:rPr>
          <w:color w:val="000000" w:themeColor="text1"/>
        </w:rPr>
        <w:t xml:space="preserve">is that trade in general must be accompanied by a sound institutional framework that maximizes its benefits while minimizing its costs. </w:t>
      </w:r>
    </w:p>
    <w:p w14:paraId="738351F0" w14:textId="030024D6" w:rsidR="00586846" w:rsidRDefault="000C6414" w:rsidP="00A43951">
      <w:pPr>
        <w:rPr>
          <w:color w:val="000000" w:themeColor="text1"/>
        </w:rPr>
      </w:pPr>
      <w:r>
        <w:rPr>
          <w:color w:val="000000" w:themeColor="text1"/>
        </w:rPr>
        <w:t xml:space="preserve">Rather than </w:t>
      </w:r>
      <w:r w:rsidR="00A0107D">
        <w:rPr>
          <w:color w:val="000000" w:themeColor="text1"/>
        </w:rPr>
        <w:t>correlating</w:t>
      </w:r>
      <w:r>
        <w:rPr>
          <w:color w:val="000000" w:themeColor="text1"/>
        </w:rPr>
        <w:t xml:space="preserve"> the output shock</w:t>
      </w:r>
      <w:r w:rsidR="00A0107D">
        <w:rPr>
          <w:color w:val="000000" w:themeColor="text1"/>
        </w:rPr>
        <w:t xml:space="preserve"> with GVC participation</w:t>
      </w:r>
      <w:r>
        <w:rPr>
          <w:color w:val="000000" w:themeColor="text1"/>
        </w:rPr>
        <w:t>, a</w:t>
      </w:r>
      <w:r w:rsidR="00C077B1">
        <w:rPr>
          <w:color w:val="000000" w:themeColor="text1"/>
        </w:rPr>
        <w:t xml:space="preserve">nother way to investigate the role of GVCs during the pandemic is to </w:t>
      </w:r>
      <w:r w:rsidR="006D5264">
        <w:rPr>
          <w:color w:val="000000" w:themeColor="text1"/>
        </w:rPr>
        <w:t xml:space="preserve">start from </w:t>
      </w:r>
      <w:r w:rsidR="00C077B1">
        <w:rPr>
          <w:color w:val="000000" w:themeColor="text1"/>
        </w:rPr>
        <w:t xml:space="preserve">the demand shock </w:t>
      </w:r>
      <w:r w:rsidR="006D5264">
        <w:rPr>
          <w:color w:val="000000" w:themeColor="text1"/>
        </w:rPr>
        <w:t xml:space="preserve">and </w:t>
      </w:r>
      <w:r w:rsidR="00C077B1">
        <w:rPr>
          <w:color w:val="000000" w:themeColor="text1"/>
        </w:rPr>
        <w:t xml:space="preserve">use this to </w:t>
      </w:r>
      <w:r w:rsidR="00F61FD7">
        <w:rPr>
          <w:color w:val="000000" w:themeColor="text1"/>
        </w:rPr>
        <w:t>estimate the output shock</w:t>
      </w:r>
      <w:r w:rsidR="00C87E83">
        <w:rPr>
          <w:color w:val="000000" w:themeColor="text1"/>
        </w:rPr>
        <w:t xml:space="preserve"> under different </w:t>
      </w:r>
      <w:r w:rsidR="000907BE">
        <w:rPr>
          <w:color w:val="000000" w:themeColor="text1"/>
        </w:rPr>
        <w:t>degrees of openness</w:t>
      </w:r>
      <w:r w:rsidR="00F61FD7">
        <w:rPr>
          <w:color w:val="000000" w:themeColor="text1"/>
        </w:rPr>
        <w:t xml:space="preserve">. </w:t>
      </w:r>
      <w:r w:rsidR="00835F55">
        <w:rPr>
          <w:color w:val="000000" w:themeColor="text1"/>
        </w:rPr>
        <w:fldChar w:fldCharType="begin"/>
      </w:r>
      <w:r w:rsidR="00835F55">
        <w:rPr>
          <w:color w:val="000000" w:themeColor="text1"/>
        </w:rPr>
        <w:instrText xml:space="preserve"> REF _Ref79411910 </w:instrText>
      </w:r>
      <w:r w:rsidR="00835F55">
        <w:rPr>
          <w:color w:val="000000" w:themeColor="text1"/>
        </w:rPr>
        <w:fldChar w:fldCharType="separate"/>
      </w:r>
      <w:r w:rsidR="00D57A44">
        <w:t xml:space="preserve">Box </w:t>
      </w:r>
      <w:r w:rsidR="00D57A44">
        <w:rPr>
          <w:noProof/>
        </w:rPr>
        <w:t>11</w:t>
      </w:r>
      <w:r w:rsidR="00835F55">
        <w:rPr>
          <w:color w:val="000000" w:themeColor="text1"/>
        </w:rPr>
        <w:fldChar w:fldCharType="end"/>
      </w:r>
      <w:r w:rsidR="00835F55">
        <w:rPr>
          <w:color w:val="000000" w:themeColor="text1"/>
        </w:rPr>
        <w:t xml:space="preserve"> o</w:t>
      </w:r>
      <w:r w:rsidR="002B3E98">
        <w:rPr>
          <w:color w:val="000000" w:themeColor="text1"/>
        </w:rPr>
        <w:t xml:space="preserve">utlines how </w:t>
      </w:r>
      <w:r w:rsidR="00C5421A">
        <w:rPr>
          <w:color w:val="000000" w:themeColor="text1"/>
        </w:rPr>
        <w:t>the information in an intercountry input–output table</w:t>
      </w:r>
      <w:r w:rsidR="002B3E98">
        <w:rPr>
          <w:color w:val="000000" w:themeColor="text1"/>
        </w:rPr>
        <w:t xml:space="preserve"> can be used to </w:t>
      </w:r>
      <w:r w:rsidR="004D50B1">
        <w:rPr>
          <w:color w:val="000000" w:themeColor="text1"/>
        </w:rPr>
        <w:t xml:space="preserve">control the channels by which demand shocks propagate through the world economy. </w:t>
      </w:r>
    </w:p>
    <w:tbl>
      <w:tblPr>
        <w:tblStyle w:val="TableGrid"/>
        <w:tblW w:w="0" w:type="auto"/>
        <w:tblLook w:val="04A0" w:firstRow="1" w:lastRow="0" w:firstColumn="1" w:lastColumn="0" w:noHBand="0" w:noVBand="1"/>
      </w:tblPr>
      <w:tblGrid>
        <w:gridCol w:w="9016"/>
      </w:tblGrid>
      <w:tr w:rsidR="003F428C" w14:paraId="236390BA" w14:textId="77777777" w:rsidTr="0041683A">
        <w:tc>
          <w:tcPr>
            <w:tcW w:w="9016" w:type="dxa"/>
          </w:tcPr>
          <w:p w14:paraId="7D7CEB16" w14:textId="6625E21A" w:rsidR="003F428C" w:rsidRDefault="003F428C" w:rsidP="003F428C">
            <w:pPr>
              <w:pStyle w:val="Caption"/>
            </w:pPr>
            <w:bookmarkStart w:id="87" w:name="_Ref79411910"/>
            <w:bookmarkStart w:id="88" w:name="_Toc139902370"/>
            <w:r>
              <w:t xml:space="preserve">Box </w:t>
            </w:r>
            <w:fldSimple w:instr=" SEQ Box \* ARABIC ">
              <w:r w:rsidR="00D57A44">
                <w:rPr>
                  <w:noProof/>
                </w:rPr>
                <w:t>11</w:t>
              </w:r>
            </w:fldSimple>
            <w:bookmarkEnd w:id="87"/>
            <w:r>
              <w:t>: The COVID-19 Shock under Different Trading Scenarios</w:t>
            </w:r>
            <w:bookmarkEnd w:id="88"/>
          </w:p>
          <w:p w14:paraId="5CF0E2D0" w14:textId="782CDA27" w:rsidR="00EE66CF" w:rsidRDefault="00EE66CF" w:rsidP="00244887">
            <w:pPr>
              <w:pStyle w:val="Box"/>
            </w:pPr>
            <w:r>
              <w:t>Input–output analysis allows one to distinguish the channels by which demand shocks impact the gross domestic product (GDP) of a</w:t>
            </w:r>
            <w:r w:rsidR="0092616F">
              <w:t xml:space="preserve"> country</w:t>
            </w:r>
            <w:r>
              <w:t>. Different scenarios are identified by turning certain channels on and off. The present analysis identifies three:</w:t>
            </w:r>
          </w:p>
          <w:p w14:paraId="35E0CA5E" w14:textId="2F2CEC2A" w:rsidR="009460CD" w:rsidRDefault="00B37E66" w:rsidP="00AE650D">
            <w:pPr>
              <w:pStyle w:val="Box"/>
              <w:ind w:left="313"/>
            </w:pPr>
            <w:r>
              <w:rPr>
                <w:b/>
                <w:bCs/>
              </w:rPr>
              <w:t>Baseline</w:t>
            </w:r>
            <w:r w:rsidRPr="00C14603">
              <w:rPr>
                <w:b/>
                <w:bCs/>
              </w:rPr>
              <w:t xml:space="preserve"> scenario</w:t>
            </w:r>
            <w:r w:rsidRPr="006137E4">
              <w:t>.</w:t>
            </w:r>
            <w:r>
              <w:t xml:space="preserve"> </w:t>
            </w:r>
            <w:r w:rsidR="00AA5E9F">
              <w:t>This corresponds to real-world conditions, where</w:t>
            </w:r>
            <w:r w:rsidR="007843A3">
              <w:t xml:space="preserve"> imported </w:t>
            </w:r>
            <w:r w:rsidR="00D14CBA">
              <w:t>inputs</w:t>
            </w:r>
            <w:r w:rsidR="007843A3">
              <w:t xml:space="preserve"> and reexporting</w:t>
            </w:r>
            <w:r w:rsidR="00AA5E9F">
              <w:t xml:space="preserve"> </w:t>
            </w:r>
            <w:r w:rsidR="009460CD">
              <w:t xml:space="preserve">within </w:t>
            </w:r>
            <w:r w:rsidR="00AA5E9F">
              <w:t xml:space="preserve">global value chains have connected </w:t>
            </w:r>
            <w:r w:rsidR="00E7449B">
              <w:t>countries</w:t>
            </w:r>
            <w:r w:rsidR="00AA5E9F">
              <w:t xml:space="preserve"> in indirect ways</w:t>
            </w:r>
            <w:r>
              <w:t>.</w:t>
            </w:r>
          </w:p>
          <w:p w14:paraId="0CBA886F" w14:textId="696CC42C" w:rsidR="00B37E66" w:rsidRPr="009460CD" w:rsidRDefault="009460CD" w:rsidP="00AE650D">
            <w:pPr>
              <w:pStyle w:val="Box"/>
              <w:ind w:left="313"/>
            </w:pPr>
            <w:r w:rsidRPr="00C14603">
              <w:rPr>
                <w:b/>
                <w:bCs/>
              </w:rPr>
              <w:t>Classical trading scenario</w:t>
            </w:r>
            <w:r>
              <w:t xml:space="preserve">. Trading occurs, but only directly, i.e., there is no </w:t>
            </w:r>
            <w:r w:rsidR="004553E8">
              <w:t xml:space="preserve">usage of imported inputs and no </w:t>
            </w:r>
            <w:r>
              <w:t xml:space="preserve">reexporting. This corresponds to the classical idea of trade commonly assumed in economics textbooks. </w:t>
            </w:r>
          </w:p>
          <w:p w14:paraId="165D8886" w14:textId="24C5C8A0" w:rsidR="00EE66CF" w:rsidRPr="009460CD" w:rsidRDefault="00EE66CF" w:rsidP="00AE650D">
            <w:pPr>
              <w:pStyle w:val="Box"/>
              <w:ind w:left="313"/>
            </w:pPr>
            <w:r w:rsidRPr="00C14603">
              <w:rPr>
                <w:b/>
                <w:bCs/>
              </w:rPr>
              <w:t>Autarkic scenario</w:t>
            </w:r>
            <w:r>
              <w:t xml:space="preserve">. </w:t>
            </w:r>
            <w:r w:rsidR="00F50CB9">
              <w:t>No trading occurs.</w:t>
            </w:r>
          </w:p>
          <w:p w14:paraId="1048E1DC" w14:textId="0CAEBFAD" w:rsidR="00EE66CF" w:rsidRDefault="00EE66CF" w:rsidP="00244887">
            <w:pPr>
              <w:pStyle w:val="Box"/>
            </w:pPr>
            <w:r>
              <w:t>The COVID-19 shock is estimated by the difference in reported final demand for 2020 and forecasts for 2020 made by the World Bank at the start of the year (World Bank 2020</w:t>
            </w:r>
            <w:r w:rsidR="003018E2">
              <w:t>)</w:t>
            </w:r>
            <w:r>
              <w:t>. The World Bank has the widest set of final demand forecasts, so its dataset is used here. All other data are derived from the Asian Development Bank Multi</w:t>
            </w:r>
            <w:r w:rsidR="001A2958">
              <w:t>r</w:t>
            </w:r>
            <w:r>
              <w:t xml:space="preserve">egional Input–Output </w:t>
            </w:r>
            <w:r w:rsidR="003636ED">
              <w:t>Database</w:t>
            </w:r>
            <w:r>
              <w:t>. Values are in current prices.</w:t>
            </w:r>
          </w:p>
          <w:p w14:paraId="394DF883" w14:textId="4C57C673" w:rsidR="00EE66CF" w:rsidRDefault="00EE66CF" w:rsidP="00244887">
            <w:pPr>
              <w:pStyle w:val="Box"/>
            </w:pPr>
            <w:r>
              <w:t xml:space="preserve">Under </w:t>
            </w:r>
            <w:r w:rsidR="00AF0AD0">
              <w:t>scenario</w:t>
            </w:r>
            <w:r>
              <w:t xml:space="preserve"> </w:t>
            </w:r>
            <w:r w:rsidR="00AF0AD0">
              <w:rPr>
                <w:i/>
                <w:iCs/>
              </w:rPr>
              <w:t>R</w:t>
            </w:r>
            <w:r>
              <w:t xml:space="preserve">, the impact of the COVID-19 shock to the GDP of </w:t>
            </w:r>
            <w:r w:rsidR="00E7449B">
              <w:t>country</w:t>
            </w:r>
            <w:r>
              <w:t xml:space="preserve"> </w:t>
            </w:r>
            <w:r w:rsidRPr="00D0008F">
              <w:rPr>
                <w:i/>
                <w:iCs/>
              </w:rPr>
              <w:t>s</w:t>
            </w:r>
            <w:r>
              <w:t xml:space="preserve"> is given by</w:t>
            </w:r>
          </w:p>
          <w:p w14:paraId="5B9EB59C" w14:textId="6206BC66" w:rsidR="00EE66CF" w:rsidRDefault="00000000" w:rsidP="00244887">
            <w:pPr>
              <w:pStyle w:val="Box"/>
            </w:pPr>
            <m:oMathPara>
              <m:oMath>
                <m:sSubSup>
                  <m:sSubSupPr>
                    <m:ctrlPr>
                      <w:rPr>
                        <w:rFonts w:ascii="Cambria Math" w:hAnsi="Cambria Math"/>
                      </w:rPr>
                    </m:ctrlPr>
                  </m:sSubSupPr>
                  <m:e>
                    <m:r>
                      <m:rPr>
                        <m:sty m:val="p"/>
                      </m:rPr>
                      <w:rPr>
                        <w:rFonts w:ascii="Cambria Math" w:hAnsi="Cambria Math"/>
                      </w:rPr>
                      <m:t>Shock</m:t>
                    </m:r>
                  </m:e>
                  <m:sub>
                    <m:r>
                      <w:rPr>
                        <w:rFonts w:ascii="Cambria Math" w:hAnsi="Cambria Math"/>
                      </w:rPr>
                      <m:t>s</m:t>
                    </m:r>
                    <m:ctrlPr>
                      <w:rPr>
                        <w:rFonts w:ascii="Cambria Math" w:hAnsi="Cambria Math"/>
                        <w:i/>
                        <w:iCs/>
                      </w:rPr>
                    </m:ctrlPr>
                  </m:sub>
                  <m:sup>
                    <m:r>
                      <w:rPr>
                        <w:rFonts w:ascii="Cambria Math" w:hAnsi="Cambria Math"/>
                      </w:rPr>
                      <m:t>R</m:t>
                    </m:r>
                  </m:sup>
                </m:sSubSup>
                <m:r>
                  <m:rPr>
                    <m:sty m:val="bi"/>
                  </m:rPr>
                  <w:rPr>
                    <w:rFonts w:ascii="Cambria Math" w:hAnsi="Cambria Math"/>
                  </w:rPr>
                  <m:t>=</m:t>
                </m:r>
                <m:f>
                  <m:fPr>
                    <m:ctrlPr>
                      <w:rPr>
                        <w:rFonts w:ascii="Cambria Math" w:hAnsi="Cambria Math"/>
                        <w:b/>
                        <w:bCs/>
                        <w:iCs/>
                      </w:rPr>
                    </m:ctrlPr>
                  </m:fPr>
                  <m:num>
                    <m:sSubSup>
                      <m:sSubSupPr>
                        <m:ctrlPr>
                          <w:rPr>
                            <w:rFonts w:ascii="Cambria Math" w:hAnsi="Cambria Math"/>
                            <w:b/>
                            <w:bCs/>
                            <w:i/>
                            <w:iCs/>
                          </w:rPr>
                        </m:ctrlPr>
                      </m:sSubSupPr>
                      <m:e>
                        <m:r>
                          <m:rPr>
                            <m:sty m:val="p"/>
                          </m:rPr>
                          <w:rPr>
                            <w:rFonts w:ascii="Cambria Math" w:hAnsi="Cambria Math"/>
                          </w:rPr>
                          <m:t>GDP</m:t>
                        </m:r>
                        <m:ctrlPr>
                          <w:rPr>
                            <w:rFonts w:ascii="Cambria Math" w:hAnsi="Cambria Math"/>
                            <w:b/>
                            <w:bCs/>
                            <w:iCs/>
                          </w:rPr>
                        </m:ctrlPr>
                      </m:e>
                      <m:sub>
                        <m:r>
                          <w:rPr>
                            <w:rFonts w:ascii="Cambria Math" w:hAnsi="Cambria Math"/>
                          </w:rPr>
                          <m:t>s</m:t>
                        </m:r>
                      </m:sub>
                      <m:sup>
                        <m:r>
                          <w:rPr>
                            <w:rFonts w:ascii="Cambria Math" w:hAnsi="Cambria Math"/>
                          </w:rPr>
                          <m:t>R</m:t>
                        </m:r>
                        <m:ctrlPr>
                          <w:rPr>
                            <w:rFonts w:ascii="Cambria Math" w:hAnsi="Cambria Math"/>
                            <w:b/>
                            <w:bCs/>
                            <w:iCs/>
                          </w:rPr>
                        </m:ctrlPr>
                      </m:sup>
                    </m:sSubSup>
                    <m:d>
                      <m:dPr>
                        <m:ctrlPr>
                          <w:rPr>
                            <w:rFonts w:ascii="Cambria Math" w:hAnsi="Cambria Math"/>
                            <w:b/>
                            <w:bCs/>
                            <w:iCs/>
                          </w:rPr>
                        </m:ctrlPr>
                      </m:dPr>
                      <m:e>
                        <m:sSup>
                          <m:sSupPr>
                            <m:ctrlPr>
                              <w:rPr>
                                <w:rFonts w:ascii="Cambria Math" w:hAnsi="Cambria Math"/>
                                <w:b/>
                                <w:bCs/>
                                <w:iCs/>
                              </w:rPr>
                            </m:ctrlPr>
                          </m:sSupPr>
                          <m:e>
                            <m:r>
                              <m:rPr>
                                <m:sty m:val="b"/>
                              </m:rPr>
                              <w:rPr>
                                <w:rFonts w:ascii="Cambria Math" w:hAnsi="Cambria Math"/>
                              </w:rPr>
                              <m:t>Y</m:t>
                            </m:r>
                          </m:e>
                          <m:sup>
                            <m:r>
                              <m:rPr>
                                <m:sty m:val="p"/>
                              </m:rPr>
                              <w:rPr>
                                <w:rFonts w:ascii="Cambria Math" w:hAnsi="Cambria Math"/>
                              </w:rPr>
                              <m:t>actual</m:t>
                            </m:r>
                          </m:sup>
                        </m:sSup>
                        <m:ctrlPr>
                          <w:rPr>
                            <w:rFonts w:ascii="Cambria Math" w:hAnsi="Cambria Math"/>
                            <w:b/>
                            <w:bCs/>
                            <w:i/>
                            <w:iCs/>
                          </w:rPr>
                        </m:ctrlPr>
                      </m:e>
                    </m:d>
                    <m:r>
                      <m:rPr>
                        <m:sty m:val="bi"/>
                      </m:rPr>
                      <w:rPr>
                        <w:rFonts w:ascii="Cambria Math" w:hAnsi="Cambria Math"/>
                      </w:rPr>
                      <m:t>-</m:t>
                    </m:r>
                    <m:sSubSup>
                      <m:sSubSupPr>
                        <m:ctrlPr>
                          <w:rPr>
                            <w:rFonts w:ascii="Cambria Math" w:hAnsi="Cambria Math"/>
                            <w:b/>
                            <w:bCs/>
                            <w:i/>
                            <w:iCs/>
                          </w:rPr>
                        </m:ctrlPr>
                      </m:sSubSupPr>
                      <m:e>
                        <m:r>
                          <m:rPr>
                            <m:sty m:val="p"/>
                          </m:rPr>
                          <w:rPr>
                            <w:rFonts w:ascii="Cambria Math" w:hAnsi="Cambria Math"/>
                          </w:rPr>
                          <m:t>GDP</m:t>
                        </m:r>
                        <m:ctrlPr>
                          <w:rPr>
                            <w:rFonts w:ascii="Cambria Math" w:hAnsi="Cambria Math"/>
                            <w:b/>
                            <w:bCs/>
                            <w:iCs/>
                          </w:rPr>
                        </m:ctrlPr>
                      </m:e>
                      <m:sub>
                        <m:r>
                          <w:rPr>
                            <w:rFonts w:ascii="Cambria Math" w:hAnsi="Cambria Math"/>
                          </w:rPr>
                          <m:t>s</m:t>
                        </m:r>
                      </m:sub>
                      <m:sup>
                        <m:r>
                          <w:rPr>
                            <w:rFonts w:ascii="Cambria Math" w:hAnsi="Cambria Math"/>
                          </w:rPr>
                          <m:t>R</m:t>
                        </m:r>
                        <m:ctrlPr>
                          <w:rPr>
                            <w:rFonts w:ascii="Cambria Math" w:hAnsi="Cambria Math"/>
                            <w:b/>
                            <w:bCs/>
                            <w:iCs/>
                          </w:rPr>
                        </m:ctrlPr>
                      </m:sup>
                    </m:sSubSup>
                    <m:d>
                      <m:dPr>
                        <m:ctrlPr>
                          <w:rPr>
                            <w:rFonts w:ascii="Cambria Math" w:hAnsi="Cambria Math"/>
                            <w:b/>
                            <w:bCs/>
                            <w:iCs/>
                          </w:rPr>
                        </m:ctrlPr>
                      </m:dPr>
                      <m:e>
                        <m:sSup>
                          <m:sSupPr>
                            <m:ctrlPr>
                              <w:rPr>
                                <w:rFonts w:ascii="Cambria Math" w:hAnsi="Cambria Math"/>
                                <w:b/>
                                <w:bCs/>
                                <w:iCs/>
                              </w:rPr>
                            </m:ctrlPr>
                          </m:sSupPr>
                          <m:e>
                            <m:r>
                              <m:rPr>
                                <m:sty m:val="b"/>
                              </m:rPr>
                              <w:rPr>
                                <w:rFonts w:ascii="Cambria Math" w:hAnsi="Cambria Math"/>
                              </w:rPr>
                              <m:t>Y</m:t>
                            </m:r>
                          </m:e>
                          <m:sup>
                            <m:r>
                              <m:rPr>
                                <m:sty m:val="p"/>
                              </m:rPr>
                              <w:rPr>
                                <w:rFonts w:ascii="Cambria Math" w:hAnsi="Cambria Math"/>
                              </w:rPr>
                              <m:t>forecast</m:t>
                            </m:r>
                          </m:sup>
                        </m:sSup>
                        <m:ctrlPr>
                          <w:rPr>
                            <w:rFonts w:ascii="Cambria Math" w:hAnsi="Cambria Math"/>
                            <w:b/>
                            <w:bCs/>
                            <w:i/>
                            <w:iCs/>
                          </w:rPr>
                        </m:ctrlPr>
                      </m:e>
                    </m:d>
                  </m:num>
                  <m:den>
                    <m:sSubSup>
                      <m:sSubSupPr>
                        <m:ctrlPr>
                          <w:rPr>
                            <w:rFonts w:ascii="Cambria Math" w:hAnsi="Cambria Math"/>
                            <w:b/>
                            <w:bCs/>
                            <w:i/>
                            <w:iCs/>
                          </w:rPr>
                        </m:ctrlPr>
                      </m:sSubSupPr>
                      <m:e>
                        <m:r>
                          <m:rPr>
                            <m:sty m:val="p"/>
                          </m:rPr>
                          <w:rPr>
                            <w:rFonts w:ascii="Cambria Math" w:hAnsi="Cambria Math"/>
                          </w:rPr>
                          <m:t>GDP</m:t>
                        </m:r>
                        <m:ctrlPr>
                          <w:rPr>
                            <w:rFonts w:ascii="Cambria Math" w:hAnsi="Cambria Math"/>
                            <w:b/>
                            <w:bCs/>
                            <w:iCs/>
                          </w:rPr>
                        </m:ctrlPr>
                      </m:e>
                      <m:sub>
                        <m:r>
                          <w:rPr>
                            <w:rFonts w:ascii="Cambria Math" w:hAnsi="Cambria Math"/>
                          </w:rPr>
                          <m:t>s</m:t>
                        </m:r>
                      </m:sub>
                      <m:sup>
                        <m:r>
                          <w:rPr>
                            <w:rFonts w:ascii="Cambria Math" w:hAnsi="Cambria Math"/>
                          </w:rPr>
                          <m:t>R</m:t>
                        </m:r>
                        <m:ctrlPr>
                          <w:rPr>
                            <w:rFonts w:ascii="Cambria Math" w:hAnsi="Cambria Math"/>
                            <w:b/>
                            <w:bCs/>
                            <w:iCs/>
                          </w:rPr>
                        </m:ctrlPr>
                      </m:sup>
                    </m:sSubSup>
                    <m:d>
                      <m:dPr>
                        <m:ctrlPr>
                          <w:rPr>
                            <w:rFonts w:ascii="Cambria Math" w:hAnsi="Cambria Math"/>
                            <w:b/>
                            <w:bCs/>
                            <w:iCs/>
                          </w:rPr>
                        </m:ctrlPr>
                      </m:dPr>
                      <m:e>
                        <m:sSup>
                          <m:sSupPr>
                            <m:ctrlPr>
                              <w:rPr>
                                <w:rFonts w:ascii="Cambria Math" w:hAnsi="Cambria Math"/>
                                <w:b/>
                                <w:bCs/>
                                <w:iCs/>
                              </w:rPr>
                            </m:ctrlPr>
                          </m:sSupPr>
                          <m:e>
                            <m:r>
                              <m:rPr>
                                <m:sty m:val="b"/>
                              </m:rPr>
                              <w:rPr>
                                <w:rFonts w:ascii="Cambria Math" w:hAnsi="Cambria Math"/>
                              </w:rPr>
                              <m:t>Y</m:t>
                            </m:r>
                          </m:e>
                          <m:sup>
                            <m:r>
                              <m:rPr>
                                <m:sty m:val="p"/>
                              </m:rPr>
                              <w:rPr>
                                <w:rFonts w:ascii="Cambria Math" w:hAnsi="Cambria Math"/>
                              </w:rPr>
                              <m:t>forecast</m:t>
                            </m:r>
                          </m:sup>
                        </m:sSup>
                        <m:ctrlPr>
                          <w:rPr>
                            <w:rFonts w:ascii="Cambria Math" w:hAnsi="Cambria Math"/>
                            <w:b/>
                            <w:bCs/>
                            <w:i/>
                            <w:iCs/>
                          </w:rPr>
                        </m:ctrlPr>
                      </m:e>
                    </m:d>
                  </m:den>
                </m:f>
              </m:oMath>
            </m:oMathPara>
          </w:p>
          <w:p w14:paraId="005608EB" w14:textId="15F2C6E0" w:rsidR="00EE66CF" w:rsidRDefault="00EE66CF" w:rsidP="00244887">
            <w:pPr>
              <w:pStyle w:val="Box"/>
              <w:rPr>
                <w:iCs/>
              </w:rPr>
            </w:pPr>
            <w:r>
              <w:t xml:space="preserve">A comparison of </w:t>
            </w:r>
            <m:oMath>
              <m:sSubSup>
                <m:sSubSupPr>
                  <m:ctrlPr>
                    <w:rPr>
                      <w:rFonts w:ascii="Cambria Math" w:hAnsi="Cambria Math"/>
                      <w:b/>
                      <w:bCs/>
                    </w:rPr>
                  </m:ctrlPr>
                </m:sSubSupPr>
                <m:e>
                  <m:r>
                    <m:rPr>
                      <m:sty m:val="p"/>
                    </m:rPr>
                    <w:rPr>
                      <w:rFonts w:ascii="Cambria Math" w:hAnsi="Cambria Math"/>
                    </w:rPr>
                    <m:t>Shock</m:t>
                  </m:r>
                </m:e>
                <m:sub>
                  <m:r>
                    <w:rPr>
                      <w:rFonts w:ascii="Cambria Math" w:hAnsi="Cambria Math"/>
                    </w:rPr>
                    <m:t>s</m:t>
                  </m:r>
                  <m:ctrlPr>
                    <w:rPr>
                      <w:rFonts w:ascii="Cambria Math" w:hAnsi="Cambria Math"/>
                      <w:i/>
                      <w:iCs/>
                    </w:rPr>
                  </m:ctrlPr>
                </m:sub>
                <m:sup>
                  <m:r>
                    <m:rPr>
                      <m:sty m:val="p"/>
                    </m:rPr>
                    <w:rPr>
                      <w:rFonts w:ascii="Cambria Math" w:hAnsi="Cambria Math"/>
                    </w:rPr>
                    <m:t>Autarky</m:t>
                  </m:r>
                </m:sup>
              </m:sSubSup>
            </m:oMath>
            <w:r w:rsidRPr="0037659B">
              <w:t>,</w:t>
            </w:r>
            <w:r>
              <w:rPr>
                <w:b/>
                <w:bCs/>
              </w:rPr>
              <w:t xml:space="preserve"> </w:t>
            </w:r>
            <m:oMath>
              <m:sSubSup>
                <m:sSubSupPr>
                  <m:ctrlPr>
                    <w:rPr>
                      <w:rFonts w:ascii="Cambria Math" w:hAnsi="Cambria Math"/>
                      <w:b/>
                      <w:bCs/>
                    </w:rPr>
                  </m:ctrlPr>
                </m:sSubSupPr>
                <m:e>
                  <m:r>
                    <m:rPr>
                      <m:sty m:val="p"/>
                    </m:rPr>
                    <w:rPr>
                      <w:rFonts w:ascii="Cambria Math" w:hAnsi="Cambria Math"/>
                    </w:rPr>
                    <m:t>Shock</m:t>
                  </m:r>
                </m:e>
                <m:sub>
                  <m:r>
                    <w:rPr>
                      <w:rFonts w:ascii="Cambria Math" w:hAnsi="Cambria Math"/>
                    </w:rPr>
                    <m:t>s</m:t>
                  </m:r>
                  <m:ctrlPr>
                    <w:rPr>
                      <w:rFonts w:ascii="Cambria Math" w:hAnsi="Cambria Math"/>
                      <w:i/>
                      <w:iCs/>
                    </w:rPr>
                  </m:ctrlPr>
                </m:sub>
                <m:sup>
                  <m:r>
                    <m:rPr>
                      <m:sty m:val="p"/>
                    </m:rPr>
                    <w:rPr>
                      <w:rFonts w:ascii="Cambria Math" w:hAnsi="Cambria Math"/>
                    </w:rPr>
                    <m:t>Classical</m:t>
                  </m:r>
                </m:sup>
              </m:sSubSup>
            </m:oMath>
            <w:r w:rsidRPr="0037659B">
              <w:t xml:space="preserve">, </w:t>
            </w:r>
            <w:r>
              <w:t>and</w:t>
            </w:r>
            <w:r>
              <w:rPr>
                <w:b/>
                <w:bCs/>
              </w:rPr>
              <w:t xml:space="preserve"> </w:t>
            </w:r>
            <m:oMath>
              <m:sSubSup>
                <m:sSubSupPr>
                  <m:ctrlPr>
                    <w:rPr>
                      <w:rFonts w:ascii="Cambria Math" w:hAnsi="Cambria Math"/>
                    </w:rPr>
                  </m:ctrlPr>
                </m:sSubSupPr>
                <m:e>
                  <m:r>
                    <m:rPr>
                      <m:sty m:val="p"/>
                    </m:rPr>
                    <w:rPr>
                      <w:rFonts w:ascii="Cambria Math" w:hAnsi="Cambria Math"/>
                    </w:rPr>
                    <m:t>Shock</m:t>
                  </m:r>
                </m:e>
                <m:sub>
                  <m:r>
                    <w:rPr>
                      <w:rFonts w:ascii="Cambria Math" w:hAnsi="Cambria Math"/>
                    </w:rPr>
                    <m:t>s</m:t>
                  </m:r>
                  <m:ctrlPr>
                    <w:rPr>
                      <w:rFonts w:ascii="Cambria Math" w:hAnsi="Cambria Math"/>
                      <w:i/>
                      <w:iCs/>
                    </w:rPr>
                  </m:ctrlPr>
                </m:sub>
                <m:sup>
                  <m:r>
                    <m:rPr>
                      <m:sty m:val="p"/>
                    </m:rPr>
                    <w:rPr>
                      <w:rFonts w:ascii="Cambria Math" w:hAnsi="Cambria Math"/>
                    </w:rPr>
                    <m:t>GVC</m:t>
                  </m:r>
                </m:sup>
              </m:sSubSup>
            </m:oMath>
            <w:r>
              <w:rPr>
                <w:b/>
                <w:bCs/>
                <w:iCs/>
              </w:rPr>
              <w:t xml:space="preserve"> </w:t>
            </w:r>
            <w:r w:rsidRPr="00447F32">
              <w:rPr>
                <w:iCs/>
              </w:rPr>
              <w:t xml:space="preserve">provides a </w:t>
            </w:r>
            <w:r>
              <w:rPr>
                <w:iCs/>
              </w:rPr>
              <w:t xml:space="preserve">heuristic explanation </w:t>
            </w:r>
            <w:r w:rsidRPr="00447F32">
              <w:rPr>
                <w:iCs/>
              </w:rPr>
              <w:t xml:space="preserve">of how the presence of </w:t>
            </w:r>
            <w:r>
              <w:rPr>
                <w:iCs/>
              </w:rPr>
              <w:t>global value chains</w:t>
            </w:r>
            <w:r w:rsidRPr="00447F32">
              <w:rPr>
                <w:iCs/>
              </w:rPr>
              <w:t xml:space="preserve"> dampen</w:t>
            </w:r>
            <w:r>
              <w:rPr>
                <w:iCs/>
              </w:rPr>
              <w:t>s</w:t>
            </w:r>
            <w:r w:rsidRPr="00447F32">
              <w:rPr>
                <w:iCs/>
              </w:rPr>
              <w:t xml:space="preserve"> or </w:t>
            </w:r>
            <w:r>
              <w:rPr>
                <w:iCs/>
              </w:rPr>
              <w:t xml:space="preserve">intensifies global demand shocks. </w:t>
            </w:r>
          </w:p>
          <w:p w14:paraId="1DC43E51" w14:textId="77777777" w:rsidR="00244887" w:rsidRDefault="00244887" w:rsidP="00244887">
            <w:pPr>
              <w:pStyle w:val="Box"/>
              <w:rPr>
                <w:iCs/>
              </w:rPr>
            </w:pPr>
          </w:p>
          <w:p w14:paraId="7FA0D072" w14:textId="5B799545" w:rsidR="00EE66CF" w:rsidRPr="00B9306A" w:rsidRDefault="00B9681A" w:rsidP="00244887">
            <w:pPr>
              <w:pStyle w:val="Box"/>
              <w:rPr>
                <w:b/>
                <w:bCs/>
              </w:rPr>
            </w:pPr>
            <w:r>
              <w:rPr>
                <w:b/>
                <w:bCs/>
              </w:rPr>
              <w:t>Reference</w:t>
            </w:r>
          </w:p>
          <w:p w14:paraId="43CCD065" w14:textId="58C213BF" w:rsidR="003F428C" w:rsidRPr="00B9306A" w:rsidRDefault="00EE66CF" w:rsidP="00B9306A">
            <w:pPr>
              <w:pStyle w:val="BoxReferences"/>
            </w:pPr>
            <w:r>
              <w:rPr>
                <w:rFonts w:ascii="Calibri" w:hAnsi="Calibri" w:cs="Calibri"/>
              </w:rPr>
              <w:t xml:space="preserve">World Bank. 2020. </w:t>
            </w:r>
            <w:r w:rsidRPr="00E057C6">
              <w:rPr>
                <w:rFonts w:ascii="Calibri" w:hAnsi="Calibri" w:cs="Calibri"/>
                <w:i/>
                <w:iCs/>
              </w:rPr>
              <w:t>Global Economic Prospects: Slow Growth, Policy Challenges</w:t>
            </w:r>
            <w:r>
              <w:rPr>
                <w:rFonts w:ascii="Calibri" w:hAnsi="Calibri" w:cs="Calibri"/>
                <w:i/>
                <w:iCs/>
              </w:rPr>
              <w:t xml:space="preserve"> (January 2020)</w:t>
            </w:r>
            <w:r>
              <w:rPr>
                <w:rFonts w:ascii="Calibri" w:hAnsi="Calibri" w:cs="Calibri"/>
              </w:rPr>
              <w:t>. Washington, DC: World Bank.</w:t>
            </w:r>
          </w:p>
        </w:tc>
      </w:tr>
    </w:tbl>
    <w:p w14:paraId="75989FEB" w14:textId="1FDC8C61" w:rsidR="003F428C" w:rsidRDefault="003F428C" w:rsidP="008604A7">
      <w:pPr>
        <w:rPr>
          <w:color w:val="000000" w:themeColor="text1"/>
        </w:rPr>
      </w:pPr>
    </w:p>
    <w:p w14:paraId="266643AA" w14:textId="7FC484AE" w:rsidR="00A43951" w:rsidRDefault="00A43951" w:rsidP="00454821">
      <w:pPr>
        <w:rPr>
          <w:color w:val="000000" w:themeColor="text1"/>
        </w:rPr>
      </w:pPr>
      <w:r>
        <w:rPr>
          <w:color w:val="000000" w:themeColor="text1"/>
        </w:rPr>
        <w:t xml:space="preserve">The intuition behind this counterfactual exercise is as follows. Lockdown measures during the pandemic resulted in demand shocks around the world. Each </w:t>
      </w:r>
      <w:r w:rsidR="00E7449B">
        <w:t>country</w:t>
      </w:r>
      <w:r w:rsidR="00E7449B">
        <w:rPr>
          <w:color w:val="000000" w:themeColor="text1"/>
        </w:rPr>
        <w:t xml:space="preserve"> </w:t>
      </w:r>
      <w:r>
        <w:rPr>
          <w:color w:val="000000" w:themeColor="text1"/>
        </w:rPr>
        <w:t xml:space="preserve">was exposed to </w:t>
      </w:r>
      <w:r>
        <w:rPr>
          <w:color w:val="000000" w:themeColor="text1"/>
        </w:rPr>
        <w:lastRenderedPageBreak/>
        <w:t>these shocks via three channels: through its own domestic economy,</w:t>
      </w:r>
      <w:r w:rsidRPr="00CC3DB1">
        <w:rPr>
          <w:color w:val="000000" w:themeColor="text1"/>
        </w:rPr>
        <w:t xml:space="preserve"> </w:t>
      </w:r>
      <w:r>
        <w:rPr>
          <w:color w:val="000000" w:themeColor="text1"/>
        </w:rPr>
        <w:t xml:space="preserve">through its direct trading partners, and through its indirect trading partners. Several outcomes are possible. If the shock a </w:t>
      </w:r>
      <w:r w:rsidR="00E7449B">
        <w:t>country</w:t>
      </w:r>
      <w:r w:rsidR="00E7449B">
        <w:rPr>
          <w:color w:val="000000" w:themeColor="text1"/>
        </w:rPr>
        <w:t xml:space="preserve"> </w:t>
      </w:r>
      <w:r>
        <w:rPr>
          <w:color w:val="000000" w:themeColor="text1"/>
        </w:rPr>
        <w:t xml:space="preserve">faced from domestic sources was large (severe lockdowns, extreme falls in disposable income) while the shocks it faced from its trading partners were more mild (shorter lockdowns, generous government assistance), then open trading channels allow the overall shock to its GDP to be mitigated. On the other hand, if its domestic shock was mild while its trading partners’ shocks were severe, then open trading channels worsens the overall shock to its GDP. </w:t>
      </w:r>
    </w:p>
    <w:p w14:paraId="34D18AF0" w14:textId="6CF835B9" w:rsidR="003177A0" w:rsidRDefault="00A56072" w:rsidP="003177A0">
      <w:pPr>
        <w:rPr>
          <w:color w:val="000000" w:themeColor="text1"/>
        </w:rPr>
      </w:pPr>
      <w:r>
        <w:rPr>
          <w:color w:val="000000" w:themeColor="text1"/>
        </w:rPr>
        <w:t xml:space="preserve">Three trading scenarios are considered: </w:t>
      </w:r>
      <w:r w:rsidR="003177A0">
        <w:rPr>
          <w:color w:val="000000" w:themeColor="text1"/>
        </w:rPr>
        <w:t>bas</w:t>
      </w:r>
      <w:r w:rsidR="00E7449B">
        <w:rPr>
          <w:color w:val="000000" w:themeColor="text1"/>
        </w:rPr>
        <w:t>e</w:t>
      </w:r>
      <w:r w:rsidR="003177A0">
        <w:rPr>
          <w:color w:val="000000" w:themeColor="text1"/>
        </w:rPr>
        <w:t xml:space="preserve">line, </w:t>
      </w:r>
      <w:r>
        <w:rPr>
          <w:color w:val="000000" w:themeColor="text1"/>
        </w:rPr>
        <w:t xml:space="preserve">classical trading, and </w:t>
      </w:r>
      <w:r w:rsidR="003177A0">
        <w:rPr>
          <w:color w:val="000000" w:themeColor="text1"/>
        </w:rPr>
        <w:t>autarky</w:t>
      </w:r>
      <w:r>
        <w:rPr>
          <w:color w:val="000000" w:themeColor="text1"/>
        </w:rPr>
        <w:t xml:space="preserve">. </w:t>
      </w:r>
      <w:r w:rsidR="003177A0">
        <w:rPr>
          <w:color w:val="000000" w:themeColor="text1"/>
        </w:rPr>
        <w:t>The baseline scenario corresponds to real-world conditions</w:t>
      </w:r>
      <w:r w:rsidR="002D6DDE">
        <w:rPr>
          <w:color w:val="000000" w:themeColor="text1"/>
        </w:rPr>
        <w:t>, where t</w:t>
      </w:r>
      <w:r w:rsidR="00804260">
        <w:rPr>
          <w:color w:val="000000" w:themeColor="text1"/>
        </w:rPr>
        <w:t>he presence of global value chains means</w:t>
      </w:r>
      <w:r w:rsidR="003177A0">
        <w:rPr>
          <w:color w:val="000000" w:themeColor="text1"/>
        </w:rPr>
        <w:t xml:space="preserve"> </w:t>
      </w:r>
      <w:r w:rsidR="00E7449B">
        <w:rPr>
          <w:color w:val="000000" w:themeColor="text1"/>
        </w:rPr>
        <w:t>countries</w:t>
      </w:r>
      <w:r w:rsidR="003177A0">
        <w:rPr>
          <w:color w:val="000000" w:themeColor="text1"/>
        </w:rPr>
        <w:t xml:space="preserve"> may be affected even by demand shocks from sources with whom they have no direct trade with. </w:t>
      </w:r>
      <w:r w:rsidR="00200427">
        <w:rPr>
          <w:color w:val="000000" w:themeColor="text1"/>
        </w:rPr>
        <w:t>Classical trading allows only direct trading. That is, there is no usage of imported inputs and no reexporting.</w:t>
      </w:r>
      <w:r w:rsidR="002D6DDE">
        <w:rPr>
          <w:rStyle w:val="FootnoteReference"/>
          <w:color w:val="000000" w:themeColor="text1"/>
        </w:rPr>
        <w:footnoteReference w:id="11"/>
      </w:r>
      <w:r w:rsidR="00200427">
        <w:rPr>
          <w:color w:val="000000" w:themeColor="text1"/>
        </w:rPr>
        <w:t xml:space="preserve"> Finally, autarky turns off all trading channels</w:t>
      </w:r>
      <w:r w:rsidR="00027846">
        <w:rPr>
          <w:color w:val="000000" w:themeColor="text1"/>
        </w:rPr>
        <w:t xml:space="preserve">. </w:t>
      </w:r>
    </w:p>
    <w:p w14:paraId="7FB51B5C" w14:textId="53D02A69" w:rsidR="007C7D6C" w:rsidRDefault="00C3141B" w:rsidP="007C7D6C">
      <w:r>
        <w:t xml:space="preserve">The top panel of </w:t>
      </w:r>
      <w:fldSimple w:instr=" REF _Ref79412286 ">
        <w:r w:rsidR="00D57A44">
          <w:t xml:space="preserve">Figure </w:t>
        </w:r>
        <w:r w:rsidR="00D57A44">
          <w:rPr>
            <w:noProof/>
            <w:cs/>
          </w:rPr>
          <w:t>‎</w:t>
        </w:r>
        <w:r w:rsidR="00D57A44">
          <w:rPr>
            <w:noProof/>
          </w:rPr>
          <w:t>5</w:t>
        </w:r>
        <w:r w:rsidR="00D57A44">
          <w:t>.</w:t>
        </w:r>
        <w:r w:rsidR="00D57A44">
          <w:rPr>
            <w:noProof/>
          </w:rPr>
          <w:t>6</w:t>
        </w:r>
      </w:fldSimple>
      <w:r>
        <w:t xml:space="preserve"> plots the percent-changes in nominal GDP following the pandemic-induced demand shock under the three trading scenarios. In Pakistan’s case, its GDP falls by 12.4% under the baseline scenario. Turning off indirect trade channels worsens this slightly to –12.5%, while turning off all trade channels brings this to –12.9%. These estimates are not far from each other, likely because Pakistan’s exposure to trade in general and GVCs in particular is not very high to begin with. Nevertheless, looking at the bottom panel, these suggest that without any trade, Pakistan’s contraction would have been 0.5 percentage points larger. GVCs were thus able to mitigate some of the effects of the pandemic.</w:t>
      </w:r>
      <w:r w:rsidR="007C7D6C" w:rsidRPr="007C7D6C">
        <w:t xml:space="preserve"> </w:t>
      </w:r>
    </w:p>
    <w:p w14:paraId="7C9389B5" w14:textId="0D63DD77" w:rsidR="007C7D6C" w:rsidRDefault="007C7D6C" w:rsidP="007C7D6C">
      <w:r>
        <w:t xml:space="preserve">The opposite is the case for other countries. Sri Lanka, for example, is estimated to contract by 10.0% under both the baseline and classical trading scenarios but only by 8.2% under autarky. An interesting case is Maldives. Under the baseline scenario, its GDP contracts by 27.4%, while under classical trading, this worsens by almost 1 percentage-point to 28.4%. However, under autarky, this shrinks to 26.6%. Thus, moving from a state of autarky to classical trading worsens outcomes severely for Maldives, but opening its trade further to allow GVCs mitigates these outcomes somewhat. </w:t>
      </w:r>
    </w:p>
    <w:p w14:paraId="1C6B90AA" w14:textId="0B25B1A8" w:rsidR="007C7D6C" w:rsidRPr="00EC5872" w:rsidRDefault="00000000" w:rsidP="007C7D6C">
      <w:fldSimple w:instr=" REF _Ref79331454 ">
        <w:r w:rsidR="00D57A44">
          <w:t xml:space="preserve">Figure </w:t>
        </w:r>
        <w:r w:rsidR="00D57A44">
          <w:rPr>
            <w:noProof/>
            <w:cs/>
          </w:rPr>
          <w:t>‎</w:t>
        </w:r>
        <w:r w:rsidR="00D57A44">
          <w:rPr>
            <w:noProof/>
          </w:rPr>
          <w:t>5</w:t>
        </w:r>
        <w:r w:rsidR="00D57A44">
          <w:t>.</w:t>
        </w:r>
        <w:r w:rsidR="00D57A44">
          <w:rPr>
            <w:noProof/>
          </w:rPr>
          <w:t>5</w:t>
        </w:r>
      </w:fldSimple>
      <w:r w:rsidR="007C7D6C">
        <w:t xml:space="preserve"> and </w:t>
      </w:r>
      <w:fldSimple w:instr=" REF _Ref79412286 ">
        <w:r w:rsidR="00D57A44">
          <w:t xml:space="preserve">Figure </w:t>
        </w:r>
        <w:r w:rsidR="00D57A44">
          <w:rPr>
            <w:noProof/>
            <w:cs/>
          </w:rPr>
          <w:t>‎</w:t>
        </w:r>
        <w:r w:rsidR="00D57A44">
          <w:rPr>
            <w:noProof/>
          </w:rPr>
          <w:t>5</w:t>
        </w:r>
        <w:r w:rsidR="00D57A44">
          <w:t>.</w:t>
        </w:r>
        <w:r w:rsidR="00D57A44">
          <w:rPr>
            <w:noProof/>
          </w:rPr>
          <w:t>6</w:t>
        </w:r>
      </w:fldSimple>
      <w:r w:rsidR="007C7D6C">
        <w:t xml:space="preserve"> demonstrate what ADB (2021) calls the two faces of GVCs. That is, as far as the available data suggests, exposure to global value chains had both benefits and costs during the COVID-19 pandemic. As countries take advantage of the opportunities GVCs bring, they must also ensure that the accompanying risks are properly accounted for. </w:t>
      </w:r>
    </w:p>
    <w:p w14:paraId="5CF5EA72" w14:textId="7BAAFF9F" w:rsidR="00586846" w:rsidRDefault="00234B4A" w:rsidP="00586846">
      <w:pPr>
        <w:pStyle w:val="Caption"/>
      </w:pPr>
      <w:bookmarkStart w:id="89" w:name="_Ref79412286"/>
      <w:bookmarkStart w:id="90" w:name="_Toc83849821"/>
      <w:r>
        <w:rPr>
          <w:noProof/>
        </w:rPr>
        <w:lastRenderedPageBreak/>
        <w:drawing>
          <wp:anchor distT="0" distB="0" distL="114300" distR="114300" simplePos="0" relativeHeight="251726848" behindDoc="0" locked="0" layoutInCell="1" allowOverlap="1" wp14:anchorId="0E3FEBD5" wp14:editId="14BA8FD2">
            <wp:simplePos x="0" y="0"/>
            <wp:positionH relativeFrom="margin">
              <wp:align>center</wp:align>
            </wp:positionH>
            <wp:positionV relativeFrom="paragraph">
              <wp:posOffset>192965</wp:posOffset>
            </wp:positionV>
            <wp:extent cx="5731510" cy="4301490"/>
            <wp:effectExtent l="0" t="0" r="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4301490"/>
                    </a:xfrm>
                    <a:prstGeom prst="rect">
                      <a:avLst/>
                    </a:prstGeom>
                  </pic:spPr>
                </pic:pic>
              </a:graphicData>
            </a:graphic>
          </wp:anchor>
        </w:drawing>
      </w:r>
      <w:r w:rsidR="00586846">
        <w:t xml:space="preserve">Figure </w:t>
      </w:r>
      <w:fldSimple w:instr=" STYLEREF 1 \s ">
        <w:r w:rsidR="00D57A44">
          <w:rPr>
            <w:noProof/>
            <w:cs/>
          </w:rPr>
          <w:t>‎</w:t>
        </w:r>
        <w:r w:rsidR="00D57A44">
          <w:rPr>
            <w:noProof/>
          </w:rPr>
          <w:t>5</w:t>
        </w:r>
      </w:fldSimple>
      <w:r w:rsidR="003F26C2">
        <w:t>.</w:t>
      </w:r>
      <w:fldSimple w:instr=" SEQ Figure \* ARABIC \s 1 ">
        <w:r w:rsidR="00D57A44">
          <w:rPr>
            <w:noProof/>
          </w:rPr>
          <w:t>6</w:t>
        </w:r>
      </w:fldSimple>
      <w:bookmarkEnd w:id="89"/>
      <w:r w:rsidR="00586846">
        <w:t>: The COVID-19 Shock under Different Trade Scenarios, Selected Economies</w:t>
      </w:r>
      <w:bookmarkEnd w:id="90"/>
    </w:p>
    <w:p w14:paraId="6E26BF70" w14:textId="3B474DDF" w:rsidR="006D72B3" w:rsidRDefault="004E3AD2" w:rsidP="00CC432F">
      <w:pPr>
        <w:pStyle w:val="NotesAbbreviations"/>
      </w:pPr>
      <w:r>
        <w:t>GDP = gross domestic product</w:t>
      </w:r>
      <w:r w:rsidR="00353B73">
        <w:t>, GVC = global value chain.</w:t>
      </w:r>
    </w:p>
    <w:p w14:paraId="5F8B2C90" w14:textId="3648C3D8" w:rsidR="006D72B3" w:rsidRPr="00B977FB" w:rsidRDefault="006D72B3" w:rsidP="002213D0">
      <w:pPr>
        <w:pStyle w:val="Notes"/>
      </w:pPr>
      <w:r w:rsidRPr="00B977FB">
        <w:t xml:space="preserve">Notes: </w:t>
      </w:r>
      <w:r w:rsidRPr="00B977FB">
        <w:tab/>
      </w:r>
      <w:r w:rsidR="002D2F93">
        <w:t xml:space="preserve">The top panel gives the percent change in GDP given the </w:t>
      </w:r>
      <w:r w:rsidR="0062633D">
        <w:t>pandemic</w:t>
      </w:r>
      <w:r w:rsidR="002D2F93">
        <w:t xml:space="preserve">-induced demand shock under different </w:t>
      </w:r>
      <w:r w:rsidR="0062633D">
        <w:t>trade</w:t>
      </w:r>
      <w:r w:rsidR="002D2F93">
        <w:t xml:space="preserve"> scenarios. </w:t>
      </w:r>
      <w:r w:rsidR="002213D0">
        <w:t xml:space="preserve">“Baseline” assumes all forms of trade and corresponds to the real world. “Classical trading” assumes only direct trade. </w:t>
      </w:r>
      <w:r w:rsidR="002D4BB5">
        <w:t>“</w:t>
      </w:r>
      <w:r w:rsidR="00001050">
        <w:t>Autarky</w:t>
      </w:r>
      <w:r w:rsidR="002D4BB5">
        <w:t>”</w:t>
      </w:r>
      <w:r w:rsidR="00001050">
        <w:t xml:space="preserve"> </w:t>
      </w:r>
      <w:r w:rsidR="002D4BB5">
        <w:t xml:space="preserve">assumes no trade. </w:t>
      </w:r>
      <w:r w:rsidR="00234B4A">
        <w:t>The bottom panel is the percentage-point difference</w:t>
      </w:r>
      <w:r w:rsidR="002D2F93">
        <w:t>s of the numbers in the top panel.</w:t>
      </w:r>
      <w:r w:rsidR="0062633D">
        <w:t xml:space="preserve"> </w:t>
      </w:r>
    </w:p>
    <w:p w14:paraId="0E3BF992" w14:textId="1A4A6903" w:rsidR="00341853" w:rsidRDefault="001062EF" w:rsidP="006C5615">
      <w:pPr>
        <w:pStyle w:val="NotesBottom"/>
      </w:pPr>
      <w:r>
        <w:t xml:space="preserve">Sources: </w:t>
      </w:r>
      <w:r>
        <w:tab/>
        <w:t xml:space="preserve">Asian Development Bank. Multiregional Input–Output Database. </w:t>
      </w:r>
      <w:r w:rsidRPr="0004229A">
        <w:t>https://mrio.adbx.online</w:t>
      </w:r>
      <w:r>
        <w:t xml:space="preserve"> (accessed 1 August 2021);</w:t>
      </w:r>
      <w:r w:rsidRPr="008F0425">
        <w:t xml:space="preserve"> </w:t>
      </w:r>
      <w:r>
        <w:t>Asian Development Bank estimates.</w:t>
      </w:r>
    </w:p>
    <w:p w14:paraId="27F0A568" w14:textId="5584CCD0" w:rsidR="00E203ED" w:rsidRDefault="00E203ED" w:rsidP="008604A7">
      <w:r>
        <w:br w:type="page"/>
      </w:r>
    </w:p>
    <w:p w14:paraId="1400A428" w14:textId="77777777" w:rsidR="00C14863" w:rsidRDefault="00C14863" w:rsidP="00C14863">
      <w:pPr>
        <w:pStyle w:val="Heading1"/>
      </w:pPr>
      <w:bookmarkStart w:id="91" w:name="_Toc83849794"/>
      <w:r>
        <w:lastRenderedPageBreak/>
        <w:t>Conclusion</w:t>
      </w:r>
      <w:bookmarkEnd w:id="91"/>
    </w:p>
    <w:p w14:paraId="59C5406D" w14:textId="76E6347E" w:rsidR="00732F58" w:rsidRDefault="00732F58" w:rsidP="00C14863">
      <w:r>
        <w:t>In its country partnership strategy with Pakistan, ADB (2020) outlines three pillars its assistance will prioritize over the period 2021–2025:</w:t>
      </w:r>
    </w:p>
    <w:p w14:paraId="1B5C1BFF" w14:textId="19B9B383" w:rsidR="00732F58" w:rsidRDefault="00732F58" w:rsidP="00732F58">
      <w:pPr>
        <w:pStyle w:val="ListParagraph"/>
        <w:numPr>
          <w:ilvl w:val="0"/>
          <w:numId w:val="30"/>
        </w:numPr>
      </w:pPr>
      <w:r>
        <w:t>Improving economic management to restore stability and growth.</w:t>
      </w:r>
    </w:p>
    <w:p w14:paraId="37AAC3DE" w14:textId="1F4EDC96" w:rsidR="00732F58" w:rsidRDefault="00732F58" w:rsidP="00732F58">
      <w:pPr>
        <w:pStyle w:val="ListParagraph"/>
        <w:numPr>
          <w:ilvl w:val="0"/>
          <w:numId w:val="30"/>
        </w:numPr>
      </w:pPr>
      <w:r>
        <w:t>Building resilience through human capital development and social protection to enhance productivity and people’s well-being.</w:t>
      </w:r>
    </w:p>
    <w:p w14:paraId="532301ED" w14:textId="77777777" w:rsidR="00732F58" w:rsidRPr="00732F58" w:rsidRDefault="00732F58" w:rsidP="00732F58">
      <w:pPr>
        <w:pStyle w:val="ListParagraph"/>
        <w:numPr>
          <w:ilvl w:val="0"/>
          <w:numId w:val="30"/>
        </w:numPr>
        <w:rPr>
          <w:rFonts w:asciiTheme="majorHAnsi" w:eastAsiaTheme="majorEastAsia" w:hAnsiTheme="majorHAnsi" w:cstheme="majorBidi"/>
          <w:color w:val="FF0000"/>
          <w:sz w:val="32"/>
          <w:szCs w:val="32"/>
        </w:rPr>
      </w:pPr>
      <w:r>
        <w:t>Boosting competitiveness and private sector development to create jobs and expand economic opportunities.</w:t>
      </w:r>
    </w:p>
    <w:p w14:paraId="437BE5AA" w14:textId="43CC6FFD" w:rsidR="00732F58" w:rsidRDefault="00732F58" w:rsidP="0073106E">
      <w:r>
        <w:t xml:space="preserve">This report </w:t>
      </w:r>
      <w:r w:rsidR="00E97DCE">
        <w:t xml:space="preserve">is a knowledge product </w:t>
      </w:r>
      <w:r w:rsidR="0073106E">
        <w:t>that complements this country partnership</w:t>
      </w:r>
      <w:r w:rsidR="00BD7D6F">
        <w:t xml:space="preserve"> by </w:t>
      </w:r>
      <w:r w:rsidR="0073106E">
        <w:t xml:space="preserve">describing the state of Pakistan’s economy and its engagement with GVCs. </w:t>
      </w:r>
      <w:r w:rsidR="00E97DCE">
        <w:t xml:space="preserve">It </w:t>
      </w:r>
      <w:r w:rsidR="00D65CFF">
        <w:t xml:space="preserve">builds its analysis from a combination of </w:t>
      </w:r>
      <w:r w:rsidR="00E97DCE">
        <w:t xml:space="preserve">up-to-date datasets </w:t>
      </w:r>
      <w:r w:rsidR="00D65CFF">
        <w:t xml:space="preserve">and </w:t>
      </w:r>
      <w:r w:rsidR="00E97DCE">
        <w:t xml:space="preserve">the best available analytical tools. By </w:t>
      </w:r>
      <w:r w:rsidR="00F209ED">
        <w:t>efficiently connecting</w:t>
      </w:r>
      <w:r w:rsidR="00E97DCE">
        <w:t xml:space="preserve"> </w:t>
      </w:r>
      <w:r w:rsidR="00F209ED">
        <w:t xml:space="preserve">suppliers to consumers </w:t>
      </w:r>
      <w:r w:rsidR="00E97DCE">
        <w:t>and lowering barrier</w:t>
      </w:r>
      <w:r w:rsidR="00F209ED">
        <w:t>s</w:t>
      </w:r>
      <w:r w:rsidR="00E97DCE">
        <w:t xml:space="preserve"> </w:t>
      </w:r>
      <w:r w:rsidR="00F209ED">
        <w:t>t</w:t>
      </w:r>
      <w:r w:rsidR="00E97DCE">
        <w:t>o entry in</w:t>
      </w:r>
      <w:r w:rsidR="00F209ED">
        <w:t>to</w:t>
      </w:r>
      <w:r w:rsidR="00E97DCE">
        <w:t xml:space="preserve"> high-value industries, GVCs have proven to be a potent stimulus to </w:t>
      </w:r>
      <w:r w:rsidR="00545077">
        <w:t xml:space="preserve">growth, human capital development, </w:t>
      </w:r>
      <w:r w:rsidR="008567EC">
        <w:t>and</w:t>
      </w:r>
      <w:r w:rsidR="00545077">
        <w:t xml:space="preserve"> </w:t>
      </w:r>
      <w:r w:rsidR="00E97DCE">
        <w:t xml:space="preserve">competitiveness. </w:t>
      </w:r>
      <w:r w:rsidR="00F209ED">
        <w:t>This report, however, has also highlighted the risks of GVCs</w:t>
      </w:r>
      <w:r w:rsidR="00BA4C40">
        <w:t xml:space="preserve"> (see</w:t>
      </w:r>
      <w:r w:rsidR="00721A02">
        <w:t xml:space="preserve"> </w:t>
      </w:r>
      <w:fldSimple w:instr=" REF _Ref79331454 ">
        <w:r w:rsidR="00D57A44">
          <w:t xml:space="preserve">Figure </w:t>
        </w:r>
        <w:r w:rsidR="00D57A44">
          <w:rPr>
            <w:noProof/>
            <w:cs/>
          </w:rPr>
          <w:t>‎</w:t>
        </w:r>
        <w:r w:rsidR="00D57A44">
          <w:rPr>
            <w:noProof/>
          </w:rPr>
          <w:t>5</w:t>
        </w:r>
        <w:r w:rsidR="00D57A44">
          <w:t>.</w:t>
        </w:r>
        <w:r w:rsidR="00D57A44">
          <w:rPr>
            <w:noProof/>
          </w:rPr>
          <w:t>5</w:t>
        </w:r>
      </w:fldSimple>
      <w:r w:rsidR="00721A02">
        <w:t xml:space="preserve"> </w:t>
      </w:r>
      <w:r w:rsidR="00BA4C40">
        <w:t xml:space="preserve">and </w:t>
      </w:r>
      <w:fldSimple w:instr=" REF _Ref79412286 ">
        <w:r w:rsidR="00D57A44">
          <w:t xml:space="preserve">Figure </w:t>
        </w:r>
        <w:r w:rsidR="00D57A44">
          <w:rPr>
            <w:noProof/>
            <w:cs/>
          </w:rPr>
          <w:t>‎</w:t>
        </w:r>
        <w:r w:rsidR="00D57A44">
          <w:rPr>
            <w:noProof/>
          </w:rPr>
          <w:t>5</w:t>
        </w:r>
        <w:r w:rsidR="00D57A44">
          <w:t>.</w:t>
        </w:r>
        <w:r w:rsidR="00D57A44">
          <w:rPr>
            <w:noProof/>
          </w:rPr>
          <w:t>6</w:t>
        </w:r>
      </w:fldSimple>
      <w:r w:rsidR="00BA4C40">
        <w:t>)</w:t>
      </w:r>
      <w:r w:rsidR="00F209ED">
        <w:t>. In a more interconnected world, shocks in one place ripple through the system to affect seemingly distant economies. GVC participation, therefore, must be done the right way.</w:t>
      </w:r>
    </w:p>
    <w:p w14:paraId="7D40F986" w14:textId="381D791D" w:rsidR="00F209ED" w:rsidRDefault="00C018AB" w:rsidP="006F32EB">
      <w:r>
        <w:t>Having among the lowest GVC participation rates in the world</w:t>
      </w:r>
      <w:r w:rsidR="00721A02">
        <w:t xml:space="preserve"> (</w:t>
      </w:r>
      <w:fldSimple w:instr=" REF _Ref83841136 ">
        <w:r w:rsidR="00D57A44">
          <w:t xml:space="preserve">Figure </w:t>
        </w:r>
        <w:r w:rsidR="00D57A44">
          <w:rPr>
            <w:noProof/>
            <w:cs/>
          </w:rPr>
          <w:t>‎</w:t>
        </w:r>
        <w:r w:rsidR="00D57A44">
          <w:rPr>
            <w:noProof/>
          </w:rPr>
          <w:t>3</w:t>
        </w:r>
        <w:r w:rsidR="00D57A44">
          <w:t>.</w:t>
        </w:r>
        <w:r w:rsidR="00D57A44">
          <w:rPr>
            <w:noProof/>
          </w:rPr>
          <w:t>4</w:t>
        </w:r>
      </w:fldSimple>
      <w:r w:rsidR="00721A02">
        <w:t>)</w:t>
      </w:r>
      <w:r>
        <w:t>, the Pakistan economy is primed to benefit enormously from adopting a more outward-oriented development strategy.</w:t>
      </w:r>
      <w:r w:rsidR="00DD1D92">
        <w:t xml:space="preserve"> Provided that it does so in a careful and deliberate manner, its already impressive achievements in poverty reduction can be pushed further and its boom-and-bust growth pattern can be put on a more stable trend.</w:t>
      </w:r>
    </w:p>
    <w:p w14:paraId="6762A544" w14:textId="46AD80EA" w:rsidR="00642FAF" w:rsidRDefault="00642FAF" w:rsidP="00732F58">
      <w:r>
        <w:t>To maximize the benefits and minimize the costs of GVCs, this report recommends the following principles</w:t>
      </w:r>
      <w:r w:rsidR="001B12C0">
        <w:t>:</w:t>
      </w:r>
    </w:p>
    <w:p w14:paraId="235153E2" w14:textId="3C8CF334" w:rsidR="00642FAF" w:rsidRDefault="001D42B6" w:rsidP="00732F58">
      <w:r w:rsidRPr="001D42B6">
        <w:rPr>
          <w:b/>
          <w:bCs/>
        </w:rPr>
        <w:t>Diversification.</w:t>
      </w:r>
      <w:r>
        <w:t xml:space="preserve"> The key to managing many types of risk is </w:t>
      </w:r>
      <w:r w:rsidR="00141B1B">
        <w:t>diversification</w:t>
      </w:r>
      <w:r>
        <w:t xml:space="preserve">. In the case of GVCs, Pakistan would do well to diversify not just its export basket but also </w:t>
      </w:r>
      <w:r w:rsidR="00143221">
        <w:t>the markets it sells to</w:t>
      </w:r>
      <w:r>
        <w:t xml:space="preserve">. In chapter 2, it was shown that while Pakistan’s merchandise exports </w:t>
      </w:r>
      <w:r w:rsidR="00141B1B">
        <w:t>we</w:t>
      </w:r>
      <w:r>
        <w:t>re generally more diversified than Bangladesh and Cambodia, they were still less diverse than India’s (</w:t>
      </w:r>
      <w:fldSimple w:instr=" REF _Ref77687311 ">
        <w:r w:rsidR="00D57A44">
          <w:t xml:space="preserve">Figure </w:t>
        </w:r>
        <w:r w:rsidR="00D57A44">
          <w:rPr>
            <w:noProof/>
            <w:cs/>
          </w:rPr>
          <w:t>‎</w:t>
        </w:r>
        <w:r w:rsidR="00D57A44">
          <w:rPr>
            <w:noProof/>
          </w:rPr>
          <w:t>2</w:t>
        </w:r>
        <w:r w:rsidR="00D57A44">
          <w:t>.</w:t>
        </w:r>
        <w:r w:rsidR="00D57A44">
          <w:rPr>
            <w:noProof/>
          </w:rPr>
          <w:t>5</w:t>
        </w:r>
      </w:fldSimple>
      <w:r>
        <w:t xml:space="preserve">). Moreover, </w:t>
      </w:r>
      <w:fldSimple w:instr=" REF _Ref77604920 ">
        <w:r w:rsidR="00D57A44">
          <w:t xml:space="preserve">Figure </w:t>
        </w:r>
        <w:r w:rsidR="00D57A44">
          <w:rPr>
            <w:noProof/>
            <w:cs/>
          </w:rPr>
          <w:t>‎</w:t>
        </w:r>
        <w:r w:rsidR="00D57A44">
          <w:rPr>
            <w:noProof/>
          </w:rPr>
          <w:t>2</w:t>
        </w:r>
        <w:r w:rsidR="00D57A44">
          <w:t>.</w:t>
        </w:r>
        <w:r w:rsidR="00D57A44">
          <w:rPr>
            <w:noProof/>
          </w:rPr>
          <w:t>4</w:t>
        </w:r>
      </w:fldSimple>
      <w:r>
        <w:t xml:space="preserve"> pointed to the dominance of textile products. Specialization in this sector is not necessarily an unsound strategy, as demonstrated by the </w:t>
      </w:r>
      <w:r w:rsidR="00F35907">
        <w:t>solid growth record</w:t>
      </w:r>
      <w:r>
        <w:t xml:space="preserve"> of other textiles-heavy exporters like Bangladesh and Cambodia.</w:t>
      </w:r>
      <w:r w:rsidR="00F35907">
        <w:t xml:space="preserve"> However, Pakistan must ensure that within this sector, its firms </w:t>
      </w:r>
      <w:r w:rsidR="00143221">
        <w:t>are able</w:t>
      </w:r>
      <w:r w:rsidR="00F35907">
        <w:t xml:space="preserve"> to </w:t>
      </w:r>
      <w:r w:rsidR="00143221">
        <w:t>participate</w:t>
      </w:r>
      <w:r w:rsidR="00F35907">
        <w:t xml:space="preserve"> all along the productivity </w:t>
      </w:r>
      <w:r w:rsidR="00143221">
        <w:t>spectrum</w:t>
      </w:r>
      <w:r w:rsidR="00F35907">
        <w:t xml:space="preserve"> and are</w:t>
      </w:r>
      <w:r w:rsidR="001C5605">
        <w:t xml:space="preserve"> not</w:t>
      </w:r>
      <w:r w:rsidR="00F35907">
        <w:t xml:space="preserve"> stuck in low</w:t>
      </w:r>
      <w:r w:rsidR="008567EC">
        <w:t>-</w:t>
      </w:r>
      <w:r w:rsidR="00F35907">
        <w:t>value-added segments.</w:t>
      </w:r>
      <w:r w:rsidR="00143221">
        <w:t xml:space="preserve"> Some evidence that </w:t>
      </w:r>
      <w:r w:rsidR="004F0A8C">
        <w:t>the latter</w:t>
      </w:r>
      <w:r w:rsidR="00143221">
        <w:t xml:space="preserve"> is </w:t>
      </w:r>
      <w:r w:rsidR="00E72961">
        <w:t>occurring</w:t>
      </w:r>
      <w:r w:rsidR="00143221">
        <w:t xml:space="preserve"> is </w:t>
      </w:r>
      <w:r w:rsidR="005756E1">
        <w:t>the decomposition of GVC production length</w:t>
      </w:r>
      <w:r w:rsidR="00B027B0">
        <w:t>s</w:t>
      </w:r>
      <w:r w:rsidR="005756E1">
        <w:t xml:space="preserve"> shown in </w:t>
      </w:r>
      <w:fldSimple w:instr=" REF _Ref77797948 ">
        <w:r w:rsidR="00D57A44">
          <w:t xml:space="preserve">Figure </w:t>
        </w:r>
        <w:r w:rsidR="00D57A44">
          <w:rPr>
            <w:noProof/>
            <w:cs/>
          </w:rPr>
          <w:t>‎</w:t>
        </w:r>
        <w:r w:rsidR="00D57A44">
          <w:rPr>
            <w:noProof/>
          </w:rPr>
          <w:t>3</w:t>
        </w:r>
        <w:r w:rsidR="00D57A44">
          <w:t>.</w:t>
        </w:r>
        <w:r w:rsidR="00D57A44">
          <w:rPr>
            <w:noProof/>
          </w:rPr>
          <w:t>7</w:t>
        </w:r>
      </w:fldSimple>
      <w:r w:rsidR="00B925D0">
        <w:t xml:space="preserve">, which indicates that </w:t>
      </w:r>
      <w:r w:rsidR="008F4264">
        <w:t xml:space="preserve">textiles exports </w:t>
      </w:r>
      <w:r w:rsidR="00B925D0">
        <w:t>rel</w:t>
      </w:r>
      <w:r w:rsidR="005756E1">
        <w:t>y</w:t>
      </w:r>
      <w:r w:rsidR="00B925D0">
        <w:t xml:space="preserve"> heavily on </w:t>
      </w:r>
      <w:r w:rsidR="005756E1">
        <w:t>processing abroad</w:t>
      </w:r>
      <w:r w:rsidR="00B925D0">
        <w:t>.</w:t>
      </w:r>
    </w:p>
    <w:p w14:paraId="36F35F03" w14:textId="15A6C5F6" w:rsidR="00F751E5" w:rsidRDefault="00A50238" w:rsidP="00732F58">
      <w:r>
        <w:lastRenderedPageBreak/>
        <w:t>It was also shown in chapter 2 that Pakistan maintains a fairly diverse set of trading partners, which include</w:t>
      </w:r>
      <w:r w:rsidR="00241431">
        <w:t>s</w:t>
      </w:r>
      <w:r>
        <w:t xml:space="preserve"> the United States, Europe, and the People’s Republic of China for its textiles and the Middle East for its rice.</w:t>
      </w:r>
      <w:r w:rsidR="00C851DC">
        <w:t xml:space="preserve"> </w:t>
      </w:r>
      <w:fldSimple w:instr=" REF _Ref77768646 ">
        <w:r w:rsidR="00D57A44">
          <w:t xml:space="preserve">Figure </w:t>
        </w:r>
        <w:r w:rsidR="00D57A44">
          <w:rPr>
            <w:noProof/>
            <w:cs/>
          </w:rPr>
          <w:t>‎</w:t>
        </w:r>
        <w:r w:rsidR="00D57A44">
          <w:rPr>
            <w:noProof/>
          </w:rPr>
          <w:t>3</w:t>
        </w:r>
        <w:r w:rsidR="00D57A44">
          <w:t>.</w:t>
        </w:r>
        <w:r w:rsidR="00D57A44">
          <w:rPr>
            <w:noProof/>
          </w:rPr>
          <w:t>2</w:t>
        </w:r>
      </w:fldSimple>
      <w:r w:rsidR="00C851DC">
        <w:t xml:space="preserve"> also showed that </w:t>
      </w:r>
      <w:r w:rsidR="0005757A">
        <w:t xml:space="preserve">export destinations and foreign value added sources were spread out across many countries when looked at by value-added category. </w:t>
      </w:r>
      <w:r w:rsidR="003E3FE0">
        <w:t xml:space="preserve">Nevertheless, </w:t>
      </w:r>
      <w:r w:rsidR="003471B6">
        <w:t xml:space="preserve">it </w:t>
      </w:r>
      <w:r w:rsidR="00F47836">
        <w:t>is worth noting</w:t>
      </w:r>
      <w:r w:rsidR="003471B6">
        <w:t xml:space="preserve"> that </w:t>
      </w:r>
      <w:r w:rsidR="001E3F32">
        <w:t>with a trade-to-GDP ratio of 30%, Pakistan’s producers are in effect highly concentrated in a single market: its own.</w:t>
      </w:r>
      <w:r w:rsidR="005A7EE8">
        <w:t xml:space="preserve"> Greater trade participation, then, </w:t>
      </w:r>
      <w:r w:rsidR="00383886">
        <w:t>will in itself diversify the country’s sources of demand</w:t>
      </w:r>
      <w:r w:rsidR="00017DB6">
        <w:t xml:space="preserve"> and is a strategy worth exploring from a risk management perspective</w:t>
      </w:r>
      <w:r w:rsidR="00383886">
        <w:t>.</w:t>
      </w:r>
    </w:p>
    <w:p w14:paraId="1A213F2C" w14:textId="21D984AD" w:rsidR="00F751E5" w:rsidRDefault="008D0136" w:rsidP="00732F58">
      <w:r w:rsidRPr="001117CC">
        <w:rPr>
          <w:b/>
          <w:bCs/>
        </w:rPr>
        <w:t>Invest</w:t>
      </w:r>
      <w:r w:rsidR="00AE50A9">
        <w:rPr>
          <w:b/>
          <w:bCs/>
        </w:rPr>
        <w:t>ing</w:t>
      </w:r>
      <w:r w:rsidRPr="001117CC">
        <w:rPr>
          <w:b/>
          <w:bCs/>
        </w:rPr>
        <w:t xml:space="preserve"> in people. </w:t>
      </w:r>
      <w:r w:rsidR="003571A7" w:rsidRPr="003571A7">
        <w:t>Using government census data</w:t>
      </w:r>
      <w:r w:rsidR="003571A7">
        <w:t xml:space="preserve"> for 2017</w:t>
      </w:r>
      <w:r w:rsidR="003571A7" w:rsidRPr="003571A7">
        <w:t xml:space="preserve">, </w:t>
      </w:r>
      <w:r w:rsidR="004203B1" w:rsidRPr="004203B1">
        <w:t>World</w:t>
      </w:r>
      <w:r w:rsidR="004203B1">
        <w:rPr>
          <w:b/>
          <w:bCs/>
        </w:rPr>
        <w:t xml:space="preserve"> </w:t>
      </w:r>
      <w:r w:rsidR="004203B1" w:rsidRPr="004203B1">
        <w:t>Bank</w:t>
      </w:r>
      <w:r w:rsidR="004203B1">
        <w:t xml:space="preserve"> (2020a) paints a concerning picture </w:t>
      </w:r>
      <w:r w:rsidR="005F5DF1">
        <w:t>of</w:t>
      </w:r>
      <w:r w:rsidR="004203B1">
        <w:t xml:space="preserve"> the state of human </w:t>
      </w:r>
      <w:r w:rsidR="004203B1" w:rsidRPr="004203B1">
        <w:t xml:space="preserve">capital in Pakistan. </w:t>
      </w:r>
      <w:r w:rsidR="00985F17">
        <w:t xml:space="preserve">Almost 60% of the labor force </w:t>
      </w:r>
      <w:r w:rsidR="00241431">
        <w:t xml:space="preserve">are either uneducated or completed </w:t>
      </w:r>
      <w:r w:rsidR="00985F17">
        <w:t>only primary education</w:t>
      </w:r>
      <w:r w:rsidR="005F5DF1">
        <w:t>, with</w:t>
      </w:r>
      <w:r w:rsidR="00235878">
        <w:t xml:space="preserve"> the out-of-school population </w:t>
      </w:r>
      <w:r w:rsidR="005F5DF1">
        <w:t>numbering</w:t>
      </w:r>
      <w:r w:rsidR="00235878">
        <w:t xml:space="preserve"> </w:t>
      </w:r>
      <w:r w:rsidR="005F5DF1">
        <w:t xml:space="preserve">some </w:t>
      </w:r>
      <w:r w:rsidR="00235878">
        <w:t>20–25 million</w:t>
      </w:r>
      <w:r w:rsidR="00985F17">
        <w:t xml:space="preserve">. </w:t>
      </w:r>
      <w:r w:rsidR="005F5DF1">
        <w:t xml:space="preserve">Of </w:t>
      </w:r>
      <w:r w:rsidR="003571A7">
        <w:t>1</w:t>
      </w:r>
      <w:r w:rsidR="00235878">
        <w:t>,</w:t>
      </w:r>
      <w:r w:rsidR="003571A7">
        <w:t>000 live births</w:t>
      </w:r>
      <w:r w:rsidR="005F5DF1">
        <w:t>, about 75</w:t>
      </w:r>
      <w:r w:rsidR="003571A7">
        <w:t xml:space="preserve"> </w:t>
      </w:r>
      <w:r w:rsidR="002C5A2D">
        <w:t xml:space="preserve">children </w:t>
      </w:r>
      <w:r w:rsidR="005F5DF1">
        <w:t>die before the age of 5</w:t>
      </w:r>
      <w:r w:rsidR="00B47AB3">
        <w:t>, the highest rate in South Asia</w:t>
      </w:r>
      <w:r w:rsidR="005F5DF1">
        <w:t>. Among those who live, over one-third are stunted</w:t>
      </w:r>
      <w:r w:rsidR="00235878">
        <w:t>.</w:t>
      </w:r>
      <w:r w:rsidR="00417EEE">
        <w:t xml:space="preserve"> Access to education and health services are vastly unequal. </w:t>
      </w:r>
      <w:r w:rsidR="00241431">
        <w:t>Moreover,</w:t>
      </w:r>
      <w:r w:rsidR="00417EEE">
        <w:t xml:space="preserve"> all this have been made more challenging by the COVID-19 pandemic.</w:t>
      </w:r>
    </w:p>
    <w:p w14:paraId="12E1B648" w14:textId="05B49803" w:rsidR="008D0136" w:rsidRDefault="005A4793" w:rsidP="00AE50A9">
      <w:r>
        <w:t xml:space="preserve">Apart from its </w:t>
      </w:r>
      <w:r w:rsidR="006E0906">
        <w:t xml:space="preserve">worthy </w:t>
      </w:r>
      <w:r>
        <w:t>contribution to welfare, i</w:t>
      </w:r>
      <w:r w:rsidR="00C02AB5">
        <w:t xml:space="preserve">nvesting in human capital </w:t>
      </w:r>
      <w:r w:rsidR="00D10258">
        <w:t>yields significant</w:t>
      </w:r>
      <w:r w:rsidR="00AD275A">
        <w:t xml:space="preserve"> economic</w:t>
      </w:r>
      <w:r w:rsidR="00D10258">
        <w:t xml:space="preserve"> returns when paired with the opportunities provided by GVCs. </w:t>
      </w:r>
      <w:r w:rsidR="000713D7">
        <w:t xml:space="preserve">The services sector is already a proven driver of poverty reduction in Pakistan, albeit largely through the informal economy. </w:t>
      </w:r>
      <w:r w:rsidR="00031B87">
        <w:t xml:space="preserve">Such talent can be </w:t>
      </w:r>
      <w:r w:rsidR="00682091">
        <w:t xml:space="preserve">turned </w:t>
      </w:r>
      <w:r w:rsidR="00031B87">
        <w:t xml:space="preserve">to more productive employment in the global business process outsourcing </w:t>
      </w:r>
      <w:r w:rsidR="00C0122A">
        <w:t xml:space="preserve">industry. Indeed, the experiences of India and the Philippines have shown that manufacturing need no longer be synonymous with an export-led development strategy. </w:t>
      </w:r>
      <w:r w:rsidR="00FD7D7B">
        <w:t xml:space="preserve">Services, too, can fill this function, with the bonus of generally having lower fixed capital requirements. </w:t>
      </w:r>
      <w:r w:rsidR="009239AC">
        <w:t>This can serve to complement Pakistan’s textiles sector.</w:t>
      </w:r>
    </w:p>
    <w:p w14:paraId="7C38677B" w14:textId="1C48D47B" w:rsidR="002947D9" w:rsidRDefault="002947D9" w:rsidP="00AE50A9">
      <w:r w:rsidRPr="002947D9">
        <w:rPr>
          <w:b/>
          <w:bCs/>
        </w:rPr>
        <w:t>Institutional support.</w:t>
      </w:r>
      <w:r>
        <w:t xml:space="preserve"> </w:t>
      </w:r>
      <w:r w:rsidR="00CE3B8E">
        <w:t xml:space="preserve">The set of </w:t>
      </w:r>
      <w:r w:rsidR="003E2B18">
        <w:t>institutional framework</w:t>
      </w:r>
      <w:r w:rsidR="0009054A">
        <w:t>s</w:t>
      </w:r>
      <w:r w:rsidR="00CE3B8E">
        <w:t xml:space="preserve"> prevailing in a country greatly influences its economy</w:t>
      </w:r>
      <w:r w:rsidR="003E2B18">
        <w:t xml:space="preserve">. </w:t>
      </w:r>
      <w:r w:rsidR="00CE3B8E">
        <w:t>The</w:t>
      </w:r>
      <w:r w:rsidR="00B17DD7">
        <w:t>se</w:t>
      </w:r>
      <w:r w:rsidR="00CE3B8E">
        <w:t xml:space="preserve"> may be divided into those that deal with enlarging the economic pie and those that deal with how that pie is shared. </w:t>
      </w:r>
      <w:r w:rsidR="00B17DD7">
        <w:t xml:space="preserve">To enlarge the pie, the government can </w:t>
      </w:r>
      <w:r w:rsidR="00440F1D">
        <w:t xml:space="preserve">focus on the </w:t>
      </w:r>
      <w:r w:rsidR="00376F3B">
        <w:t xml:space="preserve">collection of general growth-promoting </w:t>
      </w:r>
      <w:r w:rsidR="00440F1D">
        <w:t xml:space="preserve">policies discussed in the last principle below. </w:t>
      </w:r>
      <w:r w:rsidR="00376F3B">
        <w:t xml:space="preserve">Redistributing the pie, however, will </w:t>
      </w:r>
      <w:r w:rsidR="00DF278D">
        <w:t xml:space="preserve">involve more country-specific concerns. </w:t>
      </w:r>
      <w:r w:rsidR="00496EC2">
        <w:t xml:space="preserve">Opening up to </w:t>
      </w:r>
      <w:r w:rsidR="00DF278D">
        <w:t xml:space="preserve">GVCs </w:t>
      </w:r>
      <w:r w:rsidR="00496EC2">
        <w:t>tend</w:t>
      </w:r>
      <w:r w:rsidR="00BB58A8">
        <w:t>s</w:t>
      </w:r>
      <w:r w:rsidR="00496EC2">
        <w:t xml:space="preserve"> to</w:t>
      </w:r>
      <w:r w:rsidR="00DF278D">
        <w:t xml:space="preserve"> cause temporary disruptions as the existing stock of skills adjusts to the actual skills demanded by the world economy. There will be winners and losers, at least in the short term. Policies must be designed to ensure that no group </w:t>
      </w:r>
      <w:r w:rsidR="0002331E">
        <w:t xml:space="preserve">suffers too great a drop in welfare and that all have a path </w:t>
      </w:r>
      <w:r w:rsidR="00136B92">
        <w:t>to</w:t>
      </w:r>
      <w:r w:rsidR="0002331E">
        <w:t xml:space="preserve"> participating </w:t>
      </w:r>
      <w:r w:rsidR="00BB58A8">
        <w:t>gainfully</w:t>
      </w:r>
      <w:r w:rsidR="0002331E">
        <w:t xml:space="preserve"> in the external sector.</w:t>
      </w:r>
      <w:r w:rsidR="00E70833">
        <w:t xml:space="preserve"> Moreover, since good policy design requires </w:t>
      </w:r>
      <w:r w:rsidR="00521787">
        <w:t xml:space="preserve">plenty </w:t>
      </w:r>
      <w:r w:rsidR="00E70833">
        <w:t xml:space="preserve">of </w:t>
      </w:r>
      <w:r w:rsidR="00E463CD">
        <w:t xml:space="preserve">timely </w:t>
      </w:r>
      <w:r w:rsidR="00E70833">
        <w:t xml:space="preserve">information, </w:t>
      </w:r>
      <w:r w:rsidR="0082144C">
        <w:t xml:space="preserve">institutional support must also be given to data-collecting agencies. </w:t>
      </w:r>
      <w:r w:rsidR="00E463CD">
        <w:t xml:space="preserve">Indeed, such support was needed to construct </w:t>
      </w:r>
      <w:r w:rsidR="00846E5C">
        <w:t xml:space="preserve">the input–output tables </w:t>
      </w:r>
      <w:r w:rsidR="00E340AD">
        <w:t>that</w:t>
      </w:r>
      <w:r w:rsidR="00846E5C">
        <w:t xml:space="preserve"> much of this report was based</w:t>
      </w:r>
      <w:r w:rsidR="00E340AD">
        <w:t xml:space="preserve"> on</w:t>
      </w:r>
      <w:r w:rsidR="00846E5C">
        <w:t xml:space="preserve">.  </w:t>
      </w:r>
    </w:p>
    <w:p w14:paraId="30E57A46" w14:textId="1FCF4AF5" w:rsidR="00F44E46" w:rsidRDefault="008D0136" w:rsidP="00F44E46">
      <w:r w:rsidRPr="00AE50A9">
        <w:rPr>
          <w:b/>
          <w:bCs/>
        </w:rPr>
        <w:t>Multilateral engagement.</w:t>
      </w:r>
      <w:r w:rsidR="00AE50A9">
        <w:t xml:space="preserve"> </w:t>
      </w:r>
      <w:r w:rsidR="00AB131E">
        <w:t>Trade can only thrive in a stable, rules-based global environment</w:t>
      </w:r>
      <w:r w:rsidR="004010AD">
        <w:t xml:space="preserve"> where competition is as free and</w:t>
      </w:r>
      <w:r w:rsidR="00F44E46">
        <w:t xml:space="preserve"> as</w:t>
      </w:r>
      <w:r w:rsidR="004010AD">
        <w:t xml:space="preserve"> fair as possible</w:t>
      </w:r>
      <w:r w:rsidR="00AB131E">
        <w:t xml:space="preserve">. As such, it is in Pakistan’s interest to </w:t>
      </w:r>
      <w:r w:rsidR="00F44E46">
        <w:t>strengthen</w:t>
      </w:r>
      <w:r w:rsidR="00AB131E">
        <w:t xml:space="preserve"> multilateral bodies </w:t>
      </w:r>
      <w:r w:rsidR="00550E55">
        <w:t xml:space="preserve">like </w:t>
      </w:r>
      <w:r w:rsidR="00AB131E">
        <w:t xml:space="preserve">the WTO </w:t>
      </w:r>
      <w:r w:rsidR="00F44E46">
        <w:t xml:space="preserve">and </w:t>
      </w:r>
      <w:r w:rsidR="00AB131E">
        <w:t>the SAARC</w:t>
      </w:r>
      <w:r w:rsidR="00F44E46">
        <w:t xml:space="preserve">. It must actively participate not </w:t>
      </w:r>
      <w:r w:rsidR="00F44E46">
        <w:lastRenderedPageBreak/>
        <w:t xml:space="preserve">only in crafting </w:t>
      </w:r>
      <w:r w:rsidR="00E83EBD">
        <w:t>their</w:t>
      </w:r>
      <w:r w:rsidR="00F44E46">
        <w:t xml:space="preserve"> rules but also in enforcing them. </w:t>
      </w:r>
      <w:r w:rsidR="005F3711">
        <w:t>Moreover, Pakistan must continue to pursue new trade agreements through which it can lower barriers to trade, exchange information, and establish mutual trust.</w:t>
      </w:r>
      <w:r w:rsidR="00E83EBD">
        <w:t xml:space="preserve"> International cooperation can also help Pakistan address </w:t>
      </w:r>
      <w:r w:rsidR="00CE334F">
        <w:t xml:space="preserve">trade-adjacent </w:t>
      </w:r>
      <w:r w:rsidR="00E83EBD">
        <w:t xml:space="preserve">issues that require collective action </w:t>
      </w:r>
      <w:r w:rsidR="00C43B54">
        <w:t xml:space="preserve">such as </w:t>
      </w:r>
      <w:r w:rsidR="00E83EBD">
        <w:t xml:space="preserve">climate change, </w:t>
      </w:r>
      <w:r w:rsidR="004F7F19">
        <w:t>migration, and conflict.</w:t>
      </w:r>
      <w:r w:rsidR="003C3A9D">
        <w:t xml:space="preserve"> Such initiatives will also aid in the principles of diversification and institutional support described above. </w:t>
      </w:r>
    </w:p>
    <w:p w14:paraId="19AF8C97" w14:textId="496E07E8" w:rsidR="00C14863" w:rsidRPr="00AB131E" w:rsidRDefault="005F5518" w:rsidP="00AB131E">
      <w:r w:rsidRPr="00BE463A">
        <w:rPr>
          <w:b/>
          <w:bCs/>
        </w:rPr>
        <w:t>Remembering the basics.</w:t>
      </w:r>
      <w:r>
        <w:t xml:space="preserve"> </w:t>
      </w:r>
      <w:r w:rsidR="00554561">
        <w:t>Beyond GVCs, t</w:t>
      </w:r>
      <w:r w:rsidR="00BE463A">
        <w:t xml:space="preserve">he </w:t>
      </w:r>
      <w:r w:rsidR="00554561">
        <w:t xml:space="preserve">usual </w:t>
      </w:r>
      <w:r w:rsidR="00BE463A">
        <w:t xml:space="preserve">set of principles that </w:t>
      </w:r>
      <w:r w:rsidR="00554561">
        <w:t xml:space="preserve">promote a robust and dynamic economy must not be neglected. </w:t>
      </w:r>
      <w:r w:rsidR="00F63907">
        <w:t xml:space="preserve">The population must be healthy and educated, as already mentioned above. </w:t>
      </w:r>
      <w:r w:rsidR="00371566">
        <w:t xml:space="preserve">To efficiently move people and goods around the country, sustained investments in physical infrastructure </w:t>
      </w:r>
      <w:r w:rsidR="00547346">
        <w:t xml:space="preserve">and information and communications technologies </w:t>
      </w:r>
      <w:r w:rsidR="00371566">
        <w:t xml:space="preserve">are necessary. </w:t>
      </w:r>
      <w:r w:rsidR="00547346">
        <w:t xml:space="preserve">Financial markets must be </w:t>
      </w:r>
      <w:r w:rsidR="003E4A62">
        <w:t xml:space="preserve">inclusive and </w:t>
      </w:r>
      <w:r w:rsidR="00547346">
        <w:t>well-developed</w:t>
      </w:r>
      <w:r w:rsidR="0054345D">
        <w:t xml:space="preserve">, with mechanisms to deal with defaults </w:t>
      </w:r>
      <w:r w:rsidR="00A918E3">
        <w:t>that do not unduly punish risk-taking</w:t>
      </w:r>
      <w:r w:rsidR="00CF10C0">
        <w:t xml:space="preserve">. </w:t>
      </w:r>
      <w:r w:rsidR="00FB2B7C">
        <w:t xml:space="preserve">Property rights must be secure. </w:t>
      </w:r>
      <w:r w:rsidR="000A5477">
        <w:t xml:space="preserve">Workers, entrepreneurs, and investors </w:t>
      </w:r>
      <w:r w:rsidR="00B3183C">
        <w:t xml:space="preserve">alike </w:t>
      </w:r>
      <w:r w:rsidR="00F63375">
        <w:t xml:space="preserve">must </w:t>
      </w:r>
      <w:r w:rsidR="000A5477">
        <w:t xml:space="preserve">have faith in an impartial court system dedicated to the rule of law. </w:t>
      </w:r>
      <w:r w:rsidR="008368C7">
        <w:t xml:space="preserve">Labor </w:t>
      </w:r>
      <w:r w:rsidR="00287EF1">
        <w:t xml:space="preserve">and </w:t>
      </w:r>
      <w:r w:rsidR="008368C7">
        <w:t>redistribution policies must be studied thoroughly to ensure that they achieve what they are meant to achieve and that the market distortions they introduce are kept to a minimum.</w:t>
      </w:r>
      <w:r w:rsidR="000E51D4">
        <w:t xml:space="preserve"> </w:t>
      </w:r>
      <w:r w:rsidR="005351CA">
        <w:t>All these</w:t>
      </w:r>
      <w:r w:rsidR="000E51D4">
        <w:t xml:space="preserve"> provide the foundations upon which </w:t>
      </w:r>
      <w:r w:rsidR="0054345D">
        <w:t>long-term growth in</w:t>
      </w:r>
      <w:r w:rsidR="000E51D4">
        <w:t xml:space="preserve"> Pakistan can </w:t>
      </w:r>
      <w:r w:rsidR="0054345D">
        <w:t>be possible</w:t>
      </w:r>
      <w:r w:rsidR="00895617">
        <w:t xml:space="preserve">. </w:t>
      </w:r>
      <w:r w:rsidR="000E51D4">
        <w:t xml:space="preserve"> </w:t>
      </w:r>
      <w:r w:rsidR="00C14863" w:rsidRPr="00173B1B">
        <w:br w:type="page"/>
      </w:r>
    </w:p>
    <w:p w14:paraId="4BBE7C11" w14:textId="34D63B59" w:rsidR="004329D6" w:rsidRDefault="00E203ED" w:rsidP="00E80F0A">
      <w:pPr>
        <w:pStyle w:val="Heading1"/>
        <w:numPr>
          <w:ilvl w:val="0"/>
          <w:numId w:val="0"/>
        </w:numPr>
      </w:pPr>
      <w:bookmarkStart w:id="92" w:name="_Toc83849795"/>
      <w:r>
        <w:lastRenderedPageBreak/>
        <w:t>References</w:t>
      </w:r>
      <w:bookmarkEnd w:id="92"/>
    </w:p>
    <w:p w14:paraId="5F86C92E" w14:textId="77777777" w:rsidR="00B557A9" w:rsidRDefault="00B557A9" w:rsidP="00B557A9">
      <w:pPr>
        <w:ind w:left="567" w:hanging="567"/>
        <w:rPr>
          <w:rFonts w:ascii="Calibri" w:eastAsia="Calibri" w:hAnsi="Calibri" w:cs="Calibri"/>
        </w:rPr>
      </w:pPr>
      <w:r>
        <w:rPr>
          <w:rFonts w:ascii="Calibri" w:eastAsia="Calibri" w:hAnsi="Calibri" w:cs="Calibri"/>
        </w:rPr>
        <w:t xml:space="preserve">P. </w:t>
      </w:r>
      <w:proofErr w:type="spellStart"/>
      <w:r>
        <w:rPr>
          <w:rFonts w:ascii="Calibri" w:eastAsia="Calibri" w:hAnsi="Calibri" w:cs="Calibri"/>
        </w:rPr>
        <w:t>Antràs</w:t>
      </w:r>
      <w:proofErr w:type="spellEnd"/>
      <w:r>
        <w:rPr>
          <w:rFonts w:ascii="Calibri" w:eastAsia="Calibri" w:hAnsi="Calibri" w:cs="Calibri"/>
        </w:rPr>
        <w:t xml:space="preserve"> and D. </w:t>
      </w:r>
      <w:proofErr w:type="spellStart"/>
      <w:r>
        <w:rPr>
          <w:rFonts w:ascii="Calibri" w:eastAsia="Calibri" w:hAnsi="Calibri" w:cs="Calibri"/>
        </w:rPr>
        <w:t>Chor</w:t>
      </w:r>
      <w:proofErr w:type="spellEnd"/>
      <w:r>
        <w:rPr>
          <w:rFonts w:ascii="Calibri" w:eastAsia="Calibri" w:hAnsi="Calibri" w:cs="Calibri"/>
        </w:rPr>
        <w:t xml:space="preserve">. 2013. Organizing the Global Value Chain. </w:t>
      </w:r>
      <w:proofErr w:type="spellStart"/>
      <w:r w:rsidRPr="00B42198">
        <w:rPr>
          <w:rFonts w:ascii="Calibri" w:eastAsia="Calibri" w:hAnsi="Calibri" w:cs="Calibri"/>
          <w:i/>
          <w:iCs/>
        </w:rPr>
        <w:t>Econometrica</w:t>
      </w:r>
      <w:proofErr w:type="spellEnd"/>
      <w:r w:rsidRPr="00EA439A">
        <w:rPr>
          <w:rFonts w:ascii="Calibri" w:eastAsia="Calibri" w:hAnsi="Calibri" w:cs="Calibri"/>
        </w:rPr>
        <w:t>. 81</w:t>
      </w:r>
      <w:r>
        <w:rPr>
          <w:rFonts w:ascii="Calibri" w:eastAsia="Calibri" w:hAnsi="Calibri" w:cs="Calibri"/>
        </w:rPr>
        <w:t xml:space="preserve">(6). pp. 2127–2204. </w:t>
      </w:r>
    </w:p>
    <w:p w14:paraId="23E85C33" w14:textId="77777777" w:rsidR="001C171D" w:rsidRPr="00960D12" w:rsidRDefault="001C171D" w:rsidP="001C171D">
      <w:pPr>
        <w:ind w:left="590" w:hanging="590"/>
        <w:rPr>
          <w:rFonts w:ascii="Calibri" w:eastAsia="Calibri" w:hAnsi="Calibri" w:cs="Calibri"/>
        </w:rPr>
      </w:pPr>
      <w:r>
        <w:t xml:space="preserve">P. S. </w:t>
      </w:r>
      <w:proofErr w:type="spellStart"/>
      <w:r w:rsidRPr="004E7652">
        <w:t>Armington</w:t>
      </w:r>
      <w:proofErr w:type="spellEnd"/>
      <w:r>
        <w:t>.</w:t>
      </w:r>
      <w:r w:rsidRPr="004E7652">
        <w:t xml:space="preserve"> 1969. A Theory of Demand for Products Distinguished by Place of Production. </w:t>
      </w:r>
      <w:r w:rsidRPr="00EC0D1E">
        <w:rPr>
          <w:i/>
          <w:iCs/>
        </w:rPr>
        <w:t>Staff Papers (International Monetary Fund</w:t>
      </w:r>
      <w:r>
        <w:rPr>
          <w:i/>
          <w:iCs/>
        </w:rPr>
        <w:t>).</w:t>
      </w:r>
      <w:r w:rsidRPr="004E7652">
        <w:t xml:space="preserve"> </w:t>
      </w:r>
      <w:r w:rsidRPr="00856950">
        <w:t>16</w:t>
      </w:r>
      <w:r w:rsidRPr="004E7652">
        <w:t>(1)</w:t>
      </w:r>
      <w:r>
        <w:t>.</w:t>
      </w:r>
      <w:r w:rsidRPr="004E7652">
        <w:t xml:space="preserve"> </w:t>
      </w:r>
      <w:r>
        <w:t xml:space="preserve">pp. </w:t>
      </w:r>
      <w:r w:rsidRPr="004E7652">
        <w:t>159–78.</w:t>
      </w:r>
    </w:p>
    <w:p w14:paraId="39CBEE4A" w14:textId="04FF27DD" w:rsidR="007A6654" w:rsidRDefault="00DD4C2A" w:rsidP="007A6654">
      <w:pPr>
        <w:ind w:left="567" w:hanging="567"/>
      </w:pPr>
      <w:r>
        <w:t>ADB (</w:t>
      </w:r>
      <w:r w:rsidR="007A6654">
        <w:t xml:space="preserve">Asian Development Bank). 2020. </w:t>
      </w:r>
      <w:r w:rsidR="007A6654" w:rsidRPr="00DA3A85">
        <w:t>Pakistan, 2021–2025—Lifting Growth, Building Resilience, Increasing Competitiveness</w:t>
      </w:r>
      <w:r w:rsidR="007A6654">
        <w:t xml:space="preserve">. </w:t>
      </w:r>
      <w:r w:rsidR="007A6654" w:rsidRPr="00DA3A85">
        <w:rPr>
          <w:i/>
          <w:iCs/>
        </w:rPr>
        <w:t>ADB Country Partnership Strategy</w:t>
      </w:r>
      <w:r w:rsidR="007A6654">
        <w:t xml:space="preserve">. Manila, Philippines: Asian Development Bank. </w:t>
      </w:r>
    </w:p>
    <w:p w14:paraId="50E0D7EE" w14:textId="4ECBDD2B" w:rsidR="00B557A9" w:rsidRDefault="007A6654" w:rsidP="00B557A9">
      <w:pPr>
        <w:ind w:left="567" w:hanging="567"/>
        <w:rPr>
          <w:rFonts w:ascii="Calibri" w:eastAsia="Calibri" w:hAnsi="Calibri" w:cs="Calibri"/>
        </w:rPr>
      </w:pPr>
      <w:r>
        <w:rPr>
          <w:rFonts w:ascii="Calibri" w:eastAsia="Calibri" w:hAnsi="Calibri" w:cs="Calibri"/>
        </w:rPr>
        <w:t>ADB</w:t>
      </w:r>
      <w:r w:rsidR="00B557A9">
        <w:rPr>
          <w:rFonts w:ascii="Calibri" w:eastAsia="Calibri" w:hAnsi="Calibri" w:cs="Calibri"/>
        </w:rPr>
        <w:t xml:space="preserve">. 2021. </w:t>
      </w:r>
      <w:r w:rsidR="00B557A9" w:rsidRPr="007F7DC5">
        <w:rPr>
          <w:rFonts w:ascii="Calibri" w:eastAsia="Calibri" w:hAnsi="Calibri" w:cs="Calibri"/>
          <w:i/>
          <w:iCs/>
        </w:rPr>
        <w:t>Key Indica</w:t>
      </w:r>
      <w:r w:rsidR="00B557A9">
        <w:rPr>
          <w:rFonts w:ascii="Calibri" w:eastAsia="Calibri" w:hAnsi="Calibri" w:cs="Calibri"/>
          <w:i/>
          <w:iCs/>
        </w:rPr>
        <w:t>t</w:t>
      </w:r>
      <w:r w:rsidR="00B557A9" w:rsidRPr="007F7DC5">
        <w:rPr>
          <w:rFonts w:ascii="Calibri" w:eastAsia="Calibri" w:hAnsi="Calibri" w:cs="Calibri"/>
          <w:i/>
          <w:iCs/>
        </w:rPr>
        <w:t>ors for Asia and the Pacific</w:t>
      </w:r>
      <w:r w:rsidR="00B557A9">
        <w:rPr>
          <w:rFonts w:ascii="Calibri" w:eastAsia="Calibri" w:hAnsi="Calibri" w:cs="Calibri"/>
          <w:i/>
          <w:iCs/>
        </w:rPr>
        <w:t xml:space="preserve"> 2021</w:t>
      </w:r>
      <w:r w:rsidR="00B557A9">
        <w:rPr>
          <w:rFonts w:ascii="Calibri" w:eastAsia="Calibri" w:hAnsi="Calibri" w:cs="Calibri"/>
        </w:rPr>
        <w:t xml:space="preserve">. Manila, Philippines: Asian Development Bank. </w:t>
      </w:r>
    </w:p>
    <w:p w14:paraId="66B9DD4F" w14:textId="77777777" w:rsidR="001C171D" w:rsidRDefault="001C171D" w:rsidP="001C171D">
      <w:pPr>
        <w:ind w:left="596" w:hanging="596"/>
      </w:pPr>
      <w:r>
        <w:t xml:space="preserve">B. Balassa. 1965. Trade </w:t>
      </w:r>
      <w:proofErr w:type="spellStart"/>
      <w:r>
        <w:t>Liberalisation</w:t>
      </w:r>
      <w:proofErr w:type="spellEnd"/>
      <w:r>
        <w:t xml:space="preserve"> and “Revealed” Comparative Advantage. </w:t>
      </w:r>
      <w:r w:rsidRPr="001B7C60">
        <w:rPr>
          <w:i/>
          <w:iCs/>
        </w:rPr>
        <w:t>The Manchester School</w:t>
      </w:r>
      <w:r>
        <w:t xml:space="preserve">. </w:t>
      </w:r>
      <w:r w:rsidRPr="00E84654">
        <w:t>33</w:t>
      </w:r>
      <w:r>
        <w:t>(2). pp. 99–123.</w:t>
      </w:r>
    </w:p>
    <w:p w14:paraId="2324C8FE" w14:textId="77777777" w:rsidR="001C171D" w:rsidRPr="00CD47E9" w:rsidRDefault="001C171D" w:rsidP="001C171D">
      <w:pPr>
        <w:pStyle w:val="References"/>
        <w:rPr>
          <w:lang w:val="en-PH"/>
        </w:rPr>
      </w:pPr>
      <w:r w:rsidRPr="00CD47E9">
        <w:rPr>
          <w:lang w:val="en-PH"/>
        </w:rPr>
        <w:t xml:space="preserve">R. Banga. 2014. Linking into Global Value Chains Is Not Sufficient: Do You Export Domestic Value Added Contents? </w:t>
      </w:r>
      <w:r w:rsidRPr="00CD47E9">
        <w:rPr>
          <w:i/>
          <w:iCs/>
          <w:lang w:val="en-PH"/>
        </w:rPr>
        <w:t>Journal of Economic Integration</w:t>
      </w:r>
      <w:r w:rsidRPr="00047374">
        <w:rPr>
          <w:lang w:val="en-PH"/>
        </w:rPr>
        <w:t>. 29(2)</w:t>
      </w:r>
      <w:r>
        <w:rPr>
          <w:lang w:val="en-PH"/>
        </w:rPr>
        <w:t>.</w:t>
      </w:r>
      <w:r w:rsidRPr="00CD47E9">
        <w:rPr>
          <w:lang w:val="en-PH"/>
        </w:rPr>
        <w:t xml:space="preserve"> pp. 267–297.</w:t>
      </w:r>
    </w:p>
    <w:p w14:paraId="553F6CA6" w14:textId="77777777" w:rsidR="001C171D" w:rsidRPr="009135CC" w:rsidRDefault="001C171D" w:rsidP="001C171D">
      <w:pPr>
        <w:pStyle w:val="References"/>
        <w:rPr>
          <w:color w:val="000000" w:themeColor="text1"/>
        </w:rPr>
      </w:pPr>
      <w:r w:rsidRPr="00CD47E9">
        <w:rPr>
          <w:lang w:val="en-PH"/>
        </w:rPr>
        <w:t xml:space="preserve">D. </w:t>
      </w:r>
      <w:proofErr w:type="spellStart"/>
      <w:r w:rsidRPr="00CD47E9">
        <w:rPr>
          <w:lang w:val="en-PH"/>
        </w:rPr>
        <w:t>Bartelme</w:t>
      </w:r>
      <w:proofErr w:type="spellEnd"/>
      <w:r w:rsidRPr="00CD47E9">
        <w:rPr>
          <w:lang w:val="en-PH"/>
        </w:rPr>
        <w:t xml:space="preserve"> and Y. </w:t>
      </w:r>
      <w:proofErr w:type="spellStart"/>
      <w:r w:rsidRPr="00CD47E9">
        <w:rPr>
          <w:lang w:val="en-PH"/>
        </w:rPr>
        <w:t>Gorodnichenko</w:t>
      </w:r>
      <w:proofErr w:type="spellEnd"/>
      <w:r w:rsidRPr="00CD47E9">
        <w:rPr>
          <w:lang w:val="en-PH"/>
        </w:rPr>
        <w:t xml:space="preserve">. 2015. Linkages and Economic Development. </w:t>
      </w:r>
      <w:r w:rsidRPr="00CD47E9">
        <w:rPr>
          <w:i/>
          <w:iCs/>
          <w:lang w:val="en-PH"/>
        </w:rPr>
        <w:t>NBER Working Paper</w:t>
      </w:r>
      <w:r w:rsidRPr="00DC2E5E">
        <w:rPr>
          <w:lang w:val="en-PH"/>
        </w:rPr>
        <w:t>. No. 21251</w:t>
      </w:r>
      <w:r w:rsidRPr="009135CC">
        <w:rPr>
          <w:color w:val="000000" w:themeColor="text1"/>
          <w:lang w:val="en-PH"/>
        </w:rPr>
        <w:t>.</w:t>
      </w:r>
      <w:r w:rsidRPr="009135CC">
        <w:rPr>
          <w:color w:val="000000" w:themeColor="text1"/>
        </w:rPr>
        <w:t xml:space="preserve"> Cambridge, MA: National Bureau of Economic Research.</w:t>
      </w:r>
    </w:p>
    <w:p w14:paraId="26F31973" w14:textId="77777777" w:rsidR="001C171D" w:rsidRDefault="001C171D" w:rsidP="001C171D">
      <w:pPr>
        <w:ind w:left="590" w:hanging="590"/>
      </w:pPr>
      <w:r>
        <w:t xml:space="preserve">T. </w:t>
      </w:r>
      <w:proofErr w:type="spellStart"/>
      <w:r>
        <w:t>Bayoumi</w:t>
      </w:r>
      <w:proofErr w:type="spellEnd"/>
      <w:r>
        <w:t xml:space="preserve">, J. Lee, and S. Jayanthi. 2005. New Rates from New Weights. </w:t>
      </w:r>
      <w:r w:rsidRPr="00F44718">
        <w:rPr>
          <w:i/>
          <w:iCs/>
        </w:rPr>
        <w:t>IMF Working Paper WP/05/99</w:t>
      </w:r>
      <w:r>
        <w:t xml:space="preserve">. Washington, DC: International Monetary Fund. </w:t>
      </w:r>
    </w:p>
    <w:p w14:paraId="635F4FE2" w14:textId="77777777" w:rsidR="001C171D" w:rsidRDefault="001C171D" w:rsidP="001C171D">
      <w:pPr>
        <w:pStyle w:val="References"/>
      </w:pPr>
      <w:r>
        <w:t>T.</w:t>
      </w:r>
      <w:r w:rsidRPr="00CC056C">
        <w:t xml:space="preserve"> </w:t>
      </w:r>
      <w:proofErr w:type="spellStart"/>
      <w:r w:rsidRPr="00CC056C">
        <w:t>Baysan</w:t>
      </w:r>
      <w:proofErr w:type="spellEnd"/>
      <w:r w:rsidRPr="00CC056C">
        <w:t xml:space="preserve">, </w:t>
      </w:r>
      <w:r>
        <w:t xml:space="preserve">A. </w:t>
      </w:r>
      <w:r w:rsidRPr="00CC056C">
        <w:t xml:space="preserve">Panagariya, and </w:t>
      </w:r>
      <w:r>
        <w:t>N.</w:t>
      </w:r>
      <w:r w:rsidRPr="00CC056C">
        <w:t xml:space="preserve"> </w:t>
      </w:r>
      <w:proofErr w:type="spellStart"/>
      <w:r w:rsidRPr="00CC056C">
        <w:t>Pitigala</w:t>
      </w:r>
      <w:proofErr w:type="spellEnd"/>
      <w:r>
        <w:t xml:space="preserve">. 2006. Preferential Trading in South Asia. </w:t>
      </w:r>
      <w:r w:rsidRPr="00841C12">
        <w:rPr>
          <w:i/>
          <w:iCs/>
        </w:rPr>
        <w:t>World Bank Policy Research Working Paper 3813</w:t>
      </w:r>
      <w:r>
        <w:t xml:space="preserve">. Washington, DC: World Bank. </w:t>
      </w:r>
    </w:p>
    <w:p w14:paraId="57241530" w14:textId="77777777" w:rsidR="001C171D" w:rsidRDefault="001C171D" w:rsidP="001C171D">
      <w:pPr>
        <w:ind w:left="590" w:hanging="590"/>
      </w:pPr>
      <w:r>
        <w:t xml:space="preserve">R. </w:t>
      </w:r>
      <w:proofErr w:type="spellStart"/>
      <w:r>
        <w:t>Bems</w:t>
      </w:r>
      <w:proofErr w:type="spellEnd"/>
      <w:r>
        <w:t xml:space="preserve"> and R. C. Johnson. 2017. Demand for Value Added and Value-Added Exchange Rates. </w:t>
      </w:r>
      <w:r w:rsidRPr="000A55B9">
        <w:rPr>
          <w:i/>
          <w:iCs/>
        </w:rPr>
        <w:t>American Economic Journal: Macroeconomics</w:t>
      </w:r>
      <w:r w:rsidRPr="000A55B9">
        <w:t>.</w:t>
      </w:r>
      <w:r>
        <w:t xml:space="preserve"> </w:t>
      </w:r>
      <w:r w:rsidRPr="00537F30">
        <w:t>9</w:t>
      </w:r>
      <w:r>
        <w:t>(4). pp. 45–90.</w:t>
      </w:r>
    </w:p>
    <w:p w14:paraId="4DA36C82" w14:textId="77777777" w:rsidR="00B557A9" w:rsidRDefault="00B557A9" w:rsidP="00B557A9">
      <w:pPr>
        <w:ind w:left="567" w:hanging="567"/>
        <w:rPr>
          <w:rFonts w:ascii="Calibri" w:eastAsia="Calibri" w:hAnsi="Calibri" w:cs="Calibri"/>
        </w:rPr>
      </w:pPr>
      <w:r>
        <w:rPr>
          <w:rFonts w:ascii="Calibri" w:eastAsia="Calibri" w:hAnsi="Calibri" w:cs="Calibri"/>
        </w:rPr>
        <w:t xml:space="preserve">A. </w:t>
      </w:r>
      <w:proofErr w:type="spellStart"/>
      <w:r w:rsidRPr="009B5097">
        <w:rPr>
          <w:rFonts w:ascii="Calibri" w:eastAsia="Calibri" w:hAnsi="Calibri" w:cs="Calibri"/>
        </w:rPr>
        <w:t>Borin</w:t>
      </w:r>
      <w:proofErr w:type="spellEnd"/>
      <w:r w:rsidRPr="009B5097">
        <w:rPr>
          <w:rFonts w:ascii="Calibri" w:eastAsia="Calibri" w:hAnsi="Calibri" w:cs="Calibri"/>
        </w:rPr>
        <w:t xml:space="preserve"> and M. </w:t>
      </w:r>
      <w:r w:rsidRPr="009B5097">
        <w:t>Mancini. 2019. Measuring What Matters in Global Value Chains and Value-</w:t>
      </w:r>
      <w:r w:rsidRPr="0077221F">
        <w:t>Added Trade.</w:t>
      </w:r>
      <w:r>
        <w:rPr>
          <w:rFonts w:ascii="Calibri" w:eastAsia="Calibri" w:hAnsi="Calibri" w:cs="Calibri"/>
        </w:rPr>
        <w:t xml:space="preserve"> </w:t>
      </w:r>
      <w:r w:rsidRPr="00CE7B24">
        <w:rPr>
          <w:rFonts w:ascii="Calibri" w:eastAsia="Calibri" w:hAnsi="Calibri" w:cs="Calibri"/>
          <w:i/>
          <w:iCs/>
        </w:rPr>
        <w:t>Policy Research Working Paper</w:t>
      </w:r>
      <w:r w:rsidRPr="000C1CEC">
        <w:rPr>
          <w:rFonts w:ascii="Calibri" w:eastAsia="Calibri" w:hAnsi="Calibri" w:cs="Calibri"/>
        </w:rPr>
        <w:t>. No. 8804</w:t>
      </w:r>
      <w:r>
        <w:rPr>
          <w:rFonts w:ascii="Calibri" w:eastAsia="Calibri" w:hAnsi="Calibri" w:cs="Calibri"/>
        </w:rPr>
        <w:t xml:space="preserve">. Washington, DC: World Bank. </w:t>
      </w:r>
    </w:p>
    <w:p w14:paraId="06A8B528" w14:textId="77777777" w:rsidR="001C171D" w:rsidRPr="009135CC" w:rsidRDefault="001C171D" w:rsidP="001C171D">
      <w:pPr>
        <w:pStyle w:val="References"/>
        <w:rPr>
          <w:color w:val="000000" w:themeColor="text1"/>
          <w:lang w:val="en-PH"/>
        </w:rPr>
      </w:pPr>
      <w:r w:rsidRPr="009135CC">
        <w:rPr>
          <w:color w:val="000000" w:themeColor="text1"/>
          <w:lang w:val="en-PH"/>
        </w:rPr>
        <w:t xml:space="preserve">A. B. Bernard, J. B. Jensen, S. J. Redding, and P. K. Schott. 2007. Firms in International Trade. </w:t>
      </w:r>
      <w:r w:rsidRPr="009135CC">
        <w:rPr>
          <w:i/>
          <w:iCs/>
          <w:color w:val="000000" w:themeColor="text1"/>
          <w:lang w:val="en-PH"/>
        </w:rPr>
        <w:t>Journal of Economic Perspectives</w:t>
      </w:r>
      <w:r w:rsidRPr="009135CC">
        <w:rPr>
          <w:color w:val="000000" w:themeColor="text1"/>
          <w:lang w:val="en-PH"/>
        </w:rPr>
        <w:t>. 21(3), pp. 105–130.</w:t>
      </w:r>
    </w:p>
    <w:p w14:paraId="21618028" w14:textId="77777777" w:rsidR="00B557A9" w:rsidRDefault="00B557A9" w:rsidP="00B557A9">
      <w:pPr>
        <w:ind w:left="567" w:hanging="567"/>
      </w:pPr>
      <w:r>
        <w:t xml:space="preserve">S. Chatterjee and A. Subramanian. 2020. India’s Export-Led Growth: Exemplar and Exception. </w:t>
      </w:r>
      <w:r w:rsidRPr="00A23D82">
        <w:rPr>
          <w:i/>
          <w:iCs/>
        </w:rPr>
        <w:t>Ashoka Centre for Economic Policy Working Paper No. 1</w:t>
      </w:r>
      <w:r>
        <w:t>. Sonipat, India: Ashoka University.</w:t>
      </w:r>
    </w:p>
    <w:p w14:paraId="5D101028" w14:textId="77777777" w:rsidR="001C171D" w:rsidRDefault="001C171D" w:rsidP="001C171D">
      <w:pPr>
        <w:ind w:left="590" w:hanging="590"/>
      </w:pPr>
      <w:r>
        <w:t xml:space="preserve">M. D. Chinn. 2006. A Primer on Real Effective Exchange Rates: Determinants, Overvaluation, Trade Flows and Competitive Devaluation. </w:t>
      </w:r>
      <w:r w:rsidRPr="0098640E">
        <w:rPr>
          <w:i/>
          <w:iCs/>
        </w:rPr>
        <w:t>Open Economies Review</w:t>
      </w:r>
      <w:r>
        <w:t xml:space="preserve">. </w:t>
      </w:r>
      <w:r w:rsidRPr="00537F30">
        <w:t>51</w:t>
      </w:r>
      <w:r>
        <w:t>. pp. 115–43.</w:t>
      </w:r>
    </w:p>
    <w:p w14:paraId="5AECA899" w14:textId="77777777" w:rsidR="00C3522D" w:rsidRPr="009135CC" w:rsidRDefault="00C3522D" w:rsidP="00C3522D">
      <w:pPr>
        <w:pStyle w:val="References"/>
        <w:rPr>
          <w:rFonts w:eastAsia="Times New Roman"/>
          <w:color w:val="000000" w:themeColor="text1"/>
          <w:lang w:val="en-PH"/>
        </w:rPr>
      </w:pPr>
      <w:r w:rsidRPr="009135CC">
        <w:rPr>
          <w:color w:val="000000" w:themeColor="text1"/>
          <w:lang w:val="en-PH"/>
        </w:rPr>
        <w:lastRenderedPageBreak/>
        <w:t xml:space="preserve">D. Dollar, B. Khan, and  P. Pei. </w:t>
      </w:r>
      <w:r>
        <w:rPr>
          <w:color w:val="000000" w:themeColor="text1"/>
          <w:lang w:val="en-PH"/>
        </w:rPr>
        <w:t xml:space="preserve">2019. </w:t>
      </w:r>
      <w:r w:rsidRPr="009135CC">
        <w:rPr>
          <w:color w:val="000000" w:themeColor="text1"/>
          <w:lang w:val="en-PH"/>
        </w:rPr>
        <w:t xml:space="preserve">Should </w:t>
      </w:r>
      <w:r>
        <w:rPr>
          <w:color w:val="000000" w:themeColor="text1"/>
          <w:lang w:val="en-PH"/>
        </w:rPr>
        <w:t>H</w:t>
      </w:r>
      <w:r w:rsidRPr="009135CC">
        <w:rPr>
          <w:color w:val="000000" w:themeColor="text1"/>
          <w:lang w:val="en-PH"/>
        </w:rPr>
        <w:t xml:space="preserve">igh </w:t>
      </w:r>
      <w:r>
        <w:rPr>
          <w:color w:val="000000" w:themeColor="text1"/>
          <w:lang w:val="en-PH"/>
        </w:rPr>
        <w:t>D</w:t>
      </w:r>
      <w:r w:rsidRPr="009135CC">
        <w:rPr>
          <w:color w:val="000000" w:themeColor="text1"/>
          <w:lang w:val="en-PH"/>
        </w:rPr>
        <w:t xml:space="preserve">omestic </w:t>
      </w:r>
      <w:r>
        <w:rPr>
          <w:color w:val="000000" w:themeColor="text1"/>
          <w:lang w:val="en-PH"/>
        </w:rPr>
        <w:t>V</w:t>
      </w:r>
      <w:r w:rsidRPr="009135CC">
        <w:rPr>
          <w:color w:val="000000" w:themeColor="text1"/>
          <w:lang w:val="en-PH"/>
        </w:rPr>
        <w:t xml:space="preserve">alue </w:t>
      </w:r>
      <w:r>
        <w:rPr>
          <w:color w:val="000000" w:themeColor="text1"/>
          <w:lang w:val="en-PH"/>
        </w:rPr>
        <w:t>A</w:t>
      </w:r>
      <w:r w:rsidRPr="009135CC">
        <w:rPr>
          <w:color w:val="000000" w:themeColor="text1"/>
          <w:lang w:val="en-PH"/>
        </w:rPr>
        <w:t xml:space="preserve">dded in </w:t>
      </w:r>
      <w:r>
        <w:rPr>
          <w:color w:val="000000" w:themeColor="text1"/>
          <w:lang w:val="en-PH"/>
        </w:rPr>
        <w:t>E</w:t>
      </w:r>
      <w:r w:rsidRPr="009135CC">
        <w:rPr>
          <w:color w:val="000000" w:themeColor="text1"/>
          <w:lang w:val="en-PH"/>
        </w:rPr>
        <w:t xml:space="preserve">xports </w:t>
      </w:r>
      <w:r>
        <w:rPr>
          <w:color w:val="000000" w:themeColor="text1"/>
          <w:lang w:val="en-PH"/>
        </w:rPr>
        <w:t>B</w:t>
      </w:r>
      <w:r w:rsidRPr="009135CC">
        <w:rPr>
          <w:color w:val="000000" w:themeColor="text1"/>
          <w:lang w:val="en-PH"/>
        </w:rPr>
        <w:t xml:space="preserve">e an </w:t>
      </w:r>
      <w:r>
        <w:rPr>
          <w:color w:val="000000" w:themeColor="text1"/>
          <w:lang w:val="en-PH"/>
        </w:rPr>
        <w:t>O</w:t>
      </w:r>
      <w:r w:rsidRPr="009135CC">
        <w:rPr>
          <w:color w:val="000000" w:themeColor="text1"/>
          <w:lang w:val="en-PH"/>
        </w:rPr>
        <w:t xml:space="preserve">bjective of </w:t>
      </w:r>
      <w:r>
        <w:rPr>
          <w:color w:val="000000" w:themeColor="text1"/>
          <w:lang w:val="en-PH"/>
        </w:rPr>
        <w:t>P</w:t>
      </w:r>
      <w:r w:rsidRPr="009135CC">
        <w:rPr>
          <w:color w:val="000000" w:themeColor="text1"/>
          <w:lang w:val="en-PH"/>
        </w:rPr>
        <w:t xml:space="preserve">olicy? In World Bank and World Trade Organization. </w:t>
      </w:r>
      <w:r w:rsidRPr="009135CC">
        <w:rPr>
          <w:rFonts w:eastAsia="Times New Roman"/>
          <w:i/>
          <w:iCs/>
          <w:color w:val="000000" w:themeColor="text1"/>
          <w:lang w:val="en-PH"/>
        </w:rPr>
        <w:t xml:space="preserve">Global Value Chain Development Report 2019: Technological Innovation, Supply Chain Trade, and Workers in a Globalized World. </w:t>
      </w:r>
      <w:r w:rsidRPr="009135CC">
        <w:rPr>
          <w:color w:val="000000" w:themeColor="text1"/>
        </w:rPr>
        <w:t>Washington, DC: World Bank.</w:t>
      </w:r>
    </w:p>
    <w:p w14:paraId="293A6A03" w14:textId="77777777" w:rsidR="001C171D" w:rsidRDefault="001C171D" w:rsidP="001C171D">
      <w:pPr>
        <w:ind w:left="567" w:hanging="567"/>
        <w:rPr>
          <w:rFonts w:ascii="Calibri" w:eastAsia="Calibri" w:hAnsi="Calibri" w:cs="Calibri"/>
        </w:rPr>
      </w:pPr>
      <w:r>
        <w:rPr>
          <w:rFonts w:ascii="Calibri" w:eastAsia="Calibri" w:hAnsi="Calibri" w:cs="Calibri"/>
        </w:rPr>
        <w:t xml:space="preserve">H. </w:t>
      </w:r>
      <w:proofErr w:type="spellStart"/>
      <w:r>
        <w:rPr>
          <w:rFonts w:ascii="Calibri" w:eastAsia="Calibri" w:hAnsi="Calibri" w:cs="Calibri"/>
        </w:rPr>
        <w:t>Escaith</w:t>
      </w:r>
      <w:proofErr w:type="spellEnd"/>
      <w:r>
        <w:rPr>
          <w:rFonts w:ascii="Calibri" w:eastAsia="Calibri" w:hAnsi="Calibri" w:cs="Calibri"/>
        </w:rPr>
        <w:t xml:space="preserve"> and S. Inomata. 2013. Geometry of Global Value Chains in East Asia: The Role of Industrial Networks and Trade Policies. In D. K. Elms and P. Low (eds.), </w:t>
      </w:r>
      <w:r w:rsidRPr="002D2906">
        <w:rPr>
          <w:rFonts w:ascii="Calibri" w:eastAsia="Calibri" w:hAnsi="Calibri" w:cs="Calibri"/>
          <w:i/>
          <w:iCs/>
        </w:rPr>
        <w:t>Global Value Chains in a Changing World</w:t>
      </w:r>
      <w:r>
        <w:rPr>
          <w:rFonts w:ascii="Calibri" w:eastAsia="Calibri" w:hAnsi="Calibri" w:cs="Calibri"/>
        </w:rPr>
        <w:t xml:space="preserve"> (pp. 135–157). Geneva, Switzerland: World Trade Organization. </w:t>
      </w:r>
    </w:p>
    <w:p w14:paraId="3C6A622D" w14:textId="77777777" w:rsidR="006F2B7D" w:rsidRDefault="006F2B7D" w:rsidP="006F2B7D">
      <w:pPr>
        <w:pStyle w:val="References"/>
      </w:pPr>
      <w:r>
        <w:t xml:space="preserve">European Commission. 2008. </w:t>
      </w:r>
      <w:r w:rsidRPr="00806E9A">
        <w:rPr>
          <w:i/>
          <w:iCs/>
        </w:rPr>
        <w:t>Eurostat Manual of Supply, Use and Input-Output Tables</w:t>
      </w:r>
      <w:r>
        <w:t>. Luxembourg: European Commission. Retrieved from https://ec.europa.eu/eurostat/web/products-manuals-and-guidelines/-/KS-RA-07-013.</w:t>
      </w:r>
    </w:p>
    <w:p w14:paraId="567C160E" w14:textId="77777777" w:rsidR="001C171D" w:rsidRDefault="001C171D" w:rsidP="001C171D">
      <w:pPr>
        <w:pStyle w:val="References"/>
      </w:pPr>
      <w:r>
        <w:t xml:space="preserve">J. A. Frankel. 1997. </w:t>
      </w:r>
      <w:r w:rsidRPr="00A96289">
        <w:rPr>
          <w:i/>
          <w:iCs/>
        </w:rPr>
        <w:t>Regional Trading Blocs in the World Economic System</w:t>
      </w:r>
      <w:r>
        <w:t>. Washington, DC: Peterson Institute for International Economics.</w:t>
      </w:r>
    </w:p>
    <w:p w14:paraId="2EDFF0E3" w14:textId="77777777" w:rsidR="00B557A9" w:rsidRDefault="00B557A9" w:rsidP="00B557A9">
      <w:pPr>
        <w:ind w:left="567" w:hanging="567"/>
      </w:pPr>
      <w:r>
        <w:t xml:space="preserve">J. A. Frankel and D. Romer. 1999. Does Trade Cause Growth? </w:t>
      </w:r>
      <w:r w:rsidRPr="0011123B">
        <w:rPr>
          <w:i/>
          <w:iCs/>
        </w:rPr>
        <w:t>American Economic Review</w:t>
      </w:r>
      <w:r>
        <w:t xml:space="preserve">. 89(3). pp. 379–399. </w:t>
      </w:r>
    </w:p>
    <w:p w14:paraId="14BCCB34" w14:textId="77777777" w:rsidR="001C171D" w:rsidRDefault="001C171D" w:rsidP="001C171D">
      <w:pPr>
        <w:pStyle w:val="References"/>
      </w:pPr>
      <w:r>
        <w:t xml:space="preserve">S. </w:t>
      </w:r>
      <w:proofErr w:type="spellStart"/>
      <w:r>
        <w:t>Giglioli</w:t>
      </w:r>
      <w:proofErr w:type="spellEnd"/>
      <w:r>
        <w:t xml:space="preserve">, G. Giovannetti, E. </w:t>
      </w:r>
      <w:proofErr w:type="spellStart"/>
      <w:r>
        <w:t>Marvasi</w:t>
      </w:r>
      <w:proofErr w:type="spellEnd"/>
      <w:r>
        <w:t xml:space="preserve">, and A. </w:t>
      </w:r>
      <w:proofErr w:type="spellStart"/>
      <w:r>
        <w:t>Vivoli</w:t>
      </w:r>
      <w:proofErr w:type="spellEnd"/>
      <w:r>
        <w:t xml:space="preserve">. 2021. The Resilience of Global Value Chains During the Covid-19 Pandemic: The Case of Italy. </w:t>
      </w:r>
      <w:proofErr w:type="spellStart"/>
      <w:r w:rsidRPr="00B70D6E">
        <w:rPr>
          <w:i/>
          <w:iCs/>
        </w:rPr>
        <w:t>UniFI</w:t>
      </w:r>
      <w:proofErr w:type="spellEnd"/>
      <w:r>
        <w:t xml:space="preserve"> </w:t>
      </w:r>
      <w:r w:rsidRPr="00C62A65">
        <w:rPr>
          <w:i/>
          <w:iCs/>
        </w:rPr>
        <w:t>DISEI Working Paper No. 07/2021</w:t>
      </w:r>
      <w:r>
        <w:t xml:space="preserve">. Florence, Italy: </w:t>
      </w:r>
      <w:proofErr w:type="spellStart"/>
      <w:r>
        <w:t>Università</w:t>
      </w:r>
      <w:proofErr w:type="spellEnd"/>
      <w:r>
        <w:t xml:space="preserve"> </w:t>
      </w:r>
      <w:proofErr w:type="spellStart"/>
      <w:r>
        <w:t>degli</w:t>
      </w:r>
      <w:proofErr w:type="spellEnd"/>
      <w:r>
        <w:t xml:space="preserve"> </w:t>
      </w:r>
      <w:proofErr w:type="spellStart"/>
      <w:r>
        <w:t>Studi</w:t>
      </w:r>
      <w:proofErr w:type="spellEnd"/>
      <w:r>
        <w:t xml:space="preserve"> Firenze </w:t>
      </w:r>
      <w:proofErr w:type="spellStart"/>
      <w:r>
        <w:t>Dipartimento</w:t>
      </w:r>
      <w:proofErr w:type="spellEnd"/>
      <w:r>
        <w:t xml:space="preserve"> di </w:t>
      </w:r>
      <w:proofErr w:type="spellStart"/>
      <w:r>
        <w:t>Scienze</w:t>
      </w:r>
      <w:proofErr w:type="spellEnd"/>
      <w:r>
        <w:t xml:space="preserve"> per </w:t>
      </w:r>
      <w:proofErr w:type="spellStart"/>
      <w:r>
        <w:t>L’Economia</w:t>
      </w:r>
      <w:proofErr w:type="spellEnd"/>
      <w:r>
        <w:t xml:space="preserve"> e </w:t>
      </w:r>
      <w:proofErr w:type="spellStart"/>
      <w:r>
        <w:t>L’Impresa</w:t>
      </w:r>
      <w:proofErr w:type="spellEnd"/>
      <w:r>
        <w:t>.</w:t>
      </w:r>
    </w:p>
    <w:p w14:paraId="7D583309" w14:textId="77777777" w:rsidR="001C171D" w:rsidRDefault="001C171D" w:rsidP="001C171D">
      <w:pPr>
        <w:ind w:left="567" w:hanging="567"/>
        <w:rPr>
          <w:rFonts w:ascii="Calibri" w:eastAsia="Calibri" w:hAnsi="Calibri" w:cs="Calibri"/>
        </w:rPr>
      </w:pPr>
      <w:r>
        <w:rPr>
          <w:rFonts w:ascii="Calibri" w:eastAsia="Calibri" w:hAnsi="Calibri" w:cs="Calibri"/>
        </w:rPr>
        <w:t xml:space="preserve">D. Hummels, J. Ishii, and K. M. Yi. 2001. The Nature and Growth of Vertical Specialization in World Trade. </w:t>
      </w:r>
      <w:r w:rsidRPr="001B4235">
        <w:rPr>
          <w:rFonts w:ascii="Calibri" w:eastAsia="Calibri" w:hAnsi="Calibri" w:cs="Calibri"/>
          <w:i/>
          <w:iCs/>
        </w:rPr>
        <w:t>Journal of International Economics</w:t>
      </w:r>
      <w:r>
        <w:rPr>
          <w:rFonts w:ascii="Calibri" w:eastAsia="Calibri" w:hAnsi="Calibri" w:cs="Calibri"/>
        </w:rPr>
        <w:t xml:space="preserve">. </w:t>
      </w:r>
      <w:r w:rsidRPr="00867677">
        <w:rPr>
          <w:rFonts w:ascii="Calibri" w:eastAsia="Calibri" w:hAnsi="Calibri" w:cs="Calibri"/>
        </w:rPr>
        <w:t>54</w:t>
      </w:r>
      <w:r>
        <w:rPr>
          <w:rFonts w:ascii="Calibri" w:eastAsia="Calibri" w:hAnsi="Calibri" w:cs="Calibri"/>
        </w:rPr>
        <w:t>. pp. 75–96.</w:t>
      </w:r>
    </w:p>
    <w:p w14:paraId="23F404FB" w14:textId="77777777" w:rsidR="001C171D" w:rsidRDefault="001C171D" w:rsidP="001C171D">
      <w:pPr>
        <w:ind w:left="567" w:hanging="567"/>
        <w:rPr>
          <w:rFonts w:ascii="Calibri" w:eastAsia="Calibri" w:hAnsi="Calibri" w:cs="Calibri"/>
        </w:rPr>
      </w:pPr>
      <w:r>
        <w:rPr>
          <w:rFonts w:ascii="Calibri" w:eastAsia="Calibri" w:hAnsi="Calibri" w:cs="Calibri"/>
        </w:rPr>
        <w:t xml:space="preserve">S. Inomata. 2017. Analytical Frameworks for Global Value Chains: An Overview. In World Bank, </w:t>
      </w:r>
      <w:r w:rsidRPr="00CE19F3">
        <w:rPr>
          <w:rFonts w:ascii="Calibri" w:eastAsia="Calibri" w:hAnsi="Calibri" w:cs="Calibri"/>
          <w:i/>
          <w:iCs/>
        </w:rPr>
        <w:t>Global Value Chain Development Report 2017: Measuring and Analyzing the Impact of GVCs on Economic Development</w:t>
      </w:r>
      <w:r>
        <w:rPr>
          <w:rFonts w:ascii="Calibri" w:eastAsia="Calibri" w:hAnsi="Calibri" w:cs="Calibri"/>
          <w:i/>
          <w:iCs/>
        </w:rPr>
        <w:t>.</w:t>
      </w:r>
      <w:r>
        <w:rPr>
          <w:rFonts w:ascii="Calibri" w:eastAsia="Calibri" w:hAnsi="Calibri" w:cs="Calibri"/>
        </w:rPr>
        <w:t xml:space="preserve"> pp. 15–35. Washington, DC: World Bank.</w:t>
      </w:r>
    </w:p>
    <w:p w14:paraId="65027EBF" w14:textId="4C02628E" w:rsidR="001C171D" w:rsidRPr="00B23498" w:rsidRDefault="000D17C9" w:rsidP="001C171D">
      <w:pPr>
        <w:pStyle w:val="References"/>
      </w:pPr>
      <w:r>
        <w:rPr>
          <w:color w:val="000000" w:themeColor="text1"/>
        </w:rPr>
        <w:t>IMF (</w:t>
      </w:r>
      <w:r w:rsidR="001C171D" w:rsidRPr="009721D6">
        <w:rPr>
          <w:color w:val="000000" w:themeColor="text1"/>
        </w:rPr>
        <w:t>International Monetary Fund). 20</w:t>
      </w:r>
      <w:r w:rsidR="001C171D">
        <w:rPr>
          <w:color w:val="000000" w:themeColor="text1"/>
        </w:rPr>
        <w:t>19</w:t>
      </w:r>
      <w:r w:rsidR="001C171D" w:rsidRPr="009721D6">
        <w:rPr>
          <w:color w:val="000000" w:themeColor="text1"/>
        </w:rPr>
        <w:t xml:space="preserve">. </w:t>
      </w:r>
      <w:r w:rsidR="001C171D" w:rsidRPr="009721D6">
        <w:rPr>
          <w:i/>
          <w:iCs/>
          <w:color w:val="000000" w:themeColor="text1"/>
        </w:rPr>
        <w:t xml:space="preserve">World Economic Outlook: </w:t>
      </w:r>
      <w:r w:rsidR="001C171D">
        <w:rPr>
          <w:i/>
          <w:iCs/>
          <w:color w:val="000000" w:themeColor="text1"/>
        </w:rPr>
        <w:t>Global Manufacturing Downturn, Rising Trade Barriers</w:t>
      </w:r>
      <w:r w:rsidR="001C171D" w:rsidRPr="009721D6">
        <w:rPr>
          <w:color w:val="000000" w:themeColor="text1"/>
        </w:rPr>
        <w:t>. Washington, DC: International Monetary Fund.</w:t>
      </w:r>
    </w:p>
    <w:p w14:paraId="1BE2E581" w14:textId="77777777" w:rsidR="001C171D" w:rsidRDefault="001C171D" w:rsidP="001C171D">
      <w:pPr>
        <w:ind w:left="590" w:hanging="590"/>
      </w:pPr>
      <w:r>
        <w:t xml:space="preserve">O. </w:t>
      </w:r>
      <w:proofErr w:type="spellStart"/>
      <w:r>
        <w:t>Itskhoki</w:t>
      </w:r>
      <w:proofErr w:type="spellEnd"/>
      <w:r>
        <w:t xml:space="preserve">. 2020. The Story of the Real Exchange Rate. </w:t>
      </w:r>
      <w:r w:rsidRPr="008C74BB">
        <w:rPr>
          <w:i/>
          <w:iCs/>
        </w:rPr>
        <w:t>NBER Working Paper No. 28225</w:t>
      </w:r>
      <w:r>
        <w:t>. Cambridge, MA: National Bureau of Economic Research.</w:t>
      </w:r>
    </w:p>
    <w:p w14:paraId="2E9D4A9C" w14:textId="77777777" w:rsidR="008943E5" w:rsidRPr="009135CC" w:rsidRDefault="008943E5" w:rsidP="008943E5">
      <w:pPr>
        <w:pStyle w:val="References"/>
        <w:rPr>
          <w:color w:val="000000" w:themeColor="text1"/>
          <w:lang w:val="en-PH"/>
        </w:rPr>
      </w:pPr>
      <w:r w:rsidRPr="009135CC">
        <w:rPr>
          <w:color w:val="000000" w:themeColor="text1"/>
          <w:lang w:val="en-PH"/>
        </w:rPr>
        <w:t xml:space="preserve">C. I. Jones. 2011. Intermediate Goods and Weak Links in the Theory of Economic Development. </w:t>
      </w:r>
      <w:r w:rsidRPr="009135CC">
        <w:rPr>
          <w:i/>
          <w:iCs/>
          <w:color w:val="000000" w:themeColor="text1"/>
          <w:lang w:val="en-PH"/>
        </w:rPr>
        <w:t>American Economic Journal: Macroeconomics</w:t>
      </w:r>
      <w:r w:rsidRPr="009135CC">
        <w:rPr>
          <w:color w:val="000000" w:themeColor="text1"/>
          <w:lang w:val="en-PH"/>
        </w:rPr>
        <w:t>.</w:t>
      </w:r>
      <w:r w:rsidRPr="009135CC">
        <w:rPr>
          <w:i/>
          <w:iCs/>
          <w:color w:val="000000" w:themeColor="text1"/>
          <w:lang w:val="en-PH"/>
        </w:rPr>
        <w:t xml:space="preserve"> </w:t>
      </w:r>
      <w:r w:rsidRPr="009135CC">
        <w:rPr>
          <w:color w:val="000000" w:themeColor="text1"/>
          <w:lang w:val="en-PH"/>
        </w:rPr>
        <w:t>3(2). pp. 1–28.</w:t>
      </w:r>
    </w:p>
    <w:p w14:paraId="6344110C" w14:textId="77777777" w:rsidR="008943E5" w:rsidRPr="009135CC" w:rsidRDefault="008943E5" w:rsidP="008943E5">
      <w:pPr>
        <w:pStyle w:val="References"/>
        <w:rPr>
          <w:color w:val="000000" w:themeColor="text1"/>
          <w:lang w:val="en-PH"/>
        </w:rPr>
      </w:pPr>
      <w:r w:rsidRPr="009135CC">
        <w:rPr>
          <w:color w:val="000000" w:themeColor="text1"/>
          <w:lang w:val="en-PH"/>
        </w:rPr>
        <w:t xml:space="preserve">Kearney. 2021. </w:t>
      </w:r>
      <w:r w:rsidRPr="009135CC">
        <w:rPr>
          <w:i/>
          <w:iCs/>
          <w:color w:val="000000" w:themeColor="text1"/>
          <w:lang w:val="en-PH"/>
        </w:rPr>
        <w:t>Global Pandemic Roils 2020 Reshoring Index, Shifting Focus from Reshoring to Right-Shoring</w:t>
      </w:r>
      <w:r w:rsidRPr="009135CC">
        <w:rPr>
          <w:color w:val="000000" w:themeColor="text1"/>
          <w:lang w:val="en-PH"/>
        </w:rPr>
        <w:t xml:space="preserve">. Chicago, IL: Kearney. </w:t>
      </w:r>
    </w:p>
    <w:p w14:paraId="55844EC7" w14:textId="77777777" w:rsidR="001C171D" w:rsidRDefault="001C171D" w:rsidP="001C171D">
      <w:pPr>
        <w:keepNext/>
        <w:ind w:left="567" w:hanging="567"/>
        <w:rPr>
          <w:rFonts w:ascii="Calibri" w:eastAsia="Calibri" w:hAnsi="Calibri" w:cs="Calibri"/>
        </w:rPr>
      </w:pPr>
      <w:r>
        <w:rPr>
          <w:rFonts w:ascii="Calibri" w:eastAsia="Calibri" w:hAnsi="Calibri" w:cs="Calibri"/>
        </w:rPr>
        <w:lastRenderedPageBreak/>
        <w:t xml:space="preserve">R. Koopman, Z. Wang, and S. Wei. 2014. Tracing Value-Added and Double Counting in Gross Exports. </w:t>
      </w:r>
      <w:r w:rsidRPr="004E06B0">
        <w:rPr>
          <w:rFonts w:ascii="Calibri" w:eastAsia="Calibri" w:hAnsi="Calibri" w:cs="Calibri"/>
          <w:i/>
          <w:iCs/>
        </w:rPr>
        <w:t>American Economic Review</w:t>
      </w:r>
      <w:r>
        <w:rPr>
          <w:rFonts w:ascii="Calibri" w:eastAsia="Calibri" w:hAnsi="Calibri" w:cs="Calibri"/>
        </w:rPr>
        <w:t xml:space="preserve">. </w:t>
      </w:r>
      <w:r w:rsidRPr="00C14603">
        <w:rPr>
          <w:rFonts w:ascii="Calibri" w:eastAsia="Calibri" w:hAnsi="Calibri" w:cs="Calibri"/>
        </w:rPr>
        <w:t>104</w:t>
      </w:r>
      <w:r w:rsidRPr="00DF639A">
        <w:rPr>
          <w:rFonts w:ascii="Calibri" w:eastAsia="Calibri" w:hAnsi="Calibri" w:cs="Calibri"/>
        </w:rPr>
        <w:t>(2)</w:t>
      </w:r>
      <w:r>
        <w:rPr>
          <w:rFonts w:ascii="Calibri" w:eastAsia="Calibri" w:hAnsi="Calibri" w:cs="Calibri"/>
        </w:rPr>
        <w:t>. pp. 459–494.</w:t>
      </w:r>
    </w:p>
    <w:p w14:paraId="22F74A9B" w14:textId="77777777" w:rsidR="004F05EE" w:rsidRDefault="004F05EE" w:rsidP="004F05EE">
      <w:pPr>
        <w:pStyle w:val="References"/>
      </w:pPr>
      <w:r>
        <w:t xml:space="preserve">N. </w:t>
      </w:r>
      <w:proofErr w:type="spellStart"/>
      <w:r w:rsidRPr="00E1476D">
        <w:t>Limão</w:t>
      </w:r>
      <w:proofErr w:type="spellEnd"/>
      <w:r w:rsidRPr="00E1476D">
        <w:t xml:space="preserve">. 2016. Preferential Trade Agreements. </w:t>
      </w:r>
      <w:r w:rsidRPr="00E1476D">
        <w:rPr>
          <w:i/>
          <w:iCs/>
        </w:rPr>
        <w:t>NBER Working Paper</w:t>
      </w:r>
      <w:r w:rsidRPr="00A63F9B">
        <w:rPr>
          <w:i/>
          <w:iCs/>
        </w:rPr>
        <w:t xml:space="preserve"> No. 22138</w:t>
      </w:r>
      <w:r w:rsidRPr="00E1476D">
        <w:t>. Cambridge, MA: National Bureau of Economic Research.</w:t>
      </w:r>
    </w:p>
    <w:p w14:paraId="6CA9B659" w14:textId="77777777" w:rsidR="00B557A9" w:rsidRDefault="00B557A9" w:rsidP="00B557A9">
      <w:pPr>
        <w:ind w:left="567" w:hanging="567"/>
      </w:pPr>
      <w:r>
        <w:t xml:space="preserve">B. McCaig and N. </w:t>
      </w:r>
      <w:proofErr w:type="spellStart"/>
      <w:r>
        <w:t>Pavcnik</w:t>
      </w:r>
      <w:proofErr w:type="spellEnd"/>
      <w:r>
        <w:t xml:space="preserve">. 2018. </w:t>
      </w:r>
      <w:r w:rsidRPr="00350C7C">
        <w:t>Export Markets and Labor Allocation in a Low-Income Country</w:t>
      </w:r>
      <w:r>
        <w:t xml:space="preserve">. </w:t>
      </w:r>
      <w:r w:rsidRPr="00CA44FD">
        <w:rPr>
          <w:i/>
          <w:iCs/>
        </w:rPr>
        <w:t>American Economic Review</w:t>
      </w:r>
      <w:r>
        <w:t xml:space="preserve">. 108(7). </w:t>
      </w:r>
      <w:r w:rsidRPr="00350C7C">
        <w:t>pp. 1899</w:t>
      </w:r>
      <w:r>
        <w:t>–</w:t>
      </w:r>
      <w:r w:rsidRPr="00350C7C">
        <w:t>1941</w:t>
      </w:r>
      <w:r>
        <w:t>.</w:t>
      </w:r>
    </w:p>
    <w:p w14:paraId="4ECFDF47" w14:textId="56074B69" w:rsidR="00B3247D" w:rsidRPr="00CD47E9" w:rsidRDefault="00B3247D" w:rsidP="00B3247D">
      <w:pPr>
        <w:pStyle w:val="References"/>
        <w:rPr>
          <w:rFonts w:eastAsia="Ideal Sans Light"/>
        </w:rPr>
      </w:pPr>
      <w:r w:rsidRPr="00CD47E9">
        <w:rPr>
          <w:rFonts w:eastAsia="Ideal Sans Light"/>
        </w:rPr>
        <w:t xml:space="preserve">V. Mercer-Blackman, A. Foronda, and M. J. </w:t>
      </w:r>
      <w:proofErr w:type="spellStart"/>
      <w:r w:rsidRPr="00CD47E9">
        <w:rPr>
          <w:rFonts w:eastAsia="Ideal Sans Light"/>
        </w:rPr>
        <w:t>Mariasingham</w:t>
      </w:r>
      <w:proofErr w:type="spellEnd"/>
      <w:r w:rsidRPr="00CD47E9">
        <w:rPr>
          <w:rFonts w:eastAsia="Ideal Sans Light"/>
        </w:rPr>
        <w:t xml:space="preserve">. 2017. Using Input–Output Analysis Framework to Explain Economic Diversification and Structural Transformation in Bangladesh. </w:t>
      </w:r>
      <w:r w:rsidRPr="00CD47E9">
        <w:rPr>
          <w:rFonts w:eastAsia="Ideal Sans Light"/>
          <w:i/>
          <w:iCs/>
        </w:rPr>
        <w:t>ADB Economics Working Paper</w:t>
      </w:r>
      <w:r w:rsidRPr="00165070">
        <w:rPr>
          <w:rFonts w:eastAsia="Ideal Sans Light"/>
        </w:rPr>
        <w:t>. No. 513</w:t>
      </w:r>
      <w:r w:rsidRPr="00CD47E9">
        <w:rPr>
          <w:rFonts w:eastAsia="Ideal Sans Light"/>
        </w:rPr>
        <w:t xml:space="preserve">. </w:t>
      </w:r>
      <w:r w:rsidR="00C520F6">
        <w:rPr>
          <w:rFonts w:eastAsia="Ideal Sans Light"/>
        </w:rPr>
        <w:t>Manila</w:t>
      </w:r>
      <w:r w:rsidRPr="00CD47E9">
        <w:rPr>
          <w:rFonts w:eastAsia="Ideal Sans Light"/>
        </w:rPr>
        <w:t xml:space="preserve">, Philippines: Asian Development Bank. </w:t>
      </w:r>
    </w:p>
    <w:p w14:paraId="4995E00D" w14:textId="61EE4806" w:rsidR="001C171D" w:rsidRDefault="001C171D" w:rsidP="001C171D">
      <w:pPr>
        <w:pStyle w:val="References"/>
      </w:pPr>
      <w:r>
        <w:t xml:space="preserve">METI (Japan Ministry of Economy, Trade and Industry). 2011. </w:t>
      </w:r>
      <w:r>
        <w:rPr>
          <w:i/>
          <w:iCs/>
        </w:rPr>
        <w:t>White Paper on International Economy and Trade,</w:t>
      </w:r>
      <w:r>
        <w:t xml:space="preserve"> </w:t>
      </w:r>
      <w:r w:rsidRPr="00FC5DAE">
        <w:rPr>
          <w:i/>
          <w:iCs/>
        </w:rPr>
        <w:t>Supplementary Notes</w:t>
      </w:r>
      <w:r>
        <w:t xml:space="preserve">. Retrieved from </w:t>
      </w:r>
      <w:r w:rsidRPr="00303E94">
        <w:t>https://www.meti.go.jp/english/report/data/gWT2011fe.html</w:t>
      </w:r>
      <w:r>
        <w:t xml:space="preserve">. </w:t>
      </w:r>
    </w:p>
    <w:p w14:paraId="2F01C0E2" w14:textId="77777777" w:rsidR="00D933A8" w:rsidRPr="009135CC" w:rsidRDefault="00D933A8" w:rsidP="00D933A8">
      <w:pPr>
        <w:pStyle w:val="References"/>
        <w:rPr>
          <w:color w:val="000000" w:themeColor="text1"/>
          <w:lang w:val="en-PH"/>
        </w:rPr>
      </w:pPr>
      <w:r w:rsidRPr="009135CC">
        <w:rPr>
          <w:color w:val="000000" w:themeColor="text1"/>
          <w:lang w:val="en-PH"/>
        </w:rPr>
        <w:t xml:space="preserve">J. Nasir. 2020. The Tariff Tripod of Pakistan: Protection, Export Promotion, and Revenue Generation. </w:t>
      </w:r>
      <w:r w:rsidRPr="009135CC">
        <w:rPr>
          <w:i/>
          <w:iCs/>
          <w:color w:val="000000" w:themeColor="text1"/>
          <w:lang w:val="en-PH"/>
        </w:rPr>
        <w:t>PIDE Working Papers</w:t>
      </w:r>
      <w:r w:rsidRPr="00A42DAE">
        <w:rPr>
          <w:color w:val="000000" w:themeColor="text1"/>
          <w:lang w:val="en-PH"/>
        </w:rPr>
        <w:t>. No. 2020-6</w:t>
      </w:r>
      <w:r w:rsidRPr="009135CC">
        <w:rPr>
          <w:color w:val="000000" w:themeColor="text1"/>
          <w:lang w:val="en-PH"/>
        </w:rPr>
        <w:t>. Islamabad: Pakistan Institute of Development Economics.</w:t>
      </w:r>
    </w:p>
    <w:p w14:paraId="7AE4279C" w14:textId="77777777" w:rsidR="001C171D" w:rsidRDefault="001C171D" w:rsidP="001C171D">
      <w:pPr>
        <w:ind w:left="590" w:hanging="590"/>
      </w:pPr>
      <w:r>
        <w:t xml:space="preserve">S. Patel, Z. Wang, and S. Wei. 2019. Global Value Chains and Effective Exchange Rates at the Country-Sector Level. </w:t>
      </w:r>
      <w:r w:rsidRPr="00A113DF">
        <w:rPr>
          <w:i/>
          <w:iCs/>
        </w:rPr>
        <w:t>Journal of Money, Credit, and Banking</w:t>
      </w:r>
      <w:r>
        <w:t xml:space="preserve">. </w:t>
      </w:r>
      <w:r w:rsidRPr="00B74FEB">
        <w:t>51</w:t>
      </w:r>
      <w:r>
        <w:t>(1). pp. 7–42.</w:t>
      </w:r>
    </w:p>
    <w:p w14:paraId="3FB9041C" w14:textId="77777777" w:rsidR="00B557A9" w:rsidRDefault="00B557A9" w:rsidP="00B557A9">
      <w:pPr>
        <w:ind w:left="567" w:hanging="567"/>
      </w:pPr>
      <w:r>
        <w:t xml:space="preserve">W. F. </w:t>
      </w:r>
      <w:proofErr w:type="spellStart"/>
      <w:r>
        <w:t>Shughart</w:t>
      </w:r>
      <w:proofErr w:type="spellEnd"/>
      <w:r>
        <w:t>.</w:t>
      </w:r>
      <w:r w:rsidRPr="00601F5B">
        <w:t xml:space="preserve"> </w:t>
      </w:r>
      <w:r>
        <w:t xml:space="preserve">2008. Industrial Concentration. In D. R. Henderson (Ed.), </w:t>
      </w:r>
      <w:r w:rsidRPr="003B1B51">
        <w:rPr>
          <w:i/>
          <w:iCs/>
        </w:rPr>
        <w:t>Concise Encyclopedia of Economics</w:t>
      </w:r>
      <w:r w:rsidRPr="003B1B51">
        <w:t>,</w:t>
      </w:r>
      <w:r>
        <w:t xml:space="preserve"> </w:t>
      </w:r>
      <w:r w:rsidRPr="003B1B51">
        <w:t>2nd ed. Indianapolis</w:t>
      </w:r>
      <w:r>
        <w:t>, IN</w:t>
      </w:r>
      <w:r w:rsidRPr="003B1B51">
        <w:t>: Library of Economics and Liberty.</w:t>
      </w:r>
    </w:p>
    <w:p w14:paraId="16CC67AB" w14:textId="77777777" w:rsidR="00FF34F8" w:rsidRPr="00CD47E9" w:rsidRDefault="00FF34F8" w:rsidP="00FF34F8">
      <w:pPr>
        <w:pStyle w:val="References"/>
        <w:rPr>
          <w:lang w:val="en-PH"/>
        </w:rPr>
      </w:pPr>
      <w:r w:rsidRPr="00CD47E9">
        <w:rPr>
          <w:lang w:val="en-PH"/>
        </w:rPr>
        <w:t xml:space="preserve">State Bank of Pakistan. 2020. </w:t>
      </w:r>
      <w:r w:rsidRPr="00B74FEB">
        <w:rPr>
          <w:i/>
          <w:iCs/>
          <w:lang w:val="en-PH"/>
        </w:rPr>
        <w:t>The State of Pakistan’s Economy: The First Quarterly Report of the Board of Directors</w:t>
      </w:r>
      <w:r w:rsidRPr="00CD47E9">
        <w:rPr>
          <w:lang w:val="en-PH"/>
        </w:rPr>
        <w:t>. Retrieved from https://www.sbp.org.pk/reports/quarterly/fy21/First/Complete.pdf.</w:t>
      </w:r>
    </w:p>
    <w:p w14:paraId="639889F3" w14:textId="09E17F0F" w:rsidR="00080D88" w:rsidRDefault="00965FC1" w:rsidP="00601F5B">
      <w:pPr>
        <w:pStyle w:val="References"/>
      </w:pPr>
      <w:r>
        <w:t xml:space="preserve">I. </w:t>
      </w:r>
      <w:r w:rsidR="00080D88">
        <w:t xml:space="preserve">Stephens. 1967. </w:t>
      </w:r>
      <w:r w:rsidR="00080D88" w:rsidRPr="006077EB">
        <w:rPr>
          <w:i/>
          <w:iCs/>
        </w:rPr>
        <w:t>Pakistan</w:t>
      </w:r>
      <w:r w:rsidR="00080D88">
        <w:t xml:space="preserve"> (3</w:t>
      </w:r>
      <w:r w:rsidR="00080D88" w:rsidRPr="00080D88">
        <w:rPr>
          <w:vertAlign w:val="superscript"/>
        </w:rPr>
        <w:t>rd</w:t>
      </w:r>
      <w:r w:rsidR="00080D88">
        <w:t xml:space="preserve"> ed.). New York, NY: Frederick A. Praeger.</w:t>
      </w:r>
    </w:p>
    <w:p w14:paraId="14DCDDA7" w14:textId="77777777" w:rsidR="00B557A9" w:rsidRDefault="00B557A9" w:rsidP="00B557A9">
      <w:pPr>
        <w:ind w:left="567" w:hanging="567"/>
      </w:pPr>
      <w:r>
        <w:t xml:space="preserve">J. E. Stiglitz. 1996. Some Lessons from the East Asian Miracle. </w:t>
      </w:r>
      <w:r>
        <w:rPr>
          <w:i/>
          <w:iCs/>
        </w:rPr>
        <w:t>The World Bank Research Observer</w:t>
      </w:r>
      <w:r w:rsidRPr="00EA439A">
        <w:t>. 11</w:t>
      </w:r>
      <w:r>
        <w:t xml:space="preserve">(2). pp. 151–77. </w:t>
      </w:r>
    </w:p>
    <w:p w14:paraId="56A540CA" w14:textId="57DC4E95" w:rsidR="00874C5F" w:rsidRPr="00874C5F" w:rsidRDefault="00874C5F" w:rsidP="00B557A9">
      <w:pPr>
        <w:ind w:left="567" w:hanging="567"/>
      </w:pPr>
      <w:r>
        <w:t xml:space="preserve">C. Tan. 2023, July 3. </w:t>
      </w:r>
      <w:r w:rsidRPr="00874C5F">
        <w:t xml:space="preserve">China </w:t>
      </w:r>
      <w:r>
        <w:t>S</w:t>
      </w:r>
      <w:r w:rsidRPr="00874C5F">
        <w:t xml:space="preserve">laps </w:t>
      </w:r>
      <w:r>
        <w:t>E</w:t>
      </w:r>
      <w:r w:rsidRPr="00874C5F">
        <w:t xml:space="preserve">xport </w:t>
      </w:r>
      <w:r>
        <w:t>C</w:t>
      </w:r>
      <w:r w:rsidRPr="00874C5F">
        <w:t xml:space="preserve">urbs on </w:t>
      </w:r>
      <w:r>
        <w:t>C</w:t>
      </w:r>
      <w:r w:rsidRPr="00874C5F">
        <w:t xml:space="preserve">hipmaking </w:t>
      </w:r>
      <w:r>
        <w:t>M</w:t>
      </w:r>
      <w:r w:rsidRPr="00874C5F">
        <w:t xml:space="preserve">etals in </w:t>
      </w:r>
      <w:r>
        <w:t>T</w:t>
      </w:r>
      <w:r w:rsidRPr="00874C5F">
        <w:t xml:space="preserve">ech </w:t>
      </w:r>
      <w:r>
        <w:t>W</w:t>
      </w:r>
      <w:r w:rsidRPr="00874C5F">
        <w:t xml:space="preserve">ar </w:t>
      </w:r>
      <w:r>
        <w:t>W</w:t>
      </w:r>
      <w:r w:rsidRPr="00874C5F">
        <w:t>arning to U.S., Europe</w:t>
      </w:r>
      <w:r>
        <w:t xml:space="preserve">. </w:t>
      </w:r>
      <w:r w:rsidRPr="00874C5F">
        <w:rPr>
          <w:i/>
          <w:iCs/>
        </w:rPr>
        <w:t>CNBC</w:t>
      </w:r>
      <w:r>
        <w:t xml:space="preserve">. Retrieved from </w:t>
      </w:r>
      <w:r w:rsidRPr="00874C5F">
        <w:t>https://www.cnbc.com/2023/07/04/china-imposes-export-curbs-on-chipmaking-metals-in-tech-war-with-the-us.html</w:t>
      </w:r>
      <w:r w:rsidR="00363F99">
        <w:t xml:space="preserve"> (accessed 21 July 2023)</w:t>
      </w:r>
      <w:r>
        <w:t xml:space="preserve">. </w:t>
      </w:r>
    </w:p>
    <w:p w14:paraId="706ACA12" w14:textId="1540AEFA" w:rsidR="00A817F8" w:rsidRDefault="00A817F8" w:rsidP="00A817F8">
      <w:pPr>
        <w:pStyle w:val="References"/>
      </w:pPr>
      <w:r w:rsidRPr="00DC0383">
        <w:t xml:space="preserve">M. P. Timmer, E. </w:t>
      </w:r>
      <w:proofErr w:type="spellStart"/>
      <w:r w:rsidRPr="00DC0383">
        <w:t>Dietzenbacher</w:t>
      </w:r>
      <w:proofErr w:type="spellEnd"/>
      <w:r w:rsidRPr="00DC0383">
        <w:t xml:space="preserve">, B. Los, R. </w:t>
      </w:r>
      <w:proofErr w:type="spellStart"/>
      <w:r w:rsidRPr="00DC0383">
        <w:t>Stehrer</w:t>
      </w:r>
      <w:proofErr w:type="spellEnd"/>
      <w:r w:rsidRPr="00DC0383">
        <w:t xml:space="preserve">, and G. J. de Vries. 2015. An Illustrated User Guide to the World Input-Output Database: The Case of Global Automotive Production. </w:t>
      </w:r>
      <w:r w:rsidRPr="00C4761F">
        <w:rPr>
          <w:i/>
          <w:iCs/>
        </w:rPr>
        <w:t>Review of International Economics</w:t>
      </w:r>
      <w:r w:rsidRPr="00C4761F">
        <w:t>.</w:t>
      </w:r>
      <w:r w:rsidRPr="00DC0383">
        <w:t xml:space="preserve"> 23(3)</w:t>
      </w:r>
      <w:r>
        <w:t>.</w:t>
      </w:r>
      <w:r w:rsidRPr="00DC0383">
        <w:t xml:space="preserve"> pp. 575–605.</w:t>
      </w:r>
    </w:p>
    <w:p w14:paraId="656B4ECF" w14:textId="77777777" w:rsidR="00B557A9" w:rsidRDefault="00B557A9" w:rsidP="00B557A9">
      <w:pPr>
        <w:ind w:left="567" w:hanging="567"/>
      </w:pPr>
      <w:r>
        <w:lastRenderedPageBreak/>
        <w:t xml:space="preserve">M. P. Thomas. 2019. Impact of Services Trade on Economic Growth and Current Account Balance: Evidence from India. </w:t>
      </w:r>
      <w:r w:rsidRPr="00A0205E">
        <w:rPr>
          <w:i/>
          <w:iCs/>
        </w:rPr>
        <w:t>Journal of International Trade and Economic Development</w:t>
      </w:r>
      <w:r w:rsidRPr="00EA439A">
        <w:t>. 28</w:t>
      </w:r>
      <w:r>
        <w:t xml:space="preserve">(3). pp. 331–347. </w:t>
      </w:r>
    </w:p>
    <w:p w14:paraId="4081587B" w14:textId="384D5DD4" w:rsidR="00F030DD" w:rsidRDefault="00F030DD" w:rsidP="001C171D">
      <w:pPr>
        <w:ind w:left="590" w:hanging="590"/>
        <w:rPr>
          <w:rFonts w:ascii="Calibri" w:eastAsia="Calibri" w:hAnsi="Calibri" w:cs="Calibri"/>
        </w:rPr>
      </w:pPr>
      <w:r>
        <w:rPr>
          <w:rFonts w:ascii="Calibri" w:eastAsia="Calibri" w:hAnsi="Calibri" w:cs="Calibri"/>
        </w:rPr>
        <w:t xml:space="preserve">P. Wang. 2023, June 7. </w:t>
      </w:r>
      <w:r w:rsidRPr="00F030DD">
        <w:rPr>
          <w:rFonts w:ascii="Calibri" w:eastAsia="Calibri" w:hAnsi="Calibri" w:cs="Calibri"/>
        </w:rPr>
        <w:t xml:space="preserve">China </w:t>
      </w:r>
      <w:r w:rsidR="005257A4">
        <w:rPr>
          <w:rFonts w:ascii="Calibri" w:eastAsia="Calibri" w:hAnsi="Calibri" w:cs="Calibri"/>
        </w:rPr>
        <w:t>S</w:t>
      </w:r>
      <w:r w:rsidRPr="00F030DD">
        <w:rPr>
          <w:rFonts w:ascii="Calibri" w:eastAsia="Calibri" w:hAnsi="Calibri" w:cs="Calibri"/>
        </w:rPr>
        <w:t xml:space="preserve">ees </w:t>
      </w:r>
      <w:r w:rsidR="005257A4">
        <w:rPr>
          <w:rFonts w:ascii="Calibri" w:eastAsia="Calibri" w:hAnsi="Calibri" w:cs="Calibri"/>
        </w:rPr>
        <w:t>B</w:t>
      </w:r>
      <w:r w:rsidRPr="00F030DD">
        <w:rPr>
          <w:rFonts w:ascii="Calibri" w:eastAsia="Calibri" w:hAnsi="Calibri" w:cs="Calibri"/>
        </w:rPr>
        <w:t xml:space="preserve">iggest </w:t>
      </w:r>
      <w:r w:rsidR="005257A4">
        <w:rPr>
          <w:rFonts w:ascii="Calibri" w:eastAsia="Calibri" w:hAnsi="Calibri" w:cs="Calibri"/>
        </w:rPr>
        <w:t>T</w:t>
      </w:r>
      <w:r w:rsidRPr="00F030DD">
        <w:rPr>
          <w:rFonts w:ascii="Calibri" w:eastAsia="Calibri" w:hAnsi="Calibri" w:cs="Calibri"/>
        </w:rPr>
        <w:t xml:space="preserve">rade </w:t>
      </w:r>
      <w:r w:rsidR="005257A4">
        <w:rPr>
          <w:rFonts w:ascii="Calibri" w:eastAsia="Calibri" w:hAnsi="Calibri" w:cs="Calibri"/>
        </w:rPr>
        <w:t>I</w:t>
      </w:r>
      <w:r w:rsidRPr="00F030DD">
        <w:rPr>
          <w:rFonts w:ascii="Calibri" w:eastAsia="Calibri" w:hAnsi="Calibri" w:cs="Calibri"/>
        </w:rPr>
        <w:t xml:space="preserve">ncrease with Russia in 2023, Chinese </w:t>
      </w:r>
      <w:r w:rsidR="005257A4">
        <w:rPr>
          <w:rFonts w:ascii="Calibri" w:eastAsia="Calibri" w:hAnsi="Calibri" w:cs="Calibri"/>
        </w:rPr>
        <w:t>C</w:t>
      </w:r>
      <w:r w:rsidRPr="00F030DD">
        <w:rPr>
          <w:rFonts w:ascii="Calibri" w:eastAsia="Calibri" w:hAnsi="Calibri" w:cs="Calibri"/>
        </w:rPr>
        <w:t xml:space="preserve">ustoms </w:t>
      </w:r>
      <w:r w:rsidR="005257A4">
        <w:rPr>
          <w:rFonts w:ascii="Calibri" w:eastAsia="Calibri" w:hAnsi="Calibri" w:cs="Calibri"/>
        </w:rPr>
        <w:t>D</w:t>
      </w:r>
      <w:r w:rsidRPr="00F030DD">
        <w:rPr>
          <w:rFonts w:ascii="Calibri" w:eastAsia="Calibri" w:hAnsi="Calibri" w:cs="Calibri"/>
        </w:rPr>
        <w:t xml:space="preserve">ata </w:t>
      </w:r>
      <w:r w:rsidR="005257A4">
        <w:rPr>
          <w:rFonts w:ascii="Calibri" w:eastAsia="Calibri" w:hAnsi="Calibri" w:cs="Calibri"/>
        </w:rPr>
        <w:t>S</w:t>
      </w:r>
      <w:r w:rsidRPr="00F030DD">
        <w:rPr>
          <w:rFonts w:ascii="Calibri" w:eastAsia="Calibri" w:hAnsi="Calibri" w:cs="Calibri"/>
        </w:rPr>
        <w:t>hows</w:t>
      </w:r>
      <w:r>
        <w:rPr>
          <w:rFonts w:ascii="Calibri" w:eastAsia="Calibri" w:hAnsi="Calibri" w:cs="Calibri"/>
        </w:rPr>
        <w:t xml:space="preserve">. </w:t>
      </w:r>
      <w:r w:rsidRPr="00F030DD">
        <w:rPr>
          <w:rFonts w:ascii="Calibri" w:eastAsia="Calibri" w:hAnsi="Calibri" w:cs="Calibri"/>
          <w:i/>
          <w:iCs/>
        </w:rPr>
        <w:t>CNN</w:t>
      </w:r>
      <w:r>
        <w:rPr>
          <w:rFonts w:ascii="Calibri" w:eastAsia="Calibri" w:hAnsi="Calibri" w:cs="Calibri"/>
        </w:rPr>
        <w:t xml:space="preserve">. Retrieved from </w:t>
      </w:r>
      <w:r w:rsidRPr="00F030DD">
        <w:rPr>
          <w:rFonts w:ascii="Calibri" w:eastAsia="Calibri" w:hAnsi="Calibri" w:cs="Calibri"/>
        </w:rPr>
        <w:t>https://edition.cnn.com/2023/06/07/business/china-russia-trade-increase-intl/index.html</w:t>
      </w:r>
      <w:r>
        <w:rPr>
          <w:rFonts w:ascii="Calibri" w:eastAsia="Calibri" w:hAnsi="Calibri" w:cs="Calibri"/>
        </w:rPr>
        <w:t xml:space="preserve"> (accessed 12 July 2023).</w:t>
      </w:r>
    </w:p>
    <w:p w14:paraId="7FC6F554" w14:textId="791BF48A" w:rsidR="001C171D" w:rsidRDefault="001C171D" w:rsidP="001C171D">
      <w:pPr>
        <w:ind w:left="590" w:hanging="590"/>
      </w:pPr>
      <w:r>
        <w:rPr>
          <w:rFonts w:ascii="Calibri" w:eastAsia="Calibri" w:hAnsi="Calibri" w:cs="Calibri"/>
        </w:rPr>
        <w:t xml:space="preserve">Z. Wang, S. Wei, X. Yu, and K. Zhu. 2017a. Measures of Participation in Global Value Chains and Global Business Cycles. </w:t>
      </w:r>
      <w:r w:rsidRPr="00E208F7">
        <w:rPr>
          <w:rFonts w:ascii="Calibri" w:eastAsia="Calibri" w:hAnsi="Calibri" w:cs="Calibri"/>
          <w:i/>
          <w:iCs/>
        </w:rPr>
        <w:t>NBER Working Paper</w:t>
      </w:r>
      <w:r w:rsidRPr="001066C5">
        <w:rPr>
          <w:rFonts w:ascii="Calibri" w:eastAsia="Calibri" w:hAnsi="Calibri" w:cs="Calibri"/>
        </w:rPr>
        <w:t>. No. 23222</w:t>
      </w:r>
      <w:r>
        <w:rPr>
          <w:rFonts w:ascii="Calibri" w:eastAsia="Calibri" w:hAnsi="Calibri" w:cs="Calibri"/>
        </w:rPr>
        <w:t>. Cambridge, MA: National Bureau of Economic Research.</w:t>
      </w:r>
    </w:p>
    <w:p w14:paraId="0EBE97DF" w14:textId="77777777" w:rsidR="001C171D" w:rsidRDefault="001C171D" w:rsidP="001C171D">
      <w:pPr>
        <w:ind w:left="590" w:hanging="590"/>
        <w:rPr>
          <w:rFonts w:ascii="Calibri" w:eastAsia="Calibri" w:hAnsi="Calibri" w:cs="Calibri"/>
        </w:rPr>
      </w:pPr>
      <w:r>
        <w:rPr>
          <w:rFonts w:ascii="Calibri" w:eastAsia="Calibri" w:hAnsi="Calibri" w:cs="Calibri"/>
        </w:rPr>
        <w:t xml:space="preserve">Z. Wang, S. Wei, X. Yu, and K. Zhu. 2017b. Characterizing Global Value Chains: Production Length and </w:t>
      </w:r>
      <w:proofErr w:type="spellStart"/>
      <w:r>
        <w:rPr>
          <w:rFonts w:ascii="Calibri" w:eastAsia="Calibri" w:hAnsi="Calibri" w:cs="Calibri"/>
        </w:rPr>
        <w:t>Upstreamness</w:t>
      </w:r>
      <w:proofErr w:type="spellEnd"/>
      <w:r>
        <w:rPr>
          <w:rFonts w:ascii="Calibri" w:eastAsia="Calibri" w:hAnsi="Calibri" w:cs="Calibri"/>
        </w:rPr>
        <w:t xml:space="preserve">. </w:t>
      </w:r>
      <w:r w:rsidRPr="00E208F7">
        <w:rPr>
          <w:rFonts w:ascii="Calibri" w:eastAsia="Calibri" w:hAnsi="Calibri" w:cs="Calibri"/>
          <w:i/>
          <w:iCs/>
        </w:rPr>
        <w:t>NBER Working Paper</w:t>
      </w:r>
      <w:r w:rsidRPr="001066C5">
        <w:rPr>
          <w:rFonts w:ascii="Calibri" w:eastAsia="Calibri" w:hAnsi="Calibri" w:cs="Calibri"/>
        </w:rPr>
        <w:t>. No. 23261</w:t>
      </w:r>
      <w:r>
        <w:rPr>
          <w:rFonts w:ascii="Calibri" w:eastAsia="Calibri" w:hAnsi="Calibri" w:cs="Calibri"/>
        </w:rPr>
        <w:t>. Cambridge, MA: National Bureau of Economic Research.</w:t>
      </w:r>
    </w:p>
    <w:p w14:paraId="7360B910" w14:textId="77777777" w:rsidR="006F2B7D" w:rsidRDefault="006F2B7D" w:rsidP="006F2B7D">
      <w:pPr>
        <w:pStyle w:val="References"/>
      </w:pPr>
      <w:r>
        <w:t xml:space="preserve">S. A. Wolpert. 2004. </w:t>
      </w:r>
      <w:r w:rsidRPr="00C30ED1">
        <w:rPr>
          <w:i/>
          <w:iCs/>
        </w:rPr>
        <w:t>A New History of India</w:t>
      </w:r>
      <w:r>
        <w:t xml:space="preserve"> (7</w:t>
      </w:r>
      <w:r w:rsidRPr="00C30ED1">
        <w:rPr>
          <w:vertAlign w:val="superscript"/>
        </w:rPr>
        <w:t>th</w:t>
      </w:r>
      <w:r>
        <w:t xml:space="preserve"> ed). Oxford, United Kingdom: Oxford University Press.</w:t>
      </w:r>
    </w:p>
    <w:p w14:paraId="0C4CEB83" w14:textId="77777777" w:rsidR="00B557A9" w:rsidRPr="00D953AF" w:rsidRDefault="00B557A9" w:rsidP="00B557A9">
      <w:pPr>
        <w:ind w:left="567" w:hanging="567"/>
      </w:pPr>
      <w:r>
        <w:t xml:space="preserve">World Bank. 2020a. </w:t>
      </w:r>
      <w:r w:rsidRPr="00E43331">
        <w:rPr>
          <w:i/>
          <w:iCs/>
        </w:rPr>
        <w:t>Islamic Republic of Pakistan: Leveling the Playing Field: Systematic Country Diagnostic</w:t>
      </w:r>
      <w:r>
        <w:t>. Washington, DC: World Bank.</w:t>
      </w:r>
    </w:p>
    <w:p w14:paraId="08EBD52A" w14:textId="4A512AED" w:rsidR="000D6320" w:rsidRPr="00E1476D" w:rsidRDefault="000D6320" w:rsidP="00CB3283">
      <w:pPr>
        <w:pStyle w:val="References"/>
      </w:pPr>
      <w:r>
        <w:t xml:space="preserve">World Bank. 2020b. </w:t>
      </w:r>
      <w:r w:rsidRPr="00E057C6">
        <w:rPr>
          <w:i/>
          <w:iCs/>
        </w:rPr>
        <w:t>Global Economic Prospects: Slow Growth, Policy Challenges</w:t>
      </w:r>
      <w:r>
        <w:rPr>
          <w:i/>
          <w:iCs/>
        </w:rPr>
        <w:t xml:space="preserve"> (January 2020)</w:t>
      </w:r>
      <w:r>
        <w:t>. Washington, DC: World Bank.</w:t>
      </w:r>
    </w:p>
    <w:p w14:paraId="5652329D" w14:textId="61D5E4F5" w:rsidR="008A64C1" w:rsidRDefault="004F05EE" w:rsidP="00EC4CDE">
      <w:pPr>
        <w:pStyle w:val="References"/>
      </w:pPr>
      <w:r>
        <w:t>WTO (</w:t>
      </w:r>
      <w:r w:rsidR="008A64C1">
        <w:t xml:space="preserve">World Trade Organization). 2011a. </w:t>
      </w:r>
      <w:r w:rsidR="008A64C1" w:rsidRPr="00AC1D38">
        <w:rPr>
          <w:i/>
          <w:iCs/>
        </w:rPr>
        <w:t>World Trade Report 2011: The WTO and Preferential Trade Agreements: From Co-Existence to Coherence</w:t>
      </w:r>
      <w:r w:rsidR="008A64C1">
        <w:t xml:space="preserve">. Geneva, Switzerland: World Trade Organization. </w:t>
      </w:r>
    </w:p>
    <w:p w14:paraId="723C7921" w14:textId="1A460DA0" w:rsidR="002047C0" w:rsidRDefault="008A64C1" w:rsidP="00641447">
      <w:pPr>
        <w:pStyle w:val="References"/>
      </w:pPr>
      <w:r>
        <w:t xml:space="preserve">WTO. 2011b. </w:t>
      </w:r>
      <w:r w:rsidRPr="007F2153">
        <w:rPr>
          <w:i/>
          <w:iCs/>
        </w:rPr>
        <w:t>Trade Patterns and Global Value Chains in East Asia: From Trade in Goods to Trade in Tasks</w:t>
      </w:r>
      <w:r>
        <w:t>. Geneva, Switzerland: World Trade Organization.</w:t>
      </w:r>
      <w:r w:rsidR="002047C0">
        <w:br w:type="page"/>
      </w:r>
    </w:p>
    <w:p w14:paraId="442DE21A" w14:textId="70C42313" w:rsidR="002047C0" w:rsidRDefault="002047C0" w:rsidP="00A36ECE">
      <w:pPr>
        <w:pStyle w:val="Heading1"/>
        <w:numPr>
          <w:ilvl w:val="0"/>
          <w:numId w:val="0"/>
        </w:numPr>
      </w:pPr>
      <w:bookmarkStart w:id="93" w:name="_Toc83849796"/>
      <w:r>
        <w:lastRenderedPageBreak/>
        <w:t>Appendi</w:t>
      </w:r>
      <w:r w:rsidR="002A7CCE">
        <w:t>ces</w:t>
      </w:r>
      <w:bookmarkEnd w:id="93"/>
    </w:p>
    <w:p w14:paraId="121F99E2" w14:textId="70574AF4" w:rsidR="00293E47" w:rsidRDefault="00293E47" w:rsidP="00293E47">
      <w:pPr>
        <w:pStyle w:val="Caption"/>
      </w:pPr>
      <w:bookmarkStart w:id="94" w:name="_Ref80108495"/>
      <w:bookmarkStart w:id="95" w:name="_Toc83849797"/>
      <w:r>
        <w:t>Table A</w:t>
      </w:r>
      <w:fldSimple w:instr=" SEQ Table \* ARABIC ">
        <w:r w:rsidR="00D57A44">
          <w:rPr>
            <w:noProof/>
          </w:rPr>
          <w:t>1</w:t>
        </w:r>
      </w:fldSimple>
      <w:bookmarkEnd w:id="94"/>
      <w:r>
        <w:t xml:space="preserve">: </w:t>
      </w:r>
      <w:r w:rsidR="00E76D4C">
        <w:t xml:space="preserve">Economies in the ADB </w:t>
      </w:r>
      <w:r w:rsidR="008F7608">
        <w:t>Multiregional Input–Output Database</w:t>
      </w:r>
      <w:bookmarkEnd w:id="95"/>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271"/>
        <w:gridCol w:w="3589"/>
        <w:gridCol w:w="3589"/>
      </w:tblGrid>
      <w:tr w:rsidR="00C62002" w:rsidRPr="00B43D5D" w14:paraId="5860DB17" w14:textId="77777777" w:rsidTr="00DE56CF">
        <w:trPr>
          <w:trHeight w:val="422"/>
        </w:trPr>
        <w:tc>
          <w:tcPr>
            <w:tcW w:w="567" w:type="dxa"/>
            <w:tcBorders>
              <w:top w:val="single" w:sz="4" w:space="0" w:color="auto"/>
              <w:bottom w:val="single" w:sz="4" w:space="0" w:color="auto"/>
            </w:tcBorders>
            <w:shd w:val="clear" w:color="auto" w:fill="auto"/>
            <w:vAlign w:val="center"/>
          </w:tcPr>
          <w:p w14:paraId="7F1356DA" w14:textId="6A044566" w:rsidR="00C62002" w:rsidRPr="00B43D5D" w:rsidRDefault="00BD751B" w:rsidP="0093221A">
            <w:pPr>
              <w:spacing w:after="0" w:line="240" w:lineRule="auto"/>
              <w:jc w:val="center"/>
              <w:rPr>
                <w:b/>
                <w:bCs/>
              </w:rPr>
            </w:pPr>
            <w:r w:rsidRPr="00B43D5D">
              <w:rPr>
                <w:b/>
                <w:bCs/>
              </w:rPr>
              <w:t>ID</w:t>
            </w:r>
          </w:p>
        </w:tc>
        <w:tc>
          <w:tcPr>
            <w:tcW w:w="1271" w:type="dxa"/>
            <w:tcBorders>
              <w:top w:val="single" w:sz="4" w:space="0" w:color="auto"/>
              <w:bottom w:val="single" w:sz="4" w:space="0" w:color="auto"/>
            </w:tcBorders>
            <w:shd w:val="clear" w:color="auto" w:fill="auto"/>
            <w:vAlign w:val="center"/>
          </w:tcPr>
          <w:p w14:paraId="23F7D7CB" w14:textId="462F38E1" w:rsidR="00C62002" w:rsidRPr="00B43D5D" w:rsidRDefault="00BD751B" w:rsidP="0093221A">
            <w:pPr>
              <w:spacing w:after="0" w:line="240" w:lineRule="auto"/>
              <w:jc w:val="center"/>
              <w:rPr>
                <w:b/>
                <w:bCs/>
              </w:rPr>
            </w:pPr>
            <w:r w:rsidRPr="00B43D5D">
              <w:rPr>
                <w:rFonts w:ascii="Calibri" w:hAnsi="Calibri"/>
                <w:b/>
                <w:bCs/>
                <w:color w:val="000000"/>
              </w:rPr>
              <w:t>Code</w:t>
            </w:r>
          </w:p>
        </w:tc>
        <w:tc>
          <w:tcPr>
            <w:tcW w:w="3589" w:type="dxa"/>
            <w:tcBorders>
              <w:top w:val="single" w:sz="4" w:space="0" w:color="auto"/>
              <w:bottom w:val="single" w:sz="4" w:space="0" w:color="auto"/>
            </w:tcBorders>
            <w:shd w:val="clear" w:color="auto" w:fill="auto"/>
            <w:vAlign w:val="center"/>
          </w:tcPr>
          <w:p w14:paraId="761E3E1D" w14:textId="56E76D95" w:rsidR="00C62002" w:rsidRPr="00B43D5D" w:rsidRDefault="00BD751B" w:rsidP="0093221A">
            <w:pPr>
              <w:spacing w:after="0" w:line="240" w:lineRule="auto"/>
              <w:rPr>
                <w:b/>
                <w:bCs/>
              </w:rPr>
            </w:pPr>
            <w:r w:rsidRPr="00B43D5D">
              <w:rPr>
                <w:rFonts w:ascii="Calibri" w:hAnsi="Calibri"/>
                <w:b/>
                <w:bCs/>
                <w:color w:val="000000"/>
              </w:rPr>
              <w:t>Name</w:t>
            </w:r>
          </w:p>
        </w:tc>
        <w:tc>
          <w:tcPr>
            <w:tcW w:w="3589" w:type="dxa"/>
            <w:tcBorders>
              <w:top w:val="single" w:sz="4" w:space="0" w:color="auto"/>
              <w:bottom w:val="single" w:sz="4" w:space="0" w:color="auto"/>
            </w:tcBorders>
            <w:shd w:val="clear" w:color="auto" w:fill="auto"/>
            <w:vAlign w:val="center"/>
          </w:tcPr>
          <w:p w14:paraId="0141E7A8" w14:textId="22D96D4C" w:rsidR="00C62002" w:rsidRPr="00B43D5D" w:rsidRDefault="00BD751B" w:rsidP="0093221A">
            <w:pPr>
              <w:spacing w:after="0" w:line="240" w:lineRule="auto"/>
              <w:rPr>
                <w:b/>
                <w:bCs/>
              </w:rPr>
            </w:pPr>
            <w:r w:rsidRPr="00B43D5D">
              <w:rPr>
                <w:rFonts w:ascii="Calibri" w:hAnsi="Calibri"/>
                <w:b/>
                <w:bCs/>
                <w:color w:val="000000"/>
              </w:rPr>
              <w:t>Region</w:t>
            </w:r>
          </w:p>
        </w:tc>
      </w:tr>
      <w:tr w:rsidR="00DE56CF" w14:paraId="43B1C9E0" w14:textId="77777777" w:rsidTr="00DE56CF">
        <w:tc>
          <w:tcPr>
            <w:tcW w:w="567" w:type="dxa"/>
            <w:tcBorders>
              <w:top w:val="single" w:sz="4" w:space="0" w:color="auto"/>
            </w:tcBorders>
            <w:shd w:val="clear" w:color="auto" w:fill="auto"/>
          </w:tcPr>
          <w:p w14:paraId="4B252340" w14:textId="77777777" w:rsidR="00BD751B" w:rsidRDefault="00BD751B" w:rsidP="00844FD6">
            <w:pPr>
              <w:spacing w:after="120" w:line="240" w:lineRule="auto"/>
              <w:jc w:val="center"/>
            </w:pPr>
            <w:r>
              <w:rPr>
                <w:rFonts w:ascii="Calibri" w:hAnsi="Calibri"/>
                <w:color w:val="000000"/>
              </w:rPr>
              <w:t>1</w:t>
            </w:r>
          </w:p>
        </w:tc>
        <w:tc>
          <w:tcPr>
            <w:tcW w:w="1271" w:type="dxa"/>
            <w:tcBorders>
              <w:top w:val="single" w:sz="4" w:space="0" w:color="auto"/>
            </w:tcBorders>
            <w:shd w:val="clear" w:color="auto" w:fill="auto"/>
          </w:tcPr>
          <w:p w14:paraId="6AC63905" w14:textId="77777777" w:rsidR="00BD751B" w:rsidRDefault="00BD751B" w:rsidP="00844FD6">
            <w:pPr>
              <w:spacing w:after="120" w:line="240" w:lineRule="auto"/>
              <w:jc w:val="center"/>
            </w:pPr>
            <w:r>
              <w:rPr>
                <w:rFonts w:ascii="Calibri" w:hAnsi="Calibri"/>
                <w:color w:val="000000"/>
              </w:rPr>
              <w:t>AUS</w:t>
            </w:r>
          </w:p>
        </w:tc>
        <w:tc>
          <w:tcPr>
            <w:tcW w:w="3589" w:type="dxa"/>
            <w:tcBorders>
              <w:top w:val="single" w:sz="4" w:space="0" w:color="auto"/>
            </w:tcBorders>
            <w:shd w:val="clear" w:color="auto" w:fill="auto"/>
          </w:tcPr>
          <w:p w14:paraId="51866ECD" w14:textId="77777777" w:rsidR="00BD751B" w:rsidRDefault="00BD751B" w:rsidP="00844FD6">
            <w:pPr>
              <w:spacing w:after="120" w:line="240" w:lineRule="auto"/>
            </w:pPr>
            <w:r>
              <w:rPr>
                <w:rFonts w:ascii="Calibri" w:hAnsi="Calibri"/>
                <w:color w:val="000000"/>
              </w:rPr>
              <w:t>Australia</w:t>
            </w:r>
          </w:p>
        </w:tc>
        <w:tc>
          <w:tcPr>
            <w:tcW w:w="3589" w:type="dxa"/>
            <w:tcBorders>
              <w:top w:val="single" w:sz="4" w:space="0" w:color="auto"/>
            </w:tcBorders>
            <w:shd w:val="clear" w:color="auto" w:fill="auto"/>
          </w:tcPr>
          <w:p w14:paraId="2D557D39" w14:textId="77777777" w:rsidR="00BD751B" w:rsidRDefault="00BD751B" w:rsidP="00844FD6">
            <w:pPr>
              <w:spacing w:after="120" w:line="240" w:lineRule="auto"/>
            </w:pPr>
            <w:r>
              <w:rPr>
                <w:rFonts w:ascii="Calibri" w:hAnsi="Calibri"/>
                <w:color w:val="000000"/>
              </w:rPr>
              <w:t>East Asia and Pacific</w:t>
            </w:r>
          </w:p>
        </w:tc>
      </w:tr>
      <w:tr w:rsidR="00C62002" w14:paraId="647A1FEB" w14:textId="77777777" w:rsidTr="00DE56CF">
        <w:tc>
          <w:tcPr>
            <w:tcW w:w="567" w:type="dxa"/>
            <w:shd w:val="clear" w:color="auto" w:fill="auto"/>
          </w:tcPr>
          <w:p w14:paraId="16C1F101" w14:textId="7E10154C" w:rsidR="00C62002" w:rsidRDefault="00C62002" w:rsidP="00844FD6">
            <w:pPr>
              <w:spacing w:after="120" w:line="240" w:lineRule="auto"/>
              <w:jc w:val="center"/>
            </w:pPr>
            <w:r>
              <w:rPr>
                <w:rFonts w:ascii="Calibri" w:hAnsi="Calibri"/>
                <w:color w:val="000000"/>
              </w:rPr>
              <w:t>2</w:t>
            </w:r>
          </w:p>
        </w:tc>
        <w:tc>
          <w:tcPr>
            <w:tcW w:w="1271" w:type="dxa"/>
            <w:shd w:val="clear" w:color="auto" w:fill="auto"/>
          </w:tcPr>
          <w:p w14:paraId="294764AB" w14:textId="4A0E0077" w:rsidR="00C62002" w:rsidRDefault="00C62002" w:rsidP="00844FD6">
            <w:pPr>
              <w:spacing w:after="120" w:line="240" w:lineRule="auto"/>
              <w:jc w:val="center"/>
            </w:pPr>
            <w:r>
              <w:rPr>
                <w:rFonts w:ascii="Calibri" w:hAnsi="Calibri"/>
                <w:color w:val="000000"/>
              </w:rPr>
              <w:t>AUT</w:t>
            </w:r>
          </w:p>
        </w:tc>
        <w:tc>
          <w:tcPr>
            <w:tcW w:w="3589" w:type="dxa"/>
            <w:shd w:val="clear" w:color="auto" w:fill="auto"/>
          </w:tcPr>
          <w:p w14:paraId="32EDBB87" w14:textId="1634B8D0" w:rsidR="00C62002" w:rsidRDefault="00C62002" w:rsidP="00844FD6">
            <w:pPr>
              <w:spacing w:after="120" w:line="240" w:lineRule="auto"/>
            </w:pPr>
            <w:r>
              <w:rPr>
                <w:rFonts w:ascii="Calibri" w:hAnsi="Calibri"/>
                <w:color w:val="000000"/>
              </w:rPr>
              <w:t>Austria</w:t>
            </w:r>
          </w:p>
        </w:tc>
        <w:tc>
          <w:tcPr>
            <w:tcW w:w="3589" w:type="dxa"/>
            <w:shd w:val="clear" w:color="auto" w:fill="auto"/>
          </w:tcPr>
          <w:p w14:paraId="654007DA" w14:textId="7FA2C665" w:rsidR="00C62002" w:rsidRDefault="00C62002" w:rsidP="00844FD6">
            <w:pPr>
              <w:spacing w:after="120" w:line="240" w:lineRule="auto"/>
            </w:pPr>
            <w:r>
              <w:rPr>
                <w:rFonts w:ascii="Calibri" w:hAnsi="Calibri"/>
                <w:color w:val="000000"/>
              </w:rPr>
              <w:t>Europe and Central Asia</w:t>
            </w:r>
          </w:p>
        </w:tc>
      </w:tr>
      <w:tr w:rsidR="00C62002" w14:paraId="29F0D181" w14:textId="77777777" w:rsidTr="00DE56CF">
        <w:tc>
          <w:tcPr>
            <w:tcW w:w="567" w:type="dxa"/>
            <w:shd w:val="clear" w:color="auto" w:fill="auto"/>
          </w:tcPr>
          <w:p w14:paraId="3C275F86" w14:textId="22A211CC" w:rsidR="00C62002" w:rsidRDefault="00C62002" w:rsidP="00844FD6">
            <w:pPr>
              <w:spacing w:after="120" w:line="240" w:lineRule="auto"/>
              <w:jc w:val="center"/>
            </w:pPr>
            <w:r>
              <w:rPr>
                <w:rFonts w:ascii="Calibri" w:hAnsi="Calibri"/>
                <w:color w:val="000000"/>
              </w:rPr>
              <w:t>3</w:t>
            </w:r>
          </w:p>
        </w:tc>
        <w:tc>
          <w:tcPr>
            <w:tcW w:w="1271" w:type="dxa"/>
            <w:shd w:val="clear" w:color="auto" w:fill="auto"/>
          </w:tcPr>
          <w:p w14:paraId="4D8879C3" w14:textId="3E917163" w:rsidR="00C62002" w:rsidRDefault="00C62002" w:rsidP="00844FD6">
            <w:pPr>
              <w:spacing w:after="120" w:line="240" w:lineRule="auto"/>
              <w:jc w:val="center"/>
            </w:pPr>
            <w:r>
              <w:rPr>
                <w:rFonts w:ascii="Calibri" w:hAnsi="Calibri"/>
                <w:color w:val="000000"/>
              </w:rPr>
              <w:t>BEL</w:t>
            </w:r>
          </w:p>
        </w:tc>
        <w:tc>
          <w:tcPr>
            <w:tcW w:w="3589" w:type="dxa"/>
            <w:shd w:val="clear" w:color="auto" w:fill="auto"/>
          </w:tcPr>
          <w:p w14:paraId="07B3FEC4" w14:textId="6CB7B83B" w:rsidR="00C62002" w:rsidRDefault="00C62002" w:rsidP="00844FD6">
            <w:pPr>
              <w:spacing w:after="120" w:line="240" w:lineRule="auto"/>
            </w:pPr>
            <w:r>
              <w:rPr>
                <w:rFonts w:ascii="Calibri" w:hAnsi="Calibri"/>
                <w:color w:val="000000"/>
              </w:rPr>
              <w:t>Belgium</w:t>
            </w:r>
          </w:p>
        </w:tc>
        <w:tc>
          <w:tcPr>
            <w:tcW w:w="3589" w:type="dxa"/>
            <w:shd w:val="clear" w:color="auto" w:fill="auto"/>
          </w:tcPr>
          <w:p w14:paraId="1F415F46" w14:textId="5F23A465" w:rsidR="00C62002" w:rsidRDefault="00C62002" w:rsidP="00844FD6">
            <w:pPr>
              <w:spacing w:after="120" w:line="240" w:lineRule="auto"/>
            </w:pPr>
            <w:r>
              <w:rPr>
                <w:rFonts w:ascii="Calibri" w:hAnsi="Calibri"/>
                <w:color w:val="000000"/>
              </w:rPr>
              <w:t>Europe and Central Asia</w:t>
            </w:r>
          </w:p>
        </w:tc>
      </w:tr>
      <w:tr w:rsidR="00C62002" w14:paraId="5ACA1EFB" w14:textId="77777777" w:rsidTr="00DE56CF">
        <w:tc>
          <w:tcPr>
            <w:tcW w:w="567" w:type="dxa"/>
            <w:shd w:val="clear" w:color="auto" w:fill="auto"/>
          </w:tcPr>
          <w:p w14:paraId="16A209DF" w14:textId="7566A55C" w:rsidR="00C62002" w:rsidRDefault="00C62002" w:rsidP="00844FD6">
            <w:pPr>
              <w:spacing w:after="120" w:line="240" w:lineRule="auto"/>
              <w:jc w:val="center"/>
            </w:pPr>
            <w:r>
              <w:rPr>
                <w:rFonts w:ascii="Calibri" w:hAnsi="Calibri"/>
                <w:color w:val="000000"/>
              </w:rPr>
              <w:t>4</w:t>
            </w:r>
          </w:p>
        </w:tc>
        <w:tc>
          <w:tcPr>
            <w:tcW w:w="1271" w:type="dxa"/>
            <w:shd w:val="clear" w:color="auto" w:fill="auto"/>
          </w:tcPr>
          <w:p w14:paraId="616178D7" w14:textId="7DE29F1F" w:rsidR="00C62002" w:rsidRDefault="00C62002" w:rsidP="00844FD6">
            <w:pPr>
              <w:spacing w:after="120" w:line="240" w:lineRule="auto"/>
              <w:jc w:val="center"/>
            </w:pPr>
            <w:r>
              <w:rPr>
                <w:rFonts w:ascii="Calibri" w:hAnsi="Calibri"/>
                <w:color w:val="000000"/>
              </w:rPr>
              <w:t>BGR</w:t>
            </w:r>
          </w:p>
        </w:tc>
        <w:tc>
          <w:tcPr>
            <w:tcW w:w="3589" w:type="dxa"/>
            <w:shd w:val="clear" w:color="auto" w:fill="auto"/>
          </w:tcPr>
          <w:p w14:paraId="7365BF39" w14:textId="79FF6D42" w:rsidR="00C62002" w:rsidRDefault="00C62002" w:rsidP="00844FD6">
            <w:pPr>
              <w:spacing w:after="120" w:line="240" w:lineRule="auto"/>
            </w:pPr>
            <w:r>
              <w:rPr>
                <w:rFonts w:ascii="Calibri" w:hAnsi="Calibri"/>
                <w:color w:val="000000"/>
              </w:rPr>
              <w:t>Bulgaria</w:t>
            </w:r>
          </w:p>
        </w:tc>
        <w:tc>
          <w:tcPr>
            <w:tcW w:w="3589" w:type="dxa"/>
            <w:shd w:val="clear" w:color="auto" w:fill="auto"/>
          </w:tcPr>
          <w:p w14:paraId="2165D5DC" w14:textId="570F66B3" w:rsidR="00C62002" w:rsidRDefault="00C62002" w:rsidP="00844FD6">
            <w:pPr>
              <w:spacing w:after="120" w:line="240" w:lineRule="auto"/>
            </w:pPr>
            <w:r>
              <w:rPr>
                <w:rFonts w:ascii="Calibri" w:hAnsi="Calibri"/>
                <w:color w:val="000000"/>
              </w:rPr>
              <w:t>Europe and Central Asia</w:t>
            </w:r>
          </w:p>
        </w:tc>
      </w:tr>
      <w:tr w:rsidR="00C62002" w14:paraId="41E9283B" w14:textId="77777777" w:rsidTr="00DE56CF">
        <w:tc>
          <w:tcPr>
            <w:tcW w:w="567" w:type="dxa"/>
            <w:shd w:val="clear" w:color="auto" w:fill="auto"/>
          </w:tcPr>
          <w:p w14:paraId="171356A8" w14:textId="04E3C642" w:rsidR="00C62002" w:rsidRDefault="00C62002" w:rsidP="00844FD6">
            <w:pPr>
              <w:spacing w:after="120" w:line="240" w:lineRule="auto"/>
              <w:jc w:val="center"/>
            </w:pPr>
            <w:r>
              <w:rPr>
                <w:rFonts w:ascii="Calibri" w:hAnsi="Calibri"/>
                <w:color w:val="000000"/>
              </w:rPr>
              <w:t>5</w:t>
            </w:r>
          </w:p>
        </w:tc>
        <w:tc>
          <w:tcPr>
            <w:tcW w:w="1271" w:type="dxa"/>
            <w:shd w:val="clear" w:color="auto" w:fill="auto"/>
          </w:tcPr>
          <w:p w14:paraId="5BF02BD8" w14:textId="313994AA" w:rsidR="00C62002" w:rsidRDefault="00C62002" w:rsidP="00844FD6">
            <w:pPr>
              <w:spacing w:after="120" w:line="240" w:lineRule="auto"/>
              <w:jc w:val="center"/>
            </w:pPr>
            <w:r>
              <w:rPr>
                <w:rFonts w:ascii="Calibri" w:hAnsi="Calibri"/>
                <w:color w:val="000000"/>
              </w:rPr>
              <w:t>BRA</w:t>
            </w:r>
          </w:p>
        </w:tc>
        <w:tc>
          <w:tcPr>
            <w:tcW w:w="3589" w:type="dxa"/>
            <w:shd w:val="clear" w:color="auto" w:fill="auto"/>
          </w:tcPr>
          <w:p w14:paraId="27CEDBE1" w14:textId="09090A90" w:rsidR="00C62002" w:rsidRDefault="00C62002" w:rsidP="00844FD6">
            <w:pPr>
              <w:spacing w:after="120" w:line="240" w:lineRule="auto"/>
            </w:pPr>
            <w:r>
              <w:rPr>
                <w:rFonts w:ascii="Calibri" w:hAnsi="Calibri"/>
                <w:color w:val="000000"/>
              </w:rPr>
              <w:t>Brazil</w:t>
            </w:r>
          </w:p>
        </w:tc>
        <w:tc>
          <w:tcPr>
            <w:tcW w:w="3589" w:type="dxa"/>
            <w:shd w:val="clear" w:color="auto" w:fill="auto"/>
          </w:tcPr>
          <w:p w14:paraId="45D61B7B" w14:textId="3AE6F0C2" w:rsidR="00C62002" w:rsidRDefault="00C62002" w:rsidP="00844FD6">
            <w:pPr>
              <w:spacing w:after="120" w:line="240" w:lineRule="auto"/>
            </w:pPr>
            <w:r>
              <w:rPr>
                <w:rFonts w:ascii="Calibri" w:hAnsi="Calibri"/>
                <w:color w:val="000000"/>
              </w:rPr>
              <w:t>Latin America and the Caribbean</w:t>
            </w:r>
          </w:p>
        </w:tc>
      </w:tr>
      <w:tr w:rsidR="00C62002" w14:paraId="23956C33" w14:textId="77777777" w:rsidTr="00DE56CF">
        <w:tc>
          <w:tcPr>
            <w:tcW w:w="567" w:type="dxa"/>
            <w:shd w:val="clear" w:color="auto" w:fill="auto"/>
          </w:tcPr>
          <w:p w14:paraId="28B94483" w14:textId="08B869AD" w:rsidR="00C62002" w:rsidRDefault="00C62002" w:rsidP="00844FD6">
            <w:pPr>
              <w:spacing w:after="120" w:line="240" w:lineRule="auto"/>
              <w:jc w:val="center"/>
            </w:pPr>
            <w:r>
              <w:rPr>
                <w:rFonts w:ascii="Calibri" w:hAnsi="Calibri"/>
                <w:color w:val="000000"/>
              </w:rPr>
              <w:t>6</w:t>
            </w:r>
          </w:p>
        </w:tc>
        <w:tc>
          <w:tcPr>
            <w:tcW w:w="1271" w:type="dxa"/>
            <w:shd w:val="clear" w:color="auto" w:fill="auto"/>
          </w:tcPr>
          <w:p w14:paraId="668630B3" w14:textId="25BAC746" w:rsidR="00C62002" w:rsidRDefault="00C62002" w:rsidP="00844FD6">
            <w:pPr>
              <w:spacing w:after="120" w:line="240" w:lineRule="auto"/>
              <w:jc w:val="center"/>
            </w:pPr>
            <w:r>
              <w:rPr>
                <w:rFonts w:ascii="Calibri" w:hAnsi="Calibri"/>
                <w:color w:val="000000"/>
              </w:rPr>
              <w:t>CAN</w:t>
            </w:r>
          </w:p>
        </w:tc>
        <w:tc>
          <w:tcPr>
            <w:tcW w:w="3589" w:type="dxa"/>
            <w:shd w:val="clear" w:color="auto" w:fill="auto"/>
          </w:tcPr>
          <w:p w14:paraId="45073E6F" w14:textId="097B8F77" w:rsidR="00C62002" w:rsidRDefault="00C62002" w:rsidP="00844FD6">
            <w:pPr>
              <w:spacing w:after="120" w:line="240" w:lineRule="auto"/>
            </w:pPr>
            <w:r>
              <w:rPr>
                <w:rFonts w:ascii="Calibri" w:hAnsi="Calibri"/>
                <w:color w:val="000000"/>
              </w:rPr>
              <w:t>Canada</w:t>
            </w:r>
          </w:p>
        </w:tc>
        <w:tc>
          <w:tcPr>
            <w:tcW w:w="3589" w:type="dxa"/>
            <w:shd w:val="clear" w:color="auto" w:fill="auto"/>
          </w:tcPr>
          <w:p w14:paraId="41F30862" w14:textId="643B8332" w:rsidR="00C62002" w:rsidRDefault="00C62002" w:rsidP="00844FD6">
            <w:pPr>
              <w:spacing w:after="120" w:line="240" w:lineRule="auto"/>
            </w:pPr>
            <w:r>
              <w:rPr>
                <w:rFonts w:ascii="Calibri" w:hAnsi="Calibri"/>
                <w:color w:val="000000"/>
              </w:rPr>
              <w:t>North America</w:t>
            </w:r>
          </w:p>
        </w:tc>
      </w:tr>
      <w:tr w:rsidR="00C62002" w14:paraId="0DDCAB2C" w14:textId="77777777" w:rsidTr="00DE56CF">
        <w:tc>
          <w:tcPr>
            <w:tcW w:w="567" w:type="dxa"/>
            <w:shd w:val="clear" w:color="auto" w:fill="auto"/>
          </w:tcPr>
          <w:p w14:paraId="366496C7" w14:textId="5A25137E" w:rsidR="00C62002" w:rsidRDefault="00C62002" w:rsidP="00844FD6">
            <w:pPr>
              <w:spacing w:after="120" w:line="240" w:lineRule="auto"/>
              <w:jc w:val="center"/>
            </w:pPr>
            <w:r>
              <w:rPr>
                <w:rFonts w:ascii="Calibri" w:hAnsi="Calibri"/>
                <w:color w:val="000000"/>
              </w:rPr>
              <w:t>7</w:t>
            </w:r>
          </w:p>
        </w:tc>
        <w:tc>
          <w:tcPr>
            <w:tcW w:w="1271" w:type="dxa"/>
            <w:shd w:val="clear" w:color="auto" w:fill="auto"/>
          </w:tcPr>
          <w:p w14:paraId="4BF91740" w14:textId="5B69AC0D" w:rsidR="00C62002" w:rsidRDefault="00C62002" w:rsidP="00844FD6">
            <w:pPr>
              <w:spacing w:after="120" w:line="240" w:lineRule="auto"/>
              <w:jc w:val="center"/>
            </w:pPr>
            <w:r>
              <w:rPr>
                <w:rFonts w:ascii="Calibri" w:hAnsi="Calibri"/>
                <w:color w:val="000000"/>
              </w:rPr>
              <w:t>SWI</w:t>
            </w:r>
          </w:p>
        </w:tc>
        <w:tc>
          <w:tcPr>
            <w:tcW w:w="3589" w:type="dxa"/>
            <w:shd w:val="clear" w:color="auto" w:fill="auto"/>
          </w:tcPr>
          <w:p w14:paraId="2DFDCC9D" w14:textId="7FFA6269" w:rsidR="00C62002" w:rsidRDefault="00C62002" w:rsidP="00844FD6">
            <w:pPr>
              <w:spacing w:after="120" w:line="240" w:lineRule="auto"/>
            </w:pPr>
            <w:r>
              <w:rPr>
                <w:rFonts w:ascii="Calibri" w:hAnsi="Calibri"/>
                <w:color w:val="000000"/>
              </w:rPr>
              <w:t>Switzerland</w:t>
            </w:r>
          </w:p>
        </w:tc>
        <w:tc>
          <w:tcPr>
            <w:tcW w:w="3589" w:type="dxa"/>
            <w:shd w:val="clear" w:color="auto" w:fill="auto"/>
          </w:tcPr>
          <w:p w14:paraId="7C9F7F1E" w14:textId="439E415E" w:rsidR="00C62002" w:rsidRDefault="00C62002" w:rsidP="00844FD6">
            <w:pPr>
              <w:spacing w:after="120" w:line="240" w:lineRule="auto"/>
            </w:pPr>
            <w:r>
              <w:rPr>
                <w:rFonts w:ascii="Calibri" w:hAnsi="Calibri"/>
                <w:color w:val="000000"/>
              </w:rPr>
              <w:t>Europe and Central Asia</w:t>
            </w:r>
          </w:p>
        </w:tc>
      </w:tr>
      <w:tr w:rsidR="00C62002" w14:paraId="39AABEC1" w14:textId="77777777" w:rsidTr="00DE56CF">
        <w:tc>
          <w:tcPr>
            <w:tcW w:w="567" w:type="dxa"/>
            <w:shd w:val="clear" w:color="auto" w:fill="auto"/>
          </w:tcPr>
          <w:p w14:paraId="659F6177" w14:textId="293E8A4B" w:rsidR="00C62002" w:rsidRDefault="00C62002" w:rsidP="00844FD6">
            <w:pPr>
              <w:spacing w:after="120" w:line="240" w:lineRule="auto"/>
              <w:jc w:val="center"/>
            </w:pPr>
            <w:r>
              <w:rPr>
                <w:rFonts w:ascii="Calibri" w:hAnsi="Calibri"/>
                <w:color w:val="000000"/>
              </w:rPr>
              <w:t>8</w:t>
            </w:r>
          </w:p>
        </w:tc>
        <w:tc>
          <w:tcPr>
            <w:tcW w:w="1271" w:type="dxa"/>
            <w:shd w:val="clear" w:color="auto" w:fill="auto"/>
          </w:tcPr>
          <w:p w14:paraId="2E6B120F" w14:textId="5F4C1C3C" w:rsidR="00C62002" w:rsidRDefault="00C62002" w:rsidP="00844FD6">
            <w:pPr>
              <w:spacing w:after="120" w:line="240" w:lineRule="auto"/>
              <w:jc w:val="center"/>
            </w:pPr>
            <w:r>
              <w:rPr>
                <w:rFonts w:ascii="Calibri" w:hAnsi="Calibri"/>
                <w:color w:val="000000"/>
              </w:rPr>
              <w:t>PRC</w:t>
            </w:r>
          </w:p>
        </w:tc>
        <w:tc>
          <w:tcPr>
            <w:tcW w:w="3589" w:type="dxa"/>
            <w:shd w:val="clear" w:color="auto" w:fill="auto"/>
          </w:tcPr>
          <w:p w14:paraId="5CA09EA4" w14:textId="05E42475" w:rsidR="00C62002" w:rsidRDefault="00C62002" w:rsidP="00844FD6">
            <w:pPr>
              <w:spacing w:after="120" w:line="240" w:lineRule="auto"/>
            </w:pPr>
            <w:r>
              <w:rPr>
                <w:rFonts w:ascii="Calibri" w:hAnsi="Calibri"/>
                <w:color w:val="000000"/>
              </w:rPr>
              <w:t>People's Republic of China</w:t>
            </w:r>
          </w:p>
        </w:tc>
        <w:tc>
          <w:tcPr>
            <w:tcW w:w="3589" w:type="dxa"/>
            <w:shd w:val="clear" w:color="auto" w:fill="auto"/>
          </w:tcPr>
          <w:p w14:paraId="18F2E793" w14:textId="1C575D3F" w:rsidR="00C62002" w:rsidRDefault="00C62002" w:rsidP="00844FD6">
            <w:pPr>
              <w:spacing w:after="120" w:line="240" w:lineRule="auto"/>
            </w:pPr>
            <w:r>
              <w:rPr>
                <w:rFonts w:ascii="Calibri" w:hAnsi="Calibri"/>
                <w:color w:val="000000"/>
              </w:rPr>
              <w:t>East Asia and Pacific</w:t>
            </w:r>
          </w:p>
        </w:tc>
      </w:tr>
      <w:tr w:rsidR="00DE56CF" w14:paraId="7B26C869" w14:textId="77777777" w:rsidTr="00DE56CF">
        <w:tc>
          <w:tcPr>
            <w:tcW w:w="567" w:type="dxa"/>
            <w:shd w:val="clear" w:color="auto" w:fill="auto"/>
          </w:tcPr>
          <w:p w14:paraId="0F962C1B" w14:textId="5EA0EAF7" w:rsidR="00C62002" w:rsidRDefault="00C62002" w:rsidP="00844FD6">
            <w:pPr>
              <w:spacing w:after="120" w:line="240" w:lineRule="auto"/>
              <w:jc w:val="center"/>
            </w:pPr>
            <w:r>
              <w:rPr>
                <w:rFonts w:ascii="Calibri" w:hAnsi="Calibri"/>
                <w:color w:val="000000"/>
              </w:rPr>
              <w:t>9</w:t>
            </w:r>
          </w:p>
        </w:tc>
        <w:tc>
          <w:tcPr>
            <w:tcW w:w="1271" w:type="dxa"/>
            <w:shd w:val="clear" w:color="auto" w:fill="auto"/>
          </w:tcPr>
          <w:p w14:paraId="0F26C5C7" w14:textId="5E62DE98" w:rsidR="00C62002" w:rsidRDefault="00C62002" w:rsidP="00844FD6">
            <w:pPr>
              <w:spacing w:after="120" w:line="240" w:lineRule="auto"/>
              <w:jc w:val="center"/>
            </w:pPr>
            <w:r>
              <w:rPr>
                <w:rFonts w:ascii="Calibri" w:hAnsi="Calibri"/>
                <w:color w:val="000000"/>
              </w:rPr>
              <w:t>CYP</w:t>
            </w:r>
          </w:p>
        </w:tc>
        <w:tc>
          <w:tcPr>
            <w:tcW w:w="3589" w:type="dxa"/>
            <w:shd w:val="clear" w:color="auto" w:fill="auto"/>
          </w:tcPr>
          <w:p w14:paraId="5D7E1F16" w14:textId="12025765" w:rsidR="00C62002" w:rsidRDefault="00C62002" w:rsidP="00844FD6">
            <w:pPr>
              <w:spacing w:after="120" w:line="240" w:lineRule="auto"/>
            </w:pPr>
            <w:r>
              <w:rPr>
                <w:rFonts w:ascii="Calibri" w:hAnsi="Calibri"/>
                <w:color w:val="000000"/>
              </w:rPr>
              <w:t>Cyprus</w:t>
            </w:r>
          </w:p>
        </w:tc>
        <w:tc>
          <w:tcPr>
            <w:tcW w:w="3589" w:type="dxa"/>
            <w:shd w:val="clear" w:color="auto" w:fill="auto"/>
          </w:tcPr>
          <w:p w14:paraId="4A7B66E2" w14:textId="7EDF7FED" w:rsidR="00C62002" w:rsidRDefault="00C62002" w:rsidP="00844FD6">
            <w:pPr>
              <w:spacing w:after="120" w:line="240" w:lineRule="auto"/>
            </w:pPr>
            <w:r>
              <w:rPr>
                <w:rFonts w:ascii="Calibri" w:hAnsi="Calibri"/>
                <w:color w:val="000000"/>
              </w:rPr>
              <w:t>Europe and Central Asia</w:t>
            </w:r>
          </w:p>
        </w:tc>
      </w:tr>
      <w:tr w:rsidR="00DE56CF" w14:paraId="6CE7213B" w14:textId="77777777" w:rsidTr="00DE56CF">
        <w:tc>
          <w:tcPr>
            <w:tcW w:w="567" w:type="dxa"/>
            <w:shd w:val="clear" w:color="auto" w:fill="auto"/>
          </w:tcPr>
          <w:p w14:paraId="19E35BF5" w14:textId="5F3B96D0" w:rsidR="00C62002" w:rsidRDefault="00C62002" w:rsidP="00844FD6">
            <w:pPr>
              <w:spacing w:after="120" w:line="240" w:lineRule="auto"/>
              <w:jc w:val="center"/>
            </w:pPr>
            <w:r>
              <w:rPr>
                <w:rFonts w:ascii="Calibri" w:hAnsi="Calibri"/>
                <w:color w:val="000000"/>
              </w:rPr>
              <w:t>10</w:t>
            </w:r>
          </w:p>
        </w:tc>
        <w:tc>
          <w:tcPr>
            <w:tcW w:w="1271" w:type="dxa"/>
            <w:shd w:val="clear" w:color="auto" w:fill="auto"/>
          </w:tcPr>
          <w:p w14:paraId="424B8A90" w14:textId="0C15A32D" w:rsidR="00C62002" w:rsidRDefault="00C62002" w:rsidP="00844FD6">
            <w:pPr>
              <w:spacing w:after="120" w:line="240" w:lineRule="auto"/>
              <w:jc w:val="center"/>
            </w:pPr>
            <w:r>
              <w:rPr>
                <w:rFonts w:ascii="Calibri" w:hAnsi="Calibri"/>
                <w:color w:val="000000"/>
              </w:rPr>
              <w:t>CZE</w:t>
            </w:r>
          </w:p>
        </w:tc>
        <w:tc>
          <w:tcPr>
            <w:tcW w:w="3589" w:type="dxa"/>
            <w:shd w:val="clear" w:color="auto" w:fill="auto"/>
          </w:tcPr>
          <w:p w14:paraId="670F97DE" w14:textId="3521A142" w:rsidR="00C62002" w:rsidRDefault="00C62002" w:rsidP="00844FD6">
            <w:pPr>
              <w:spacing w:after="120" w:line="240" w:lineRule="auto"/>
            </w:pPr>
            <w:r>
              <w:rPr>
                <w:rFonts w:ascii="Calibri" w:hAnsi="Calibri"/>
                <w:color w:val="000000"/>
              </w:rPr>
              <w:t>Czech Republic</w:t>
            </w:r>
          </w:p>
        </w:tc>
        <w:tc>
          <w:tcPr>
            <w:tcW w:w="3589" w:type="dxa"/>
            <w:shd w:val="clear" w:color="auto" w:fill="auto"/>
          </w:tcPr>
          <w:p w14:paraId="5C420C85" w14:textId="66342562" w:rsidR="00C62002" w:rsidRDefault="00C62002" w:rsidP="00844FD6">
            <w:pPr>
              <w:spacing w:after="120" w:line="240" w:lineRule="auto"/>
            </w:pPr>
            <w:r>
              <w:rPr>
                <w:rFonts w:ascii="Calibri" w:hAnsi="Calibri"/>
                <w:color w:val="000000"/>
              </w:rPr>
              <w:t>Europe and Central Asia</w:t>
            </w:r>
          </w:p>
        </w:tc>
      </w:tr>
      <w:tr w:rsidR="00DE56CF" w14:paraId="131736A7" w14:textId="77777777" w:rsidTr="00DE56CF">
        <w:tc>
          <w:tcPr>
            <w:tcW w:w="567" w:type="dxa"/>
            <w:shd w:val="clear" w:color="auto" w:fill="auto"/>
          </w:tcPr>
          <w:p w14:paraId="79F2C93E" w14:textId="798B1A95" w:rsidR="00C62002" w:rsidRDefault="00C62002" w:rsidP="00844FD6">
            <w:pPr>
              <w:spacing w:after="120" w:line="240" w:lineRule="auto"/>
              <w:jc w:val="center"/>
            </w:pPr>
            <w:r>
              <w:rPr>
                <w:rFonts w:ascii="Calibri" w:hAnsi="Calibri"/>
                <w:color w:val="000000"/>
              </w:rPr>
              <w:t>11</w:t>
            </w:r>
          </w:p>
        </w:tc>
        <w:tc>
          <w:tcPr>
            <w:tcW w:w="1271" w:type="dxa"/>
            <w:shd w:val="clear" w:color="auto" w:fill="auto"/>
          </w:tcPr>
          <w:p w14:paraId="721F569E" w14:textId="6887BB3D" w:rsidR="00C62002" w:rsidRDefault="00C62002" w:rsidP="00844FD6">
            <w:pPr>
              <w:spacing w:after="120" w:line="240" w:lineRule="auto"/>
              <w:jc w:val="center"/>
            </w:pPr>
            <w:r>
              <w:rPr>
                <w:rFonts w:ascii="Calibri" w:hAnsi="Calibri"/>
                <w:color w:val="000000"/>
              </w:rPr>
              <w:t>GER</w:t>
            </w:r>
          </w:p>
        </w:tc>
        <w:tc>
          <w:tcPr>
            <w:tcW w:w="3589" w:type="dxa"/>
            <w:shd w:val="clear" w:color="auto" w:fill="auto"/>
          </w:tcPr>
          <w:p w14:paraId="374AD86C" w14:textId="3A270FC4" w:rsidR="00C62002" w:rsidRDefault="00C62002" w:rsidP="00844FD6">
            <w:pPr>
              <w:spacing w:after="120" w:line="240" w:lineRule="auto"/>
            </w:pPr>
            <w:r>
              <w:rPr>
                <w:rFonts w:ascii="Calibri" w:hAnsi="Calibri"/>
                <w:color w:val="000000"/>
              </w:rPr>
              <w:t>Germany</w:t>
            </w:r>
          </w:p>
        </w:tc>
        <w:tc>
          <w:tcPr>
            <w:tcW w:w="3589" w:type="dxa"/>
            <w:shd w:val="clear" w:color="auto" w:fill="auto"/>
          </w:tcPr>
          <w:p w14:paraId="4D5D65CD" w14:textId="0794AEAB" w:rsidR="00C62002" w:rsidRDefault="00C62002" w:rsidP="00844FD6">
            <w:pPr>
              <w:spacing w:after="120" w:line="240" w:lineRule="auto"/>
            </w:pPr>
            <w:r>
              <w:rPr>
                <w:rFonts w:ascii="Calibri" w:hAnsi="Calibri"/>
                <w:color w:val="000000"/>
              </w:rPr>
              <w:t>Europe and Central Asia</w:t>
            </w:r>
          </w:p>
        </w:tc>
      </w:tr>
      <w:tr w:rsidR="00DE56CF" w14:paraId="6434BAD3" w14:textId="77777777" w:rsidTr="00DE56CF">
        <w:tc>
          <w:tcPr>
            <w:tcW w:w="567" w:type="dxa"/>
            <w:shd w:val="clear" w:color="auto" w:fill="auto"/>
          </w:tcPr>
          <w:p w14:paraId="7C985B96" w14:textId="6DFD8F24" w:rsidR="00C62002" w:rsidRDefault="00C62002" w:rsidP="00844FD6">
            <w:pPr>
              <w:spacing w:after="120" w:line="240" w:lineRule="auto"/>
              <w:jc w:val="center"/>
            </w:pPr>
            <w:r>
              <w:rPr>
                <w:rFonts w:ascii="Calibri" w:hAnsi="Calibri"/>
                <w:color w:val="000000"/>
              </w:rPr>
              <w:t>12</w:t>
            </w:r>
          </w:p>
        </w:tc>
        <w:tc>
          <w:tcPr>
            <w:tcW w:w="1271" w:type="dxa"/>
            <w:shd w:val="clear" w:color="auto" w:fill="auto"/>
          </w:tcPr>
          <w:p w14:paraId="7BFE8F29" w14:textId="33693AAF" w:rsidR="00C62002" w:rsidRDefault="00C62002" w:rsidP="00844FD6">
            <w:pPr>
              <w:spacing w:after="120" w:line="240" w:lineRule="auto"/>
              <w:jc w:val="center"/>
            </w:pPr>
            <w:r>
              <w:rPr>
                <w:rFonts w:ascii="Calibri" w:hAnsi="Calibri"/>
                <w:color w:val="000000"/>
              </w:rPr>
              <w:t>DEN</w:t>
            </w:r>
          </w:p>
        </w:tc>
        <w:tc>
          <w:tcPr>
            <w:tcW w:w="3589" w:type="dxa"/>
            <w:shd w:val="clear" w:color="auto" w:fill="auto"/>
          </w:tcPr>
          <w:p w14:paraId="6FC719E4" w14:textId="66FD26E9" w:rsidR="00C62002" w:rsidRDefault="00C62002" w:rsidP="00844FD6">
            <w:pPr>
              <w:spacing w:after="120" w:line="240" w:lineRule="auto"/>
            </w:pPr>
            <w:r>
              <w:rPr>
                <w:rFonts w:ascii="Calibri" w:hAnsi="Calibri"/>
                <w:color w:val="000000"/>
              </w:rPr>
              <w:t>Denmark</w:t>
            </w:r>
          </w:p>
        </w:tc>
        <w:tc>
          <w:tcPr>
            <w:tcW w:w="3589" w:type="dxa"/>
            <w:shd w:val="clear" w:color="auto" w:fill="auto"/>
          </w:tcPr>
          <w:p w14:paraId="443945BA" w14:textId="18CAA299" w:rsidR="00C62002" w:rsidRDefault="00C62002" w:rsidP="00844FD6">
            <w:pPr>
              <w:spacing w:after="120" w:line="240" w:lineRule="auto"/>
            </w:pPr>
            <w:r>
              <w:rPr>
                <w:rFonts w:ascii="Calibri" w:hAnsi="Calibri"/>
                <w:color w:val="000000"/>
              </w:rPr>
              <w:t>Europe and Central Asia</w:t>
            </w:r>
          </w:p>
        </w:tc>
      </w:tr>
      <w:tr w:rsidR="00DE56CF" w14:paraId="502817AC" w14:textId="77777777" w:rsidTr="00DE56CF">
        <w:tc>
          <w:tcPr>
            <w:tcW w:w="567" w:type="dxa"/>
            <w:shd w:val="clear" w:color="auto" w:fill="auto"/>
          </w:tcPr>
          <w:p w14:paraId="55F00AB7" w14:textId="30CC74EA" w:rsidR="00C62002" w:rsidRDefault="00C62002" w:rsidP="00844FD6">
            <w:pPr>
              <w:spacing w:after="120" w:line="240" w:lineRule="auto"/>
              <w:jc w:val="center"/>
            </w:pPr>
            <w:r>
              <w:rPr>
                <w:rFonts w:ascii="Calibri" w:hAnsi="Calibri"/>
                <w:color w:val="000000"/>
              </w:rPr>
              <w:t>13</w:t>
            </w:r>
          </w:p>
        </w:tc>
        <w:tc>
          <w:tcPr>
            <w:tcW w:w="1271" w:type="dxa"/>
            <w:shd w:val="clear" w:color="auto" w:fill="auto"/>
          </w:tcPr>
          <w:p w14:paraId="74D7F50E" w14:textId="2EAE0ABA" w:rsidR="00C62002" w:rsidRDefault="00C62002" w:rsidP="00844FD6">
            <w:pPr>
              <w:spacing w:after="120" w:line="240" w:lineRule="auto"/>
              <w:jc w:val="center"/>
            </w:pPr>
            <w:r>
              <w:rPr>
                <w:rFonts w:ascii="Calibri" w:hAnsi="Calibri"/>
                <w:color w:val="000000"/>
              </w:rPr>
              <w:t>SPA</w:t>
            </w:r>
          </w:p>
        </w:tc>
        <w:tc>
          <w:tcPr>
            <w:tcW w:w="3589" w:type="dxa"/>
            <w:shd w:val="clear" w:color="auto" w:fill="auto"/>
          </w:tcPr>
          <w:p w14:paraId="1BE10D7A" w14:textId="65DE539D" w:rsidR="00C62002" w:rsidRDefault="00C62002" w:rsidP="00844FD6">
            <w:pPr>
              <w:spacing w:after="120" w:line="240" w:lineRule="auto"/>
            </w:pPr>
            <w:r>
              <w:rPr>
                <w:rFonts w:ascii="Calibri" w:hAnsi="Calibri"/>
                <w:color w:val="000000"/>
              </w:rPr>
              <w:t>Spain</w:t>
            </w:r>
          </w:p>
        </w:tc>
        <w:tc>
          <w:tcPr>
            <w:tcW w:w="3589" w:type="dxa"/>
            <w:shd w:val="clear" w:color="auto" w:fill="auto"/>
          </w:tcPr>
          <w:p w14:paraId="23CED0AC" w14:textId="1D3AAA45" w:rsidR="00C62002" w:rsidRDefault="00C62002" w:rsidP="00844FD6">
            <w:pPr>
              <w:spacing w:after="120" w:line="240" w:lineRule="auto"/>
            </w:pPr>
            <w:r>
              <w:rPr>
                <w:rFonts w:ascii="Calibri" w:hAnsi="Calibri"/>
                <w:color w:val="000000"/>
              </w:rPr>
              <w:t>Europe and Central Asia</w:t>
            </w:r>
          </w:p>
        </w:tc>
      </w:tr>
      <w:tr w:rsidR="00DE56CF" w14:paraId="760BA99F" w14:textId="77777777" w:rsidTr="00DE56CF">
        <w:tc>
          <w:tcPr>
            <w:tcW w:w="567" w:type="dxa"/>
            <w:shd w:val="clear" w:color="auto" w:fill="auto"/>
          </w:tcPr>
          <w:p w14:paraId="2D20FC60" w14:textId="6EA2D2AF" w:rsidR="00C62002" w:rsidRDefault="00C62002" w:rsidP="00844FD6">
            <w:pPr>
              <w:spacing w:after="120" w:line="240" w:lineRule="auto"/>
              <w:jc w:val="center"/>
            </w:pPr>
            <w:r>
              <w:rPr>
                <w:rFonts w:ascii="Calibri" w:hAnsi="Calibri"/>
                <w:color w:val="000000"/>
              </w:rPr>
              <w:t>14</w:t>
            </w:r>
          </w:p>
        </w:tc>
        <w:tc>
          <w:tcPr>
            <w:tcW w:w="1271" w:type="dxa"/>
            <w:shd w:val="clear" w:color="auto" w:fill="auto"/>
          </w:tcPr>
          <w:p w14:paraId="657EAF03" w14:textId="7779778F" w:rsidR="00C62002" w:rsidRDefault="00C62002" w:rsidP="00844FD6">
            <w:pPr>
              <w:spacing w:after="120" w:line="240" w:lineRule="auto"/>
              <w:jc w:val="center"/>
            </w:pPr>
            <w:r>
              <w:rPr>
                <w:rFonts w:ascii="Calibri" w:hAnsi="Calibri"/>
                <w:color w:val="000000"/>
              </w:rPr>
              <w:t>EST</w:t>
            </w:r>
          </w:p>
        </w:tc>
        <w:tc>
          <w:tcPr>
            <w:tcW w:w="3589" w:type="dxa"/>
            <w:shd w:val="clear" w:color="auto" w:fill="auto"/>
          </w:tcPr>
          <w:p w14:paraId="480CF283" w14:textId="09ECB00C" w:rsidR="00C62002" w:rsidRDefault="00C62002" w:rsidP="00844FD6">
            <w:pPr>
              <w:spacing w:after="120" w:line="240" w:lineRule="auto"/>
            </w:pPr>
            <w:r>
              <w:rPr>
                <w:rFonts w:ascii="Calibri" w:hAnsi="Calibri"/>
                <w:color w:val="000000"/>
              </w:rPr>
              <w:t>Estonia</w:t>
            </w:r>
          </w:p>
        </w:tc>
        <w:tc>
          <w:tcPr>
            <w:tcW w:w="3589" w:type="dxa"/>
            <w:shd w:val="clear" w:color="auto" w:fill="auto"/>
          </w:tcPr>
          <w:p w14:paraId="33C05F10" w14:textId="582A8304" w:rsidR="00C62002" w:rsidRDefault="00C62002" w:rsidP="00844FD6">
            <w:pPr>
              <w:spacing w:after="120" w:line="240" w:lineRule="auto"/>
            </w:pPr>
            <w:r>
              <w:rPr>
                <w:rFonts w:ascii="Calibri" w:hAnsi="Calibri"/>
                <w:color w:val="000000"/>
              </w:rPr>
              <w:t>Europe and Central Asia</w:t>
            </w:r>
          </w:p>
        </w:tc>
      </w:tr>
      <w:tr w:rsidR="00DE56CF" w14:paraId="084882DD" w14:textId="77777777" w:rsidTr="00DE56CF">
        <w:tc>
          <w:tcPr>
            <w:tcW w:w="567" w:type="dxa"/>
            <w:shd w:val="clear" w:color="auto" w:fill="auto"/>
          </w:tcPr>
          <w:p w14:paraId="38773D89" w14:textId="71F1154E" w:rsidR="00C62002" w:rsidRDefault="00C62002" w:rsidP="00844FD6">
            <w:pPr>
              <w:spacing w:after="120" w:line="240" w:lineRule="auto"/>
              <w:jc w:val="center"/>
            </w:pPr>
            <w:r>
              <w:rPr>
                <w:rFonts w:ascii="Calibri" w:hAnsi="Calibri"/>
                <w:color w:val="000000"/>
              </w:rPr>
              <w:t>15</w:t>
            </w:r>
          </w:p>
        </w:tc>
        <w:tc>
          <w:tcPr>
            <w:tcW w:w="1271" w:type="dxa"/>
            <w:shd w:val="clear" w:color="auto" w:fill="auto"/>
          </w:tcPr>
          <w:p w14:paraId="51808583" w14:textId="48CB3DE8" w:rsidR="00C62002" w:rsidRDefault="00C62002" w:rsidP="00844FD6">
            <w:pPr>
              <w:spacing w:after="120" w:line="240" w:lineRule="auto"/>
              <w:jc w:val="center"/>
            </w:pPr>
            <w:r>
              <w:rPr>
                <w:rFonts w:ascii="Calibri" w:hAnsi="Calibri"/>
                <w:color w:val="000000"/>
              </w:rPr>
              <w:t>FIN</w:t>
            </w:r>
          </w:p>
        </w:tc>
        <w:tc>
          <w:tcPr>
            <w:tcW w:w="3589" w:type="dxa"/>
            <w:shd w:val="clear" w:color="auto" w:fill="auto"/>
          </w:tcPr>
          <w:p w14:paraId="4A8EDD23" w14:textId="3812CEC4" w:rsidR="00C62002" w:rsidRDefault="00C62002" w:rsidP="00844FD6">
            <w:pPr>
              <w:spacing w:after="120" w:line="240" w:lineRule="auto"/>
            </w:pPr>
            <w:r>
              <w:rPr>
                <w:rFonts w:ascii="Calibri" w:hAnsi="Calibri"/>
                <w:color w:val="000000"/>
              </w:rPr>
              <w:t>Finland</w:t>
            </w:r>
          </w:p>
        </w:tc>
        <w:tc>
          <w:tcPr>
            <w:tcW w:w="3589" w:type="dxa"/>
            <w:shd w:val="clear" w:color="auto" w:fill="auto"/>
          </w:tcPr>
          <w:p w14:paraId="65C66CCB" w14:textId="4492F4BE" w:rsidR="00C62002" w:rsidRDefault="00C62002" w:rsidP="00844FD6">
            <w:pPr>
              <w:spacing w:after="120" w:line="240" w:lineRule="auto"/>
            </w:pPr>
            <w:r>
              <w:rPr>
                <w:rFonts w:ascii="Calibri" w:hAnsi="Calibri"/>
                <w:color w:val="000000"/>
              </w:rPr>
              <w:t>Europe and Central Asia</w:t>
            </w:r>
          </w:p>
        </w:tc>
      </w:tr>
      <w:tr w:rsidR="00DE56CF" w14:paraId="40648648" w14:textId="77777777" w:rsidTr="00DE56CF">
        <w:tc>
          <w:tcPr>
            <w:tcW w:w="567" w:type="dxa"/>
            <w:shd w:val="clear" w:color="auto" w:fill="auto"/>
          </w:tcPr>
          <w:p w14:paraId="60D106F7" w14:textId="54C3F80F" w:rsidR="00C62002" w:rsidRDefault="00C62002" w:rsidP="00844FD6">
            <w:pPr>
              <w:spacing w:after="120" w:line="240" w:lineRule="auto"/>
              <w:jc w:val="center"/>
            </w:pPr>
            <w:r>
              <w:rPr>
                <w:rFonts w:ascii="Calibri" w:hAnsi="Calibri"/>
                <w:color w:val="000000"/>
              </w:rPr>
              <w:t>16</w:t>
            </w:r>
          </w:p>
        </w:tc>
        <w:tc>
          <w:tcPr>
            <w:tcW w:w="1271" w:type="dxa"/>
            <w:shd w:val="clear" w:color="auto" w:fill="auto"/>
          </w:tcPr>
          <w:p w14:paraId="4E0511CA" w14:textId="7D104BE2" w:rsidR="00C62002" w:rsidRDefault="00C62002" w:rsidP="00844FD6">
            <w:pPr>
              <w:spacing w:after="120" w:line="240" w:lineRule="auto"/>
              <w:jc w:val="center"/>
            </w:pPr>
            <w:r>
              <w:rPr>
                <w:rFonts w:ascii="Calibri" w:hAnsi="Calibri"/>
                <w:color w:val="000000"/>
              </w:rPr>
              <w:t>FRA</w:t>
            </w:r>
          </w:p>
        </w:tc>
        <w:tc>
          <w:tcPr>
            <w:tcW w:w="3589" w:type="dxa"/>
            <w:shd w:val="clear" w:color="auto" w:fill="auto"/>
          </w:tcPr>
          <w:p w14:paraId="338846FA" w14:textId="753C27A4" w:rsidR="00C62002" w:rsidRDefault="00C62002" w:rsidP="00844FD6">
            <w:pPr>
              <w:spacing w:after="120" w:line="240" w:lineRule="auto"/>
            </w:pPr>
            <w:r>
              <w:rPr>
                <w:rFonts w:ascii="Calibri" w:hAnsi="Calibri"/>
                <w:color w:val="000000"/>
              </w:rPr>
              <w:t>France</w:t>
            </w:r>
          </w:p>
        </w:tc>
        <w:tc>
          <w:tcPr>
            <w:tcW w:w="3589" w:type="dxa"/>
            <w:shd w:val="clear" w:color="auto" w:fill="auto"/>
          </w:tcPr>
          <w:p w14:paraId="0E17C16F" w14:textId="1FC9B93D" w:rsidR="00C62002" w:rsidRDefault="00C62002" w:rsidP="00844FD6">
            <w:pPr>
              <w:spacing w:after="120" w:line="240" w:lineRule="auto"/>
            </w:pPr>
            <w:r>
              <w:rPr>
                <w:rFonts w:ascii="Calibri" w:hAnsi="Calibri"/>
                <w:color w:val="000000"/>
              </w:rPr>
              <w:t>Europe and Central Asia</w:t>
            </w:r>
          </w:p>
        </w:tc>
      </w:tr>
      <w:tr w:rsidR="00DE56CF" w14:paraId="4921265B" w14:textId="77777777" w:rsidTr="00DE56CF">
        <w:tc>
          <w:tcPr>
            <w:tcW w:w="567" w:type="dxa"/>
            <w:shd w:val="clear" w:color="auto" w:fill="auto"/>
          </w:tcPr>
          <w:p w14:paraId="6B805284" w14:textId="18D419FA" w:rsidR="00C62002" w:rsidRDefault="00C62002" w:rsidP="00844FD6">
            <w:pPr>
              <w:spacing w:after="120" w:line="240" w:lineRule="auto"/>
              <w:jc w:val="center"/>
            </w:pPr>
            <w:r>
              <w:rPr>
                <w:rFonts w:ascii="Calibri" w:hAnsi="Calibri"/>
                <w:color w:val="000000"/>
              </w:rPr>
              <w:t>17</w:t>
            </w:r>
          </w:p>
        </w:tc>
        <w:tc>
          <w:tcPr>
            <w:tcW w:w="1271" w:type="dxa"/>
            <w:shd w:val="clear" w:color="auto" w:fill="auto"/>
          </w:tcPr>
          <w:p w14:paraId="34EA9467" w14:textId="1BF543DF" w:rsidR="00C62002" w:rsidRDefault="00C62002" w:rsidP="00844FD6">
            <w:pPr>
              <w:spacing w:after="120" w:line="240" w:lineRule="auto"/>
              <w:jc w:val="center"/>
            </w:pPr>
            <w:r>
              <w:rPr>
                <w:rFonts w:ascii="Calibri" w:hAnsi="Calibri"/>
                <w:color w:val="000000"/>
              </w:rPr>
              <w:t>UKG</w:t>
            </w:r>
          </w:p>
        </w:tc>
        <w:tc>
          <w:tcPr>
            <w:tcW w:w="3589" w:type="dxa"/>
            <w:shd w:val="clear" w:color="auto" w:fill="auto"/>
          </w:tcPr>
          <w:p w14:paraId="264C1666" w14:textId="2B397065" w:rsidR="00C62002" w:rsidRDefault="00C62002" w:rsidP="00844FD6">
            <w:pPr>
              <w:spacing w:after="120" w:line="240" w:lineRule="auto"/>
            </w:pPr>
            <w:r>
              <w:rPr>
                <w:rFonts w:ascii="Calibri" w:hAnsi="Calibri"/>
                <w:color w:val="000000"/>
              </w:rPr>
              <w:t>United Kingdom</w:t>
            </w:r>
          </w:p>
        </w:tc>
        <w:tc>
          <w:tcPr>
            <w:tcW w:w="3589" w:type="dxa"/>
            <w:shd w:val="clear" w:color="auto" w:fill="auto"/>
          </w:tcPr>
          <w:p w14:paraId="50041EDF" w14:textId="559996E0" w:rsidR="00C62002" w:rsidRDefault="00C62002" w:rsidP="00844FD6">
            <w:pPr>
              <w:spacing w:after="120" w:line="240" w:lineRule="auto"/>
            </w:pPr>
            <w:r>
              <w:rPr>
                <w:rFonts w:ascii="Calibri" w:hAnsi="Calibri"/>
                <w:color w:val="000000"/>
              </w:rPr>
              <w:t>Europe and Central Asia</w:t>
            </w:r>
          </w:p>
        </w:tc>
      </w:tr>
      <w:tr w:rsidR="00DE56CF" w14:paraId="6EBD0A83" w14:textId="77777777" w:rsidTr="00DE56CF">
        <w:tc>
          <w:tcPr>
            <w:tcW w:w="567" w:type="dxa"/>
            <w:shd w:val="clear" w:color="auto" w:fill="auto"/>
          </w:tcPr>
          <w:p w14:paraId="17C946A1" w14:textId="003DF475" w:rsidR="00C62002" w:rsidRDefault="00C62002" w:rsidP="00844FD6">
            <w:pPr>
              <w:spacing w:after="120" w:line="240" w:lineRule="auto"/>
              <w:jc w:val="center"/>
            </w:pPr>
            <w:r>
              <w:rPr>
                <w:rFonts w:ascii="Calibri" w:hAnsi="Calibri"/>
                <w:color w:val="000000"/>
              </w:rPr>
              <w:t>18</w:t>
            </w:r>
          </w:p>
        </w:tc>
        <w:tc>
          <w:tcPr>
            <w:tcW w:w="1271" w:type="dxa"/>
            <w:shd w:val="clear" w:color="auto" w:fill="auto"/>
          </w:tcPr>
          <w:p w14:paraId="1FA7529A" w14:textId="63D7E140" w:rsidR="00C62002" w:rsidRDefault="00C62002" w:rsidP="00844FD6">
            <w:pPr>
              <w:spacing w:after="120" w:line="240" w:lineRule="auto"/>
              <w:jc w:val="center"/>
            </w:pPr>
            <w:r>
              <w:rPr>
                <w:rFonts w:ascii="Calibri" w:hAnsi="Calibri"/>
                <w:color w:val="000000"/>
              </w:rPr>
              <w:t>GRC</w:t>
            </w:r>
          </w:p>
        </w:tc>
        <w:tc>
          <w:tcPr>
            <w:tcW w:w="3589" w:type="dxa"/>
            <w:shd w:val="clear" w:color="auto" w:fill="auto"/>
          </w:tcPr>
          <w:p w14:paraId="711895B0" w14:textId="6BE94FA8" w:rsidR="00C62002" w:rsidRDefault="00C62002" w:rsidP="00844FD6">
            <w:pPr>
              <w:spacing w:after="120" w:line="240" w:lineRule="auto"/>
            </w:pPr>
            <w:r>
              <w:rPr>
                <w:rFonts w:ascii="Calibri" w:hAnsi="Calibri"/>
                <w:color w:val="000000"/>
              </w:rPr>
              <w:t>Greece</w:t>
            </w:r>
          </w:p>
        </w:tc>
        <w:tc>
          <w:tcPr>
            <w:tcW w:w="3589" w:type="dxa"/>
            <w:shd w:val="clear" w:color="auto" w:fill="auto"/>
          </w:tcPr>
          <w:p w14:paraId="57338689" w14:textId="70A1CE79" w:rsidR="00C62002" w:rsidRDefault="00C62002" w:rsidP="00844FD6">
            <w:pPr>
              <w:spacing w:after="120" w:line="240" w:lineRule="auto"/>
            </w:pPr>
            <w:r>
              <w:rPr>
                <w:rFonts w:ascii="Calibri" w:hAnsi="Calibri"/>
                <w:color w:val="000000"/>
              </w:rPr>
              <w:t>Europe and Central Asia</w:t>
            </w:r>
          </w:p>
        </w:tc>
      </w:tr>
      <w:tr w:rsidR="00DE56CF" w14:paraId="3D50D332" w14:textId="77777777" w:rsidTr="00DE56CF">
        <w:tc>
          <w:tcPr>
            <w:tcW w:w="567" w:type="dxa"/>
            <w:shd w:val="clear" w:color="auto" w:fill="auto"/>
          </w:tcPr>
          <w:p w14:paraId="65492E23" w14:textId="0A7AEE46" w:rsidR="00C62002" w:rsidRDefault="00C62002" w:rsidP="00844FD6">
            <w:pPr>
              <w:spacing w:after="120" w:line="240" w:lineRule="auto"/>
              <w:jc w:val="center"/>
            </w:pPr>
            <w:r>
              <w:rPr>
                <w:rFonts w:ascii="Calibri" w:hAnsi="Calibri"/>
                <w:color w:val="000000"/>
              </w:rPr>
              <w:t>19</w:t>
            </w:r>
          </w:p>
        </w:tc>
        <w:tc>
          <w:tcPr>
            <w:tcW w:w="1271" w:type="dxa"/>
            <w:shd w:val="clear" w:color="auto" w:fill="auto"/>
          </w:tcPr>
          <w:p w14:paraId="437BD9F1" w14:textId="29139FB7" w:rsidR="00C62002" w:rsidRDefault="00C62002" w:rsidP="00844FD6">
            <w:pPr>
              <w:spacing w:after="120" w:line="240" w:lineRule="auto"/>
              <w:jc w:val="center"/>
            </w:pPr>
            <w:r>
              <w:rPr>
                <w:rFonts w:ascii="Calibri" w:hAnsi="Calibri"/>
                <w:color w:val="000000"/>
              </w:rPr>
              <w:t>HRV</w:t>
            </w:r>
          </w:p>
        </w:tc>
        <w:tc>
          <w:tcPr>
            <w:tcW w:w="3589" w:type="dxa"/>
            <w:shd w:val="clear" w:color="auto" w:fill="auto"/>
          </w:tcPr>
          <w:p w14:paraId="0164DB9B" w14:textId="70E2F05E" w:rsidR="00C62002" w:rsidRDefault="00C62002" w:rsidP="00844FD6">
            <w:pPr>
              <w:spacing w:after="120" w:line="240" w:lineRule="auto"/>
            </w:pPr>
            <w:r>
              <w:rPr>
                <w:rFonts w:ascii="Calibri" w:hAnsi="Calibri"/>
                <w:color w:val="000000"/>
              </w:rPr>
              <w:t>Croatia</w:t>
            </w:r>
          </w:p>
        </w:tc>
        <w:tc>
          <w:tcPr>
            <w:tcW w:w="3589" w:type="dxa"/>
            <w:shd w:val="clear" w:color="auto" w:fill="auto"/>
          </w:tcPr>
          <w:p w14:paraId="15496FC0" w14:textId="4D2C2B87" w:rsidR="00C62002" w:rsidRDefault="00C62002" w:rsidP="00844FD6">
            <w:pPr>
              <w:spacing w:after="120" w:line="240" w:lineRule="auto"/>
            </w:pPr>
            <w:r>
              <w:rPr>
                <w:rFonts w:ascii="Calibri" w:hAnsi="Calibri"/>
                <w:color w:val="000000"/>
              </w:rPr>
              <w:t>Europe and Central Asia</w:t>
            </w:r>
          </w:p>
        </w:tc>
      </w:tr>
      <w:tr w:rsidR="00DE56CF" w14:paraId="08CD383F" w14:textId="77777777" w:rsidTr="00DE56CF">
        <w:tc>
          <w:tcPr>
            <w:tcW w:w="567" w:type="dxa"/>
            <w:shd w:val="clear" w:color="auto" w:fill="auto"/>
          </w:tcPr>
          <w:p w14:paraId="60C2FE37" w14:textId="328EAABE" w:rsidR="00C62002" w:rsidRDefault="00C62002" w:rsidP="00844FD6">
            <w:pPr>
              <w:spacing w:after="120" w:line="240" w:lineRule="auto"/>
              <w:jc w:val="center"/>
            </w:pPr>
            <w:r>
              <w:rPr>
                <w:rFonts w:ascii="Calibri" w:hAnsi="Calibri"/>
                <w:color w:val="000000"/>
              </w:rPr>
              <w:t>20</w:t>
            </w:r>
          </w:p>
        </w:tc>
        <w:tc>
          <w:tcPr>
            <w:tcW w:w="1271" w:type="dxa"/>
            <w:shd w:val="clear" w:color="auto" w:fill="auto"/>
          </w:tcPr>
          <w:p w14:paraId="339F6C6E" w14:textId="2639068E" w:rsidR="00C62002" w:rsidRDefault="00C62002" w:rsidP="00844FD6">
            <w:pPr>
              <w:spacing w:after="120" w:line="240" w:lineRule="auto"/>
              <w:jc w:val="center"/>
            </w:pPr>
            <w:r>
              <w:rPr>
                <w:rFonts w:ascii="Calibri" w:hAnsi="Calibri"/>
                <w:color w:val="000000"/>
              </w:rPr>
              <w:t>HUN</w:t>
            </w:r>
          </w:p>
        </w:tc>
        <w:tc>
          <w:tcPr>
            <w:tcW w:w="3589" w:type="dxa"/>
            <w:shd w:val="clear" w:color="auto" w:fill="auto"/>
          </w:tcPr>
          <w:p w14:paraId="060F99BF" w14:textId="74BD2CA8" w:rsidR="00C62002" w:rsidRDefault="00C62002" w:rsidP="00844FD6">
            <w:pPr>
              <w:spacing w:after="120" w:line="240" w:lineRule="auto"/>
            </w:pPr>
            <w:r>
              <w:rPr>
                <w:rFonts w:ascii="Calibri" w:hAnsi="Calibri"/>
                <w:color w:val="000000"/>
              </w:rPr>
              <w:t>Hungary</w:t>
            </w:r>
          </w:p>
        </w:tc>
        <w:tc>
          <w:tcPr>
            <w:tcW w:w="3589" w:type="dxa"/>
            <w:shd w:val="clear" w:color="auto" w:fill="auto"/>
          </w:tcPr>
          <w:p w14:paraId="1F89E970" w14:textId="18671648" w:rsidR="00C62002" w:rsidRDefault="00C62002" w:rsidP="00844FD6">
            <w:pPr>
              <w:spacing w:after="120" w:line="240" w:lineRule="auto"/>
            </w:pPr>
            <w:r>
              <w:rPr>
                <w:rFonts w:ascii="Calibri" w:hAnsi="Calibri"/>
                <w:color w:val="000000"/>
              </w:rPr>
              <w:t>Europe and Central Asia</w:t>
            </w:r>
          </w:p>
        </w:tc>
      </w:tr>
      <w:tr w:rsidR="00DE56CF" w14:paraId="77330011" w14:textId="77777777" w:rsidTr="00DE56CF">
        <w:tc>
          <w:tcPr>
            <w:tcW w:w="567" w:type="dxa"/>
            <w:shd w:val="clear" w:color="auto" w:fill="auto"/>
          </w:tcPr>
          <w:p w14:paraId="43F37219" w14:textId="45CE7557" w:rsidR="00C62002" w:rsidRDefault="00C62002" w:rsidP="00844FD6">
            <w:pPr>
              <w:spacing w:after="120" w:line="240" w:lineRule="auto"/>
              <w:jc w:val="center"/>
            </w:pPr>
            <w:r>
              <w:rPr>
                <w:rFonts w:ascii="Calibri" w:hAnsi="Calibri"/>
                <w:color w:val="000000"/>
              </w:rPr>
              <w:t>21</w:t>
            </w:r>
          </w:p>
        </w:tc>
        <w:tc>
          <w:tcPr>
            <w:tcW w:w="1271" w:type="dxa"/>
            <w:shd w:val="clear" w:color="auto" w:fill="auto"/>
          </w:tcPr>
          <w:p w14:paraId="6D6CFF2C" w14:textId="1C785264" w:rsidR="00C62002" w:rsidRDefault="00C62002" w:rsidP="00844FD6">
            <w:pPr>
              <w:spacing w:after="120" w:line="240" w:lineRule="auto"/>
              <w:jc w:val="center"/>
            </w:pPr>
            <w:r>
              <w:rPr>
                <w:rFonts w:ascii="Calibri" w:hAnsi="Calibri"/>
                <w:color w:val="000000"/>
              </w:rPr>
              <w:t>INO</w:t>
            </w:r>
          </w:p>
        </w:tc>
        <w:tc>
          <w:tcPr>
            <w:tcW w:w="3589" w:type="dxa"/>
            <w:shd w:val="clear" w:color="auto" w:fill="auto"/>
          </w:tcPr>
          <w:p w14:paraId="09862FE0" w14:textId="4EFD7A41" w:rsidR="00C62002" w:rsidRDefault="00C62002" w:rsidP="00844FD6">
            <w:pPr>
              <w:spacing w:after="120" w:line="240" w:lineRule="auto"/>
            </w:pPr>
            <w:r>
              <w:rPr>
                <w:rFonts w:ascii="Calibri" w:hAnsi="Calibri"/>
                <w:color w:val="000000"/>
              </w:rPr>
              <w:t>Indonesia</w:t>
            </w:r>
          </w:p>
        </w:tc>
        <w:tc>
          <w:tcPr>
            <w:tcW w:w="3589" w:type="dxa"/>
            <w:shd w:val="clear" w:color="auto" w:fill="auto"/>
          </w:tcPr>
          <w:p w14:paraId="7BE765A2" w14:textId="6D47E4BB" w:rsidR="00C62002" w:rsidRDefault="00C62002" w:rsidP="00844FD6">
            <w:pPr>
              <w:spacing w:after="120" w:line="240" w:lineRule="auto"/>
            </w:pPr>
            <w:r>
              <w:rPr>
                <w:rFonts w:ascii="Calibri" w:hAnsi="Calibri"/>
                <w:color w:val="000000"/>
              </w:rPr>
              <w:t>East Asia and Pacific</w:t>
            </w:r>
          </w:p>
        </w:tc>
      </w:tr>
      <w:tr w:rsidR="00DE56CF" w14:paraId="0ECF21A9" w14:textId="77777777" w:rsidTr="00DE56CF">
        <w:tc>
          <w:tcPr>
            <w:tcW w:w="567" w:type="dxa"/>
            <w:shd w:val="clear" w:color="auto" w:fill="auto"/>
          </w:tcPr>
          <w:p w14:paraId="7A969511" w14:textId="7A1EC0F5" w:rsidR="00C62002" w:rsidRDefault="00C62002" w:rsidP="00844FD6">
            <w:pPr>
              <w:spacing w:after="120" w:line="240" w:lineRule="auto"/>
              <w:jc w:val="center"/>
            </w:pPr>
            <w:r>
              <w:rPr>
                <w:rFonts w:ascii="Calibri" w:hAnsi="Calibri"/>
                <w:color w:val="000000"/>
              </w:rPr>
              <w:t>22</w:t>
            </w:r>
          </w:p>
        </w:tc>
        <w:tc>
          <w:tcPr>
            <w:tcW w:w="1271" w:type="dxa"/>
            <w:shd w:val="clear" w:color="auto" w:fill="auto"/>
          </w:tcPr>
          <w:p w14:paraId="7DE1A7FB" w14:textId="08DD6DEB" w:rsidR="00C62002" w:rsidRDefault="00C62002" w:rsidP="00844FD6">
            <w:pPr>
              <w:spacing w:after="120" w:line="240" w:lineRule="auto"/>
              <w:jc w:val="center"/>
            </w:pPr>
            <w:r>
              <w:rPr>
                <w:rFonts w:ascii="Calibri" w:hAnsi="Calibri"/>
                <w:color w:val="000000"/>
              </w:rPr>
              <w:t>IND</w:t>
            </w:r>
          </w:p>
        </w:tc>
        <w:tc>
          <w:tcPr>
            <w:tcW w:w="3589" w:type="dxa"/>
            <w:shd w:val="clear" w:color="auto" w:fill="auto"/>
          </w:tcPr>
          <w:p w14:paraId="54F63D4C" w14:textId="31CE8E0A" w:rsidR="00C62002" w:rsidRDefault="00C62002" w:rsidP="00844FD6">
            <w:pPr>
              <w:spacing w:after="120" w:line="240" w:lineRule="auto"/>
            </w:pPr>
            <w:r>
              <w:rPr>
                <w:rFonts w:ascii="Calibri" w:hAnsi="Calibri"/>
                <w:color w:val="000000"/>
              </w:rPr>
              <w:t>India</w:t>
            </w:r>
          </w:p>
        </w:tc>
        <w:tc>
          <w:tcPr>
            <w:tcW w:w="3589" w:type="dxa"/>
            <w:shd w:val="clear" w:color="auto" w:fill="auto"/>
          </w:tcPr>
          <w:p w14:paraId="059A62DB" w14:textId="5C2BDBEA" w:rsidR="00C62002" w:rsidRDefault="00C62002" w:rsidP="00844FD6">
            <w:pPr>
              <w:spacing w:after="120" w:line="240" w:lineRule="auto"/>
            </w:pPr>
            <w:r>
              <w:rPr>
                <w:rFonts w:ascii="Calibri" w:hAnsi="Calibri"/>
                <w:color w:val="000000"/>
              </w:rPr>
              <w:t>South Asia</w:t>
            </w:r>
          </w:p>
        </w:tc>
      </w:tr>
      <w:tr w:rsidR="00DE56CF" w14:paraId="74FF720F" w14:textId="77777777" w:rsidTr="00DE56CF">
        <w:tc>
          <w:tcPr>
            <w:tcW w:w="567" w:type="dxa"/>
            <w:shd w:val="clear" w:color="auto" w:fill="auto"/>
          </w:tcPr>
          <w:p w14:paraId="3B4B096A" w14:textId="19A08863" w:rsidR="00C62002" w:rsidRDefault="00C62002" w:rsidP="00844FD6">
            <w:pPr>
              <w:spacing w:after="120" w:line="240" w:lineRule="auto"/>
              <w:jc w:val="center"/>
            </w:pPr>
            <w:r>
              <w:rPr>
                <w:rFonts w:ascii="Calibri" w:hAnsi="Calibri"/>
                <w:color w:val="000000"/>
              </w:rPr>
              <w:t>23</w:t>
            </w:r>
          </w:p>
        </w:tc>
        <w:tc>
          <w:tcPr>
            <w:tcW w:w="1271" w:type="dxa"/>
            <w:shd w:val="clear" w:color="auto" w:fill="auto"/>
          </w:tcPr>
          <w:p w14:paraId="48B50A1D" w14:textId="3E9CF26A" w:rsidR="00C62002" w:rsidRDefault="00C62002" w:rsidP="00844FD6">
            <w:pPr>
              <w:spacing w:after="120" w:line="240" w:lineRule="auto"/>
              <w:jc w:val="center"/>
            </w:pPr>
            <w:r>
              <w:rPr>
                <w:rFonts w:ascii="Calibri" w:hAnsi="Calibri"/>
                <w:color w:val="000000"/>
              </w:rPr>
              <w:t>IRE</w:t>
            </w:r>
          </w:p>
        </w:tc>
        <w:tc>
          <w:tcPr>
            <w:tcW w:w="3589" w:type="dxa"/>
            <w:shd w:val="clear" w:color="auto" w:fill="auto"/>
          </w:tcPr>
          <w:p w14:paraId="6451D5DF" w14:textId="260CAC0B" w:rsidR="00C62002" w:rsidRDefault="00C62002" w:rsidP="00844FD6">
            <w:pPr>
              <w:spacing w:after="120" w:line="240" w:lineRule="auto"/>
            </w:pPr>
            <w:r>
              <w:rPr>
                <w:rFonts w:ascii="Calibri" w:hAnsi="Calibri"/>
                <w:color w:val="000000"/>
              </w:rPr>
              <w:t>Ireland</w:t>
            </w:r>
          </w:p>
        </w:tc>
        <w:tc>
          <w:tcPr>
            <w:tcW w:w="3589" w:type="dxa"/>
            <w:shd w:val="clear" w:color="auto" w:fill="auto"/>
          </w:tcPr>
          <w:p w14:paraId="3286B5F6" w14:textId="4F30EC2D" w:rsidR="00C62002" w:rsidRDefault="00C62002" w:rsidP="00844FD6">
            <w:pPr>
              <w:spacing w:after="120" w:line="240" w:lineRule="auto"/>
            </w:pPr>
            <w:r>
              <w:rPr>
                <w:rFonts w:ascii="Calibri" w:hAnsi="Calibri"/>
                <w:color w:val="000000"/>
              </w:rPr>
              <w:t>Europe and Central Asia</w:t>
            </w:r>
          </w:p>
        </w:tc>
      </w:tr>
      <w:tr w:rsidR="00DE56CF" w14:paraId="4269BBBE" w14:textId="77777777" w:rsidTr="00DE56CF">
        <w:tc>
          <w:tcPr>
            <w:tcW w:w="567" w:type="dxa"/>
            <w:shd w:val="clear" w:color="auto" w:fill="auto"/>
          </w:tcPr>
          <w:p w14:paraId="06C7A589" w14:textId="22E14D72" w:rsidR="00C62002" w:rsidRDefault="00C62002" w:rsidP="00844FD6">
            <w:pPr>
              <w:spacing w:after="120" w:line="240" w:lineRule="auto"/>
              <w:jc w:val="center"/>
            </w:pPr>
            <w:r>
              <w:rPr>
                <w:rFonts w:ascii="Calibri" w:hAnsi="Calibri"/>
                <w:color w:val="000000"/>
              </w:rPr>
              <w:t>24</w:t>
            </w:r>
          </w:p>
        </w:tc>
        <w:tc>
          <w:tcPr>
            <w:tcW w:w="1271" w:type="dxa"/>
            <w:shd w:val="clear" w:color="auto" w:fill="auto"/>
          </w:tcPr>
          <w:p w14:paraId="34262474" w14:textId="3864D2C0" w:rsidR="00C62002" w:rsidRDefault="00C62002" w:rsidP="00844FD6">
            <w:pPr>
              <w:spacing w:after="120" w:line="240" w:lineRule="auto"/>
              <w:jc w:val="center"/>
            </w:pPr>
            <w:r>
              <w:rPr>
                <w:rFonts w:ascii="Calibri" w:hAnsi="Calibri"/>
                <w:color w:val="000000"/>
              </w:rPr>
              <w:t>ITA</w:t>
            </w:r>
          </w:p>
        </w:tc>
        <w:tc>
          <w:tcPr>
            <w:tcW w:w="3589" w:type="dxa"/>
            <w:shd w:val="clear" w:color="auto" w:fill="auto"/>
          </w:tcPr>
          <w:p w14:paraId="36514C02" w14:textId="0EF5DC68" w:rsidR="00C62002" w:rsidRDefault="00C62002" w:rsidP="00844FD6">
            <w:pPr>
              <w:spacing w:after="120" w:line="240" w:lineRule="auto"/>
            </w:pPr>
            <w:r>
              <w:rPr>
                <w:rFonts w:ascii="Calibri" w:hAnsi="Calibri"/>
                <w:color w:val="000000"/>
              </w:rPr>
              <w:t>Italy</w:t>
            </w:r>
          </w:p>
        </w:tc>
        <w:tc>
          <w:tcPr>
            <w:tcW w:w="3589" w:type="dxa"/>
            <w:shd w:val="clear" w:color="auto" w:fill="auto"/>
          </w:tcPr>
          <w:p w14:paraId="67DDC8B5" w14:textId="09152E4B" w:rsidR="00C62002" w:rsidRDefault="00C62002" w:rsidP="00844FD6">
            <w:pPr>
              <w:spacing w:after="120" w:line="240" w:lineRule="auto"/>
            </w:pPr>
            <w:r>
              <w:rPr>
                <w:rFonts w:ascii="Calibri" w:hAnsi="Calibri"/>
                <w:color w:val="000000"/>
              </w:rPr>
              <w:t>Europe and Central Asia</w:t>
            </w:r>
          </w:p>
        </w:tc>
      </w:tr>
      <w:tr w:rsidR="00DE56CF" w14:paraId="69183900" w14:textId="77777777" w:rsidTr="00DE56CF">
        <w:tc>
          <w:tcPr>
            <w:tcW w:w="567" w:type="dxa"/>
            <w:shd w:val="clear" w:color="auto" w:fill="auto"/>
          </w:tcPr>
          <w:p w14:paraId="6D5448C1" w14:textId="0C9DA2AE" w:rsidR="00C62002" w:rsidRDefault="00C62002" w:rsidP="00844FD6">
            <w:pPr>
              <w:spacing w:after="120" w:line="240" w:lineRule="auto"/>
              <w:jc w:val="center"/>
            </w:pPr>
            <w:r>
              <w:rPr>
                <w:rFonts w:ascii="Calibri" w:hAnsi="Calibri"/>
                <w:color w:val="000000"/>
              </w:rPr>
              <w:t>25</w:t>
            </w:r>
          </w:p>
        </w:tc>
        <w:tc>
          <w:tcPr>
            <w:tcW w:w="1271" w:type="dxa"/>
            <w:shd w:val="clear" w:color="auto" w:fill="auto"/>
          </w:tcPr>
          <w:p w14:paraId="5578010F" w14:textId="16769FDE" w:rsidR="00C62002" w:rsidRDefault="00C62002" w:rsidP="00844FD6">
            <w:pPr>
              <w:spacing w:after="120" w:line="240" w:lineRule="auto"/>
              <w:jc w:val="center"/>
            </w:pPr>
            <w:r>
              <w:rPr>
                <w:rFonts w:ascii="Calibri" w:hAnsi="Calibri"/>
                <w:color w:val="000000"/>
              </w:rPr>
              <w:t>JPN</w:t>
            </w:r>
          </w:p>
        </w:tc>
        <w:tc>
          <w:tcPr>
            <w:tcW w:w="3589" w:type="dxa"/>
            <w:shd w:val="clear" w:color="auto" w:fill="auto"/>
          </w:tcPr>
          <w:p w14:paraId="77CD7A7B" w14:textId="5FDFB308" w:rsidR="00C62002" w:rsidRDefault="00C62002" w:rsidP="00844FD6">
            <w:pPr>
              <w:spacing w:after="120" w:line="240" w:lineRule="auto"/>
            </w:pPr>
            <w:r>
              <w:rPr>
                <w:rFonts w:ascii="Calibri" w:hAnsi="Calibri"/>
                <w:color w:val="000000"/>
              </w:rPr>
              <w:t>Japan</w:t>
            </w:r>
          </w:p>
        </w:tc>
        <w:tc>
          <w:tcPr>
            <w:tcW w:w="3589" w:type="dxa"/>
            <w:shd w:val="clear" w:color="auto" w:fill="auto"/>
          </w:tcPr>
          <w:p w14:paraId="20E0BF51" w14:textId="23E41A44" w:rsidR="00C62002" w:rsidRDefault="00C62002" w:rsidP="00844FD6">
            <w:pPr>
              <w:spacing w:after="120" w:line="240" w:lineRule="auto"/>
            </w:pPr>
            <w:r>
              <w:rPr>
                <w:rFonts w:ascii="Calibri" w:hAnsi="Calibri"/>
                <w:color w:val="000000"/>
              </w:rPr>
              <w:t>East Asia and Pacific</w:t>
            </w:r>
          </w:p>
        </w:tc>
      </w:tr>
      <w:tr w:rsidR="00DE56CF" w14:paraId="108610FC" w14:textId="77777777" w:rsidTr="00DE56CF">
        <w:tc>
          <w:tcPr>
            <w:tcW w:w="567" w:type="dxa"/>
            <w:shd w:val="clear" w:color="auto" w:fill="auto"/>
          </w:tcPr>
          <w:p w14:paraId="614FA624" w14:textId="00D06CD0" w:rsidR="00C62002" w:rsidRDefault="00C62002" w:rsidP="00844FD6">
            <w:pPr>
              <w:spacing w:after="120" w:line="240" w:lineRule="auto"/>
              <w:jc w:val="center"/>
            </w:pPr>
            <w:r>
              <w:rPr>
                <w:rFonts w:ascii="Calibri" w:hAnsi="Calibri"/>
                <w:color w:val="000000"/>
              </w:rPr>
              <w:t>26</w:t>
            </w:r>
          </w:p>
        </w:tc>
        <w:tc>
          <w:tcPr>
            <w:tcW w:w="1271" w:type="dxa"/>
            <w:shd w:val="clear" w:color="auto" w:fill="auto"/>
          </w:tcPr>
          <w:p w14:paraId="47A5978F" w14:textId="56EB0D53" w:rsidR="00C62002" w:rsidRDefault="00C62002" w:rsidP="00844FD6">
            <w:pPr>
              <w:spacing w:after="120" w:line="240" w:lineRule="auto"/>
              <w:jc w:val="center"/>
            </w:pPr>
            <w:r>
              <w:rPr>
                <w:rFonts w:ascii="Calibri" w:hAnsi="Calibri"/>
                <w:color w:val="000000"/>
              </w:rPr>
              <w:t>KOR</w:t>
            </w:r>
          </w:p>
        </w:tc>
        <w:tc>
          <w:tcPr>
            <w:tcW w:w="3589" w:type="dxa"/>
            <w:shd w:val="clear" w:color="auto" w:fill="auto"/>
          </w:tcPr>
          <w:p w14:paraId="36B412AE" w14:textId="126B17FA" w:rsidR="00C62002" w:rsidRDefault="00C62002" w:rsidP="00844FD6">
            <w:pPr>
              <w:spacing w:after="120" w:line="240" w:lineRule="auto"/>
            </w:pPr>
            <w:r>
              <w:rPr>
                <w:rFonts w:ascii="Calibri" w:hAnsi="Calibri"/>
                <w:color w:val="000000"/>
              </w:rPr>
              <w:t>Republic of Korea</w:t>
            </w:r>
          </w:p>
        </w:tc>
        <w:tc>
          <w:tcPr>
            <w:tcW w:w="3589" w:type="dxa"/>
            <w:shd w:val="clear" w:color="auto" w:fill="auto"/>
          </w:tcPr>
          <w:p w14:paraId="353D6CDC" w14:textId="31838333" w:rsidR="00C62002" w:rsidRDefault="00C62002" w:rsidP="00844FD6">
            <w:pPr>
              <w:spacing w:after="120" w:line="240" w:lineRule="auto"/>
            </w:pPr>
            <w:r>
              <w:rPr>
                <w:rFonts w:ascii="Calibri" w:hAnsi="Calibri"/>
                <w:color w:val="000000"/>
              </w:rPr>
              <w:t>East Asia and Pacific</w:t>
            </w:r>
          </w:p>
        </w:tc>
      </w:tr>
      <w:tr w:rsidR="00DE56CF" w14:paraId="25BB9BE2" w14:textId="77777777" w:rsidTr="00DE56CF">
        <w:tc>
          <w:tcPr>
            <w:tcW w:w="567" w:type="dxa"/>
            <w:shd w:val="clear" w:color="auto" w:fill="auto"/>
          </w:tcPr>
          <w:p w14:paraId="02465DF4" w14:textId="1D4D09E8" w:rsidR="00C62002" w:rsidRDefault="00C62002" w:rsidP="00844FD6">
            <w:pPr>
              <w:spacing w:after="120" w:line="240" w:lineRule="auto"/>
              <w:jc w:val="center"/>
            </w:pPr>
            <w:r>
              <w:rPr>
                <w:rFonts w:ascii="Calibri" w:hAnsi="Calibri"/>
                <w:color w:val="000000"/>
              </w:rPr>
              <w:t>27</w:t>
            </w:r>
          </w:p>
        </w:tc>
        <w:tc>
          <w:tcPr>
            <w:tcW w:w="1271" w:type="dxa"/>
            <w:shd w:val="clear" w:color="auto" w:fill="auto"/>
          </w:tcPr>
          <w:p w14:paraId="608F1B47" w14:textId="2F81BC9C" w:rsidR="00C62002" w:rsidRDefault="00C62002" w:rsidP="00844FD6">
            <w:pPr>
              <w:spacing w:after="120" w:line="240" w:lineRule="auto"/>
              <w:jc w:val="center"/>
            </w:pPr>
            <w:r>
              <w:rPr>
                <w:rFonts w:ascii="Calibri" w:hAnsi="Calibri"/>
                <w:color w:val="000000"/>
              </w:rPr>
              <w:t>LTU</w:t>
            </w:r>
          </w:p>
        </w:tc>
        <w:tc>
          <w:tcPr>
            <w:tcW w:w="3589" w:type="dxa"/>
            <w:shd w:val="clear" w:color="auto" w:fill="auto"/>
          </w:tcPr>
          <w:p w14:paraId="6D165121" w14:textId="1F2D7069" w:rsidR="00C62002" w:rsidRDefault="00C62002" w:rsidP="00844FD6">
            <w:pPr>
              <w:spacing w:after="120" w:line="240" w:lineRule="auto"/>
            </w:pPr>
            <w:r>
              <w:rPr>
                <w:rFonts w:ascii="Calibri" w:hAnsi="Calibri"/>
                <w:color w:val="000000"/>
              </w:rPr>
              <w:t>Lithuania</w:t>
            </w:r>
          </w:p>
        </w:tc>
        <w:tc>
          <w:tcPr>
            <w:tcW w:w="3589" w:type="dxa"/>
            <w:shd w:val="clear" w:color="auto" w:fill="auto"/>
          </w:tcPr>
          <w:p w14:paraId="0C3343C5" w14:textId="2D3E276A" w:rsidR="00C62002" w:rsidRDefault="00C62002" w:rsidP="00844FD6">
            <w:pPr>
              <w:spacing w:after="120" w:line="240" w:lineRule="auto"/>
            </w:pPr>
            <w:r>
              <w:rPr>
                <w:rFonts w:ascii="Calibri" w:hAnsi="Calibri"/>
                <w:color w:val="000000"/>
              </w:rPr>
              <w:t>Europe and Central Asia</w:t>
            </w:r>
          </w:p>
        </w:tc>
      </w:tr>
      <w:tr w:rsidR="00DE56CF" w14:paraId="6B5FAE67" w14:textId="77777777" w:rsidTr="00DE56CF">
        <w:tc>
          <w:tcPr>
            <w:tcW w:w="567" w:type="dxa"/>
            <w:shd w:val="clear" w:color="auto" w:fill="auto"/>
          </w:tcPr>
          <w:p w14:paraId="2957F33C" w14:textId="447ADAFC" w:rsidR="00C62002" w:rsidRDefault="00C62002" w:rsidP="00844FD6">
            <w:pPr>
              <w:spacing w:after="120" w:line="240" w:lineRule="auto"/>
              <w:jc w:val="center"/>
            </w:pPr>
            <w:r>
              <w:rPr>
                <w:rFonts w:ascii="Calibri" w:hAnsi="Calibri"/>
                <w:color w:val="000000"/>
              </w:rPr>
              <w:t>28</w:t>
            </w:r>
          </w:p>
        </w:tc>
        <w:tc>
          <w:tcPr>
            <w:tcW w:w="1271" w:type="dxa"/>
            <w:shd w:val="clear" w:color="auto" w:fill="auto"/>
          </w:tcPr>
          <w:p w14:paraId="2E1B1F3D" w14:textId="382FC858" w:rsidR="00C62002" w:rsidRDefault="00C62002" w:rsidP="00844FD6">
            <w:pPr>
              <w:spacing w:after="120" w:line="240" w:lineRule="auto"/>
              <w:jc w:val="center"/>
            </w:pPr>
            <w:r>
              <w:rPr>
                <w:rFonts w:ascii="Calibri" w:hAnsi="Calibri"/>
                <w:color w:val="000000"/>
              </w:rPr>
              <w:t>LUX</w:t>
            </w:r>
          </w:p>
        </w:tc>
        <w:tc>
          <w:tcPr>
            <w:tcW w:w="3589" w:type="dxa"/>
            <w:shd w:val="clear" w:color="auto" w:fill="auto"/>
          </w:tcPr>
          <w:p w14:paraId="618A23DA" w14:textId="1C25A6CC" w:rsidR="00C62002" w:rsidRDefault="00C62002" w:rsidP="00844FD6">
            <w:pPr>
              <w:spacing w:after="120" w:line="240" w:lineRule="auto"/>
            </w:pPr>
            <w:r>
              <w:rPr>
                <w:rFonts w:ascii="Calibri" w:hAnsi="Calibri"/>
                <w:color w:val="000000"/>
              </w:rPr>
              <w:t>Luxembourg</w:t>
            </w:r>
          </w:p>
        </w:tc>
        <w:tc>
          <w:tcPr>
            <w:tcW w:w="3589" w:type="dxa"/>
            <w:shd w:val="clear" w:color="auto" w:fill="auto"/>
          </w:tcPr>
          <w:p w14:paraId="0B8E40FC" w14:textId="6B7C96E1" w:rsidR="00C62002" w:rsidRDefault="00C62002" w:rsidP="00844FD6">
            <w:pPr>
              <w:spacing w:after="120" w:line="240" w:lineRule="auto"/>
            </w:pPr>
            <w:r>
              <w:rPr>
                <w:rFonts w:ascii="Calibri" w:hAnsi="Calibri"/>
                <w:color w:val="000000"/>
              </w:rPr>
              <w:t>Europe and Central Asia</w:t>
            </w:r>
          </w:p>
        </w:tc>
      </w:tr>
      <w:tr w:rsidR="00DE56CF" w14:paraId="78D6CF42" w14:textId="77777777" w:rsidTr="00DE56CF">
        <w:tc>
          <w:tcPr>
            <w:tcW w:w="567" w:type="dxa"/>
            <w:shd w:val="clear" w:color="auto" w:fill="auto"/>
          </w:tcPr>
          <w:p w14:paraId="50B2A1B9" w14:textId="25B52D7A" w:rsidR="00C62002" w:rsidRDefault="00C62002" w:rsidP="00844FD6">
            <w:pPr>
              <w:spacing w:after="120" w:line="240" w:lineRule="auto"/>
              <w:jc w:val="center"/>
            </w:pPr>
            <w:r>
              <w:rPr>
                <w:rFonts w:ascii="Calibri" w:hAnsi="Calibri"/>
                <w:color w:val="000000"/>
              </w:rPr>
              <w:t>29</w:t>
            </w:r>
          </w:p>
        </w:tc>
        <w:tc>
          <w:tcPr>
            <w:tcW w:w="1271" w:type="dxa"/>
            <w:shd w:val="clear" w:color="auto" w:fill="auto"/>
          </w:tcPr>
          <w:p w14:paraId="6FF31D3B" w14:textId="329E5EFD" w:rsidR="00C62002" w:rsidRDefault="00C62002" w:rsidP="00844FD6">
            <w:pPr>
              <w:spacing w:after="120" w:line="240" w:lineRule="auto"/>
              <w:jc w:val="center"/>
            </w:pPr>
            <w:r>
              <w:rPr>
                <w:rFonts w:ascii="Calibri" w:hAnsi="Calibri"/>
                <w:color w:val="000000"/>
              </w:rPr>
              <w:t>LVA</w:t>
            </w:r>
          </w:p>
        </w:tc>
        <w:tc>
          <w:tcPr>
            <w:tcW w:w="3589" w:type="dxa"/>
            <w:shd w:val="clear" w:color="auto" w:fill="auto"/>
          </w:tcPr>
          <w:p w14:paraId="5CB55745" w14:textId="00AED632" w:rsidR="00C62002" w:rsidRDefault="00C62002" w:rsidP="00844FD6">
            <w:pPr>
              <w:spacing w:after="120" w:line="240" w:lineRule="auto"/>
            </w:pPr>
            <w:r>
              <w:rPr>
                <w:rFonts w:ascii="Calibri" w:hAnsi="Calibri"/>
                <w:color w:val="000000"/>
              </w:rPr>
              <w:t>Latvia</w:t>
            </w:r>
          </w:p>
        </w:tc>
        <w:tc>
          <w:tcPr>
            <w:tcW w:w="3589" w:type="dxa"/>
            <w:shd w:val="clear" w:color="auto" w:fill="auto"/>
          </w:tcPr>
          <w:p w14:paraId="33E1CF34" w14:textId="4E5BFE2D" w:rsidR="00C62002" w:rsidRDefault="00C62002" w:rsidP="00844FD6">
            <w:pPr>
              <w:spacing w:after="120" w:line="240" w:lineRule="auto"/>
            </w:pPr>
            <w:r>
              <w:rPr>
                <w:rFonts w:ascii="Calibri" w:hAnsi="Calibri"/>
                <w:color w:val="000000"/>
              </w:rPr>
              <w:t>Europe and Central Asia</w:t>
            </w:r>
          </w:p>
        </w:tc>
      </w:tr>
      <w:tr w:rsidR="00DE56CF" w14:paraId="2CF1C8E7" w14:textId="77777777" w:rsidTr="00DE56CF">
        <w:tc>
          <w:tcPr>
            <w:tcW w:w="567" w:type="dxa"/>
            <w:shd w:val="clear" w:color="auto" w:fill="auto"/>
          </w:tcPr>
          <w:p w14:paraId="63DA2138" w14:textId="4CA812E4" w:rsidR="00C62002" w:rsidRDefault="00C62002" w:rsidP="00844FD6">
            <w:pPr>
              <w:spacing w:after="120" w:line="240" w:lineRule="auto"/>
              <w:jc w:val="center"/>
            </w:pPr>
            <w:r>
              <w:rPr>
                <w:rFonts w:ascii="Calibri" w:hAnsi="Calibri"/>
                <w:color w:val="000000"/>
              </w:rPr>
              <w:t>30</w:t>
            </w:r>
          </w:p>
        </w:tc>
        <w:tc>
          <w:tcPr>
            <w:tcW w:w="1271" w:type="dxa"/>
            <w:shd w:val="clear" w:color="auto" w:fill="auto"/>
          </w:tcPr>
          <w:p w14:paraId="42394021" w14:textId="66E99D5A" w:rsidR="00C62002" w:rsidRDefault="00C62002" w:rsidP="00844FD6">
            <w:pPr>
              <w:spacing w:after="120" w:line="240" w:lineRule="auto"/>
              <w:jc w:val="center"/>
            </w:pPr>
            <w:r>
              <w:rPr>
                <w:rFonts w:ascii="Calibri" w:hAnsi="Calibri"/>
                <w:color w:val="000000"/>
              </w:rPr>
              <w:t>MEX</w:t>
            </w:r>
          </w:p>
        </w:tc>
        <w:tc>
          <w:tcPr>
            <w:tcW w:w="3589" w:type="dxa"/>
            <w:shd w:val="clear" w:color="auto" w:fill="auto"/>
          </w:tcPr>
          <w:p w14:paraId="295E0336" w14:textId="2B466E72" w:rsidR="00C62002" w:rsidRDefault="00C62002" w:rsidP="00844FD6">
            <w:pPr>
              <w:spacing w:after="120" w:line="240" w:lineRule="auto"/>
            </w:pPr>
            <w:r>
              <w:rPr>
                <w:rFonts w:ascii="Calibri" w:hAnsi="Calibri"/>
                <w:color w:val="000000"/>
              </w:rPr>
              <w:t>Mexico</w:t>
            </w:r>
          </w:p>
        </w:tc>
        <w:tc>
          <w:tcPr>
            <w:tcW w:w="3589" w:type="dxa"/>
            <w:shd w:val="clear" w:color="auto" w:fill="auto"/>
          </w:tcPr>
          <w:p w14:paraId="16AE0490" w14:textId="4807E2B5" w:rsidR="00C62002" w:rsidRDefault="00C62002" w:rsidP="00844FD6">
            <w:pPr>
              <w:spacing w:after="120" w:line="240" w:lineRule="auto"/>
            </w:pPr>
            <w:r>
              <w:rPr>
                <w:rFonts w:ascii="Calibri" w:hAnsi="Calibri"/>
                <w:color w:val="000000"/>
              </w:rPr>
              <w:t>Latin America and the Caribbean</w:t>
            </w:r>
          </w:p>
        </w:tc>
      </w:tr>
      <w:tr w:rsidR="00DE56CF" w14:paraId="6A42E3A3" w14:textId="77777777" w:rsidTr="00DE56CF">
        <w:tc>
          <w:tcPr>
            <w:tcW w:w="567" w:type="dxa"/>
            <w:shd w:val="clear" w:color="auto" w:fill="auto"/>
          </w:tcPr>
          <w:p w14:paraId="52B50F6C" w14:textId="0C27635D" w:rsidR="00C62002" w:rsidRDefault="00C62002" w:rsidP="00844FD6">
            <w:pPr>
              <w:spacing w:after="120" w:line="240" w:lineRule="auto"/>
              <w:jc w:val="center"/>
            </w:pPr>
            <w:r>
              <w:rPr>
                <w:rFonts w:ascii="Calibri" w:hAnsi="Calibri"/>
                <w:color w:val="000000"/>
              </w:rPr>
              <w:t>31</w:t>
            </w:r>
          </w:p>
        </w:tc>
        <w:tc>
          <w:tcPr>
            <w:tcW w:w="1271" w:type="dxa"/>
            <w:shd w:val="clear" w:color="auto" w:fill="auto"/>
          </w:tcPr>
          <w:p w14:paraId="071D8358" w14:textId="5E1BA81F" w:rsidR="00C62002" w:rsidRDefault="00C62002" w:rsidP="00844FD6">
            <w:pPr>
              <w:spacing w:after="120" w:line="240" w:lineRule="auto"/>
              <w:jc w:val="center"/>
            </w:pPr>
            <w:r>
              <w:rPr>
                <w:rFonts w:ascii="Calibri" w:hAnsi="Calibri"/>
                <w:color w:val="000000"/>
              </w:rPr>
              <w:t>MLT</w:t>
            </w:r>
          </w:p>
        </w:tc>
        <w:tc>
          <w:tcPr>
            <w:tcW w:w="3589" w:type="dxa"/>
            <w:shd w:val="clear" w:color="auto" w:fill="auto"/>
          </w:tcPr>
          <w:p w14:paraId="12448A08" w14:textId="660D9616" w:rsidR="00C62002" w:rsidRDefault="00C62002" w:rsidP="00844FD6">
            <w:pPr>
              <w:spacing w:after="120" w:line="240" w:lineRule="auto"/>
            </w:pPr>
            <w:r>
              <w:rPr>
                <w:rFonts w:ascii="Calibri" w:hAnsi="Calibri"/>
                <w:color w:val="000000"/>
              </w:rPr>
              <w:t>Malta</w:t>
            </w:r>
          </w:p>
        </w:tc>
        <w:tc>
          <w:tcPr>
            <w:tcW w:w="3589" w:type="dxa"/>
            <w:shd w:val="clear" w:color="auto" w:fill="auto"/>
          </w:tcPr>
          <w:p w14:paraId="6A701E2F" w14:textId="3243A841" w:rsidR="00C62002" w:rsidRDefault="00C62002" w:rsidP="00844FD6">
            <w:pPr>
              <w:spacing w:after="120" w:line="240" w:lineRule="auto"/>
            </w:pPr>
            <w:r>
              <w:rPr>
                <w:rFonts w:ascii="Calibri" w:hAnsi="Calibri"/>
                <w:color w:val="000000"/>
              </w:rPr>
              <w:t>Middle East and North Africa</w:t>
            </w:r>
          </w:p>
        </w:tc>
      </w:tr>
      <w:tr w:rsidR="00DE56CF" w14:paraId="7313E6C3" w14:textId="77777777" w:rsidTr="00DE56CF">
        <w:tc>
          <w:tcPr>
            <w:tcW w:w="567" w:type="dxa"/>
            <w:shd w:val="clear" w:color="auto" w:fill="auto"/>
          </w:tcPr>
          <w:p w14:paraId="2323DA01" w14:textId="689A8C6B" w:rsidR="00C62002" w:rsidRDefault="00C62002" w:rsidP="00844FD6">
            <w:pPr>
              <w:spacing w:after="120" w:line="240" w:lineRule="auto"/>
              <w:jc w:val="center"/>
            </w:pPr>
            <w:r>
              <w:rPr>
                <w:rFonts w:ascii="Calibri" w:hAnsi="Calibri"/>
                <w:color w:val="000000"/>
              </w:rPr>
              <w:lastRenderedPageBreak/>
              <w:t>32</w:t>
            </w:r>
          </w:p>
        </w:tc>
        <w:tc>
          <w:tcPr>
            <w:tcW w:w="1271" w:type="dxa"/>
            <w:shd w:val="clear" w:color="auto" w:fill="auto"/>
          </w:tcPr>
          <w:p w14:paraId="316F2085" w14:textId="0C09D7AA" w:rsidR="00C62002" w:rsidRDefault="00C62002" w:rsidP="00844FD6">
            <w:pPr>
              <w:spacing w:after="120" w:line="240" w:lineRule="auto"/>
              <w:jc w:val="center"/>
            </w:pPr>
            <w:r>
              <w:rPr>
                <w:rFonts w:ascii="Calibri" w:hAnsi="Calibri"/>
                <w:color w:val="000000"/>
              </w:rPr>
              <w:t>NET</w:t>
            </w:r>
          </w:p>
        </w:tc>
        <w:tc>
          <w:tcPr>
            <w:tcW w:w="3589" w:type="dxa"/>
            <w:shd w:val="clear" w:color="auto" w:fill="auto"/>
          </w:tcPr>
          <w:p w14:paraId="0F3F6516" w14:textId="70A352B9" w:rsidR="00C62002" w:rsidRDefault="00C62002" w:rsidP="00844FD6">
            <w:pPr>
              <w:spacing w:after="120" w:line="240" w:lineRule="auto"/>
            </w:pPr>
            <w:r>
              <w:rPr>
                <w:rFonts w:ascii="Calibri" w:hAnsi="Calibri"/>
                <w:color w:val="000000"/>
              </w:rPr>
              <w:t>Netherlands</w:t>
            </w:r>
          </w:p>
        </w:tc>
        <w:tc>
          <w:tcPr>
            <w:tcW w:w="3589" w:type="dxa"/>
            <w:shd w:val="clear" w:color="auto" w:fill="auto"/>
          </w:tcPr>
          <w:p w14:paraId="0E15BD82" w14:textId="44A9655D" w:rsidR="00C62002" w:rsidRDefault="00C62002" w:rsidP="00844FD6">
            <w:pPr>
              <w:spacing w:after="120" w:line="240" w:lineRule="auto"/>
            </w:pPr>
            <w:r>
              <w:rPr>
                <w:rFonts w:ascii="Calibri" w:hAnsi="Calibri"/>
                <w:color w:val="000000"/>
              </w:rPr>
              <w:t>Europe and Central Asia</w:t>
            </w:r>
          </w:p>
        </w:tc>
      </w:tr>
      <w:tr w:rsidR="00DE56CF" w14:paraId="2511AF0B" w14:textId="77777777" w:rsidTr="00DE56CF">
        <w:tc>
          <w:tcPr>
            <w:tcW w:w="567" w:type="dxa"/>
            <w:shd w:val="clear" w:color="auto" w:fill="auto"/>
          </w:tcPr>
          <w:p w14:paraId="5D88AC11" w14:textId="31A278D4" w:rsidR="00C62002" w:rsidRDefault="00C62002" w:rsidP="00844FD6">
            <w:pPr>
              <w:spacing w:after="120" w:line="240" w:lineRule="auto"/>
              <w:jc w:val="center"/>
            </w:pPr>
            <w:r>
              <w:rPr>
                <w:rFonts w:ascii="Calibri" w:hAnsi="Calibri"/>
                <w:color w:val="000000"/>
              </w:rPr>
              <w:t>33</w:t>
            </w:r>
          </w:p>
        </w:tc>
        <w:tc>
          <w:tcPr>
            <w:tcW w:w="1271" w:type="dxa"/>
            <w:shd w:val="clear" w:color="auto" w:fill="auto"/>
          </w:tcPr>
          <w:p w14:paraId="5F3DF14C" w14:textId="410220E7" w:rsidR="00C62002" w:rsidRDefault="00C62002" w:rsidP="00844FD6">
            <w:pPr>
              <w:spacing w:after="120" w:line="240" w:lineRule="auto"/>
              <w:jc w:val="center"/>
            </w:pPr>
            <w:r>
              <w:rPr>
                <w:rFonts w:ascii="Calibri" w:hAnsi="Calibri"/>
                <w:color w:val="000000"/>
              </w:rPr>
              <w:t>NOR</w:t>
            </w:r>
          </w:p>
        </w:tc>
        <w:tc>
          <w:tcPr>
            <w:tcW w:w="3589" w:type="dxa"/>
            <w:shd w:val="clear" w:color="auto" w:fill="auto"/>
          </w:tcPr>
          <w:p w14:paraId="665EEABE" w14:textId="09B50720" w:rsidR="00C62002" w:rsidRDefault="00C62002" w:rsidP="00844FD6">
            <w:pPr>
              <w:spacing w:after="120" w:line="240" w:lineRule="auto"/>
            </w:pPr>
            <w:r>
              <w:rPr>
                <w:rFonts w:ascii="Calibri" w:hAnsi="Calibri"/>
                <w:color w:val="000000"/>
              </w:rPr>
              <w:t>Norway</w:t>
            </w:r>
          </w:p>
        </w:tc>
        <w:tc>
          <w:tcPr>
            <w:tcW w:w="3589" w:type="dxa"/>
            <w:shd w:val="clear" w:color="auto" w:fill="auto"/>
          </w:tcPr>
          <w:p w14:paraId="626057B5" w14:textId="00DF1BDD" w:rsidR="00C62002" w:rsidRDefault="00C62002" w:rsidP="00844FD6">
            <w:pPr>
              <w:spacing w:after="120" w:line="240" w:lineRule="auto"/>
            </w:pPr>
            <w:r>
              <w:rPr>
                <w:rFonts w:ascii="Calibri" w:hAnsi="Calibri"/>
                <w:color w:val="000000"/>
              </w:rPr>
              <w:t>Europe and Central Asia</w:t>
            </w:r>
          </w:p>
        </w:tc>
      </w:tr>
      <w:tr w:rsidR="00DE56CF" w14:paraId="041467B3" w14:textId="77777777" w:rsidTr="00DE56CF">
        <w:tc>
          <w:tcPr>
            <w:tcW w:w="567" w:type="dxa"/>
            <w:shd w:val="clear" w:color="auto" w:fill="auto"/>
          </w:tcPr>
          <w:p w14:paraId="32750F3D" w14:textId="0A3C9A78" w:rsidR="00C62002" w:rsidRDefault="00C62002" w:rsidP="00844FD6">
            <w:pPr>
              <w:spacing w:after="120" w:line="240" w:lineRule="auto"/>
              <w:jc w:val="center"/>
            </w:pPr>
            <w:r>
              <w:rPr>
                <w:rFonts w:ascii="Calibri" w:hAnsi="Calibri"/>
                <w:color w:val="000000"/>
              </w:rPr>
              <w:t>34</w:t>
            </w:r>
          </w:p>
        </w:tc>
        <w:tc>
          <w:tcPr>
            <w:tcW w:w="1271" w:type="dxa"/>
            <w:shd w:val="clear" w:color="auto" w:fill="auto"/>
          </w:tcPr>
          <w:p w14:paraId="4FD6739F" w14:textId="51FEB560" w:rsidR="00C62002" w:rsidRDefault="00C62002" w:rsidP="00844FD6">
            <w:pPr>
              <w:spacing w:after="120" w:line="240" w:lineRule="auto"/>
              <w:jc w:val="center"/>
            </w:pPr>
            <w:r>
              <w:rPr>
                <w:rFonts w:ascii="Calibri" w:hAnsi="Calibri"/>
                <w:color w:val="000000"/>
              </w:rPr>
              <w:t>POL</w:t>
            </w:r>
          </w:p>
        </w:tc>
        <w:tc>
          <w:tcPr>
            <w:tcW w:w="3589" w:type="dxa"/>
            <w:shd w:val="clear" w:color="auto" w:fill="auto"/>
          </w:tcPr>
          <w:p w14:paraId="711E7A25" w14:textId="338109AB" w:rsidR="00C62002" w:rsidRDefault="00C62002" w:rsidP="00844FD6">
            <w:pPr>
              <w:spacing w:after="120" w:line="240" w:lineRule="auto"/>
            </w:pPr>
            <w:r>
              <w:rPr>
                <w:rFonts w:ascii="Calibri" w:hAnsi="Calibri"/>
                <w:color w:val="000000"/>
              </w:rPr>
              <w:t>Poland</w:t>
            </w:r>
          </w:p>
        </w:tc>
        <w:tc>
          <w:tcPr>
            <w:tcW w:w="3589" w:type="dxa"/>
            <w:shd w:val="clear" w:color="auto" w:fill="auto"/>
          </w:tcPr>
          <w:p w14:paraId="3940C00C" w14:textId="785CA28F" w:rsidR="00C62002" w:rsidRDefault="00C62002" w:rsidP="00844FD6">
            <w:pPr>
              <w:spacing w:after="120" w:line="240" w:lineRule="auto"/>
            </w:pPr>
            <w:r>
              <w:rPr>
                <w:rFonts w:ascii="Calibri" w:hAnsi="Calibri"/>
                <w:color w:val="000000"/>
              </w:rPr>
              <w:t>Europe and Central Asia</w:t>
            </w:r>
          </w:p>
        </w:tc>
      </w:tr>
      <w:tr w:rsidR="00DE56CF" w14:paraId="30F34059" w14:textId="77777777" w:rsidTr="00DE56CF">
        <w:tc>
          <w:tcPr>
            <w:tcW w:w="567" w:type="dxa"/>
            <w:shd w:val="clear" w:color="auto" w:fill="auto"/>
          </w:tcPr>
          <w:p w14:paraId="1DDB019D" w14:textId="14D5460E" w:rsidR="00C62002" w:rsidRDefault="00C62002" w:rsidP="00844FD6">
            <w:pPr>
              <w:spacing w:after="120" w:line="240" w:lineRule="auto"/>
              <w:jc w:val="center"/>
            </w:pPr>
            <w:r>
              <w:rPr>
                <w:rFonts w:ascii="Calibri" w:hAnsi="Calibri"/>
                <w:color w:val="000000"/>
              </w:rPr>
              <w:t>35</w:t>
            </w:r>
          </w:p>
        </w:tc>
        <w:tc>
          <w:tcPr>
            <w:tcW w:w="1271" w:type="dxa"/>
            <w:shd w:val="clear" w:color="auto" w:fill="auto"/>
          </w:tcPr>
          <w:p w14:paraId="75D9B7BA" w14:textId="54ED5589" w:rsidR="00C62002" w:rsidRDefault="00C62002" w:rsidP="00844FD6">
            <w:pPr>
              <w:spacing w:after="120" w:line="240" w:lineRule="auto"/>
              <w:jc w:val="center"/>
            </w:pPr>
            <w:r>
              <w:rPr>
                <w:rFonts w:ascii="Calibri" w:hAnsi="Calibri"/>
                <w:color w:val="000000"/>
              </w:rPr>
              <w:t>POR</w:t>
            </w:r>
          </w:p>
        </w:tc>
        <w:tc>
          <w:tcPr>
            <w:tcW w:w="3589" w:type="dxa"/>
            <w:shd w:val="clear" w:color="auto" w:fill="auto"/>
          </w:tcPr>
          <w:p w14:paraId="3C6A56A7" w14:textId="2FF7496E" w:rsidR="00C62002" w:rsidRDefault="00C62002" w:rsidP="00844FD6">
            <w:pPr>
              <w:spacing w:after="120" w:line="240" w:lineRule="auto"/>
            </w:pPr>
            <w:r>
              <w:rPr>
                <w:rFonts w:ascii="Calibri" w:hAnsi="Calibri"/>
                <w:color w:val="000000"/>
              </w:rPr>
              <w:t>Portugal</w:t>
            </w:r>
          </w:p>
        </w:tc>
        <w:tc>
          <w:tcPr>
            <w:tcW w:w="3589" w:type="dxa"/>
            <w:shd w:val="clear" w:color="auto" w:fill="auto"/>
          </w:tcPr>
          <w:p w14:paraId="568B16B7" w14:textId="3CC8C093" w:rsidR="00C62002" w:rsidRDefault="00C62002" w:rsidP="00844FD6">
            <w:pPr>
              <w:spacing w:after="120" w:line="240" w:lineRule="auto"/>
            </w:pPr>
            <w:r>
              <w:rPr>
                <w:rFonts w:ascii="Calibri" w:hAnsi="Calibri"/>
                <w:color w:val="000000"/>
              </w:rPr>
              <w:t>Europe and Central Asia</w:t>
            </w:r>
          </w:p>
        </w:tc>
      </w:tr>
      <w:tr w:rsidR="00DE56CF" w14:paraId="194E92E1" w14:textId="77777777" w:rsidTr="00DE56CF">
        <w:tc>
          <w:tcPr>
            <w:tcW w:w="567" w:type="dxa"/>
            <w:shd w:val="clear" w:color="auto" w:fill="auto"/>
          </w:tcPr>
          <w:p w14:paraId="7EF87650" w14:textId="7C90A968" w:rsidR="00C62002" w:rsidRDefault="00C62002" w:rsidP="00844FD6">
            <w:pPr>
              <w:spacing w:after="120" w:line="240" w:lineRule="auto"/>
              <w:jc w:val="center"/>
            </w:pPr>
            <w:r>
              <w:rPr>
                <w:rFonts w:ascii="Calibri" w:hAnsi="Calibri"/>
                <w:color w:val="000000"/>
              </w:rPr>
              <w:t>36</w:t>
            </w:r>
          </w:p>
        </w:tc>
        <w:tc>
          <w:tcPr>
            <w:tcW w:w="1271" w:type="dxa"/>
            <w:shd w:val="clear" w:color="auto" w:fill="auto"/>
          </w:tcPr>
          <w:p w14:paraId="1CDFCF0E" w14:textId="54BFEB19" w:rsidR="00C62002" w:rsidRDefault="00C62002" w:rsidP="00844FD6">
            <w:pPr>
              <w:spacing w:after="120" w:line="240" w:lineRule="auto"/>
              <w:jc w:val="center"/>
            </w:pPr>
            <w:r>
              <w:rPr>
                <w:rFonts w:ascii="Calibri" w:hAnsi="Calibri"/>
                <w:color w:val="000000"/>
              </w:rPr>
              <w:t>ROU</w:t>
            </w:r>
          </w:p>
        </w:tc>
        <w:tc>
          <w:tcPr>
            <w:tcW w:w="3589" w:type="dxa"/>
            <w:shd w:val="clear" w:color="auto" w:fill="auto"/>
          </w:tcPr>
          <w:p w14:paraId="51170674" w14:textId="61AB02B6" w:rsidR="00C62002" w:rsidRDefault="00C62002" w:rsidP="00844FD6">
            <w:pPr>
              <w:spacing w:after="120" w:line="240" w:lineRule="auto"/>
            </w:pPr>
            <w:r>
              <w:rPr>
                <w:rFonts w:ascii="Calibri" w:hAnsi="Calibri"/>
                <w:color w:val="000000"/>
              </w:rPr>
              <w:t>Romania</w:t>
            </w:r>
          </w:p>
        </w:tc>
        <w:tc>
          <w:tcPr>
            <w:tcW w:w="3589" w:type="dxa"/>
            <w:shd w:val="clear" w:color="auto" w:fill="auto"/>
          </w:tcPr>
          <w:p w14:paraId="7B5F7D15" w14:textId="7893D7C8" w:rsidR="00C62002" w:rsidRDefault="00C62002" w:rsidP="00844FD6">
            <w:pPr>
              <w:spacing w:after="120" w:line="240" w:lineRule="auto"/>
            </w:pPr>
            <w:r>
              <w:rPr>
                <w:rFonts w:ascii="Calibri" w:hAnsi="Calibri"/>
                <w:color w:val="000000"/>
              </w:rPr>
              <w:t>Europe and Central Asia</w:t>
            </w:r>
          </w:p>
        </w:tc>
      </w:tr>
      <w:tr w:rsidR="00DE56CF" w14:paraId="71F39083" w14:textId="77777777" w:rsidTr="00DE56CF">
        <w:tc>
          <w:tcPr>
            <w:tcW w:w="567" w:type="dxa"/>
            <w:shd w:val="clear" w:color="auto" w:fill="auto"/>
          </w:tcPr>
          <w:p w14:paraId="76658C24" w14:textId="5ACA016D" w:rsidR="00C62002" w:rsidRDefault="00C62002" w:rsidP="00844FD6">
            <w:pPr>
              <w:spacing w:after="120" w:line="240" w:lineRule="auto"/>
              <w:jc w:val="center"/>
            </w:pPr>
            <w:r>
              <w:rPr>
                <w:rFonts w:ascii="Calibri" w:hAnsi="Calibri"/>
                <w:color w:val="000000"/>
              </w:rPr>
              <w:t>37</w:t>
            </w:r>
          </w:p>
        </w:tc>
        <w:tc>
          <w:tcPr>
            <w:tcW w:w="1271" w:type="dxa"/>
            <w:shd w:val="clear" w:color="auto" w:fill="auto"/>
          </w:tcPr>
          <w:p w14:paraId="30BE2914" w14:textId="12A5907C" w:rsidR="00C62002" w:rsidRDefault="00C62002" w:rsidP="00844FD6">
            <w:pPr>
              <w:spacing w:after="120" w:line="240" w:lineRule="auto"/>
              <w:jc w:val="center"/>
            </w:pPr>
            <w:r>
              <w:rPr>
                <w:rFonts w:ascii="Calibri" w:hAnsi="Calibri"/>
                <w:color w:val="000000"/>
              </w:rPr>
              <w:t>RUS</w:t>
            </w:r>
          </w:p>
        </w:tc>
        <w:tc>
          <w:tcPr>
            <w:tcW w:w="3589" w:type="dxa"/>
            <w:shd w:val="clear" w:color="auto" w:fill="auto"/>
          </w:tcPr>
          <w:p w14:paraId="0A3AC29B" w14:textId="74A4AF5F" w:rsidR="00C62002" w:rsidRDefault="00C62002" w:rsidP="00844FD6">
            <w:pPr>
              <w:spacing w:after="120" w:line="240" w:lineRule="auto"/>
            </w:pPr>
            <w:r>
              <w:rPr>
                <w:rFonts w:ascii="Calibri" w:hAnsi="Calibri"/>
                <w:color w:val="000000"/>
              </w:rPr>
              <w:t>Russia</w:t>
            </w:r>
          </w:p>
        </w:tc>
        <w:tc>
          <w:tcPr>
            <w:tcW w:w="3589" w:type="dxa"/>
            <w:shd w:val="clear" w:color="auto" w:fill="auto"/>
          </w:tcPr>
          <w:p w14:paraId="0B485BB9" w14:textId="6CE8D6E8" w:rsidR="00C62002" w:rsidRDefault="00C62002" w:rsidP="00844FD6">
            <w:pPr>
              <w:spacing w:after="120" w:line="240" w:lineRule="auto"/>
            </w:pPr>
            <w:r>
              <w:rPr>
                <w:rFonts w:ascii="Calibri" w:hAnsi="Calibri"/>
                <w:color w:val="000000"/>
              </w:rPr>
              <w:t>Europe and Central Asia</w:t>
            </w:r>
          </w:p>
        </w:tc>
      </w:tr>
      <w:tr w:rsidR="00DE56CF" w14:paraId="4998A202" w14:textId="77777777" w:rsidTr="00DE56CF">
        <w:tc>
          <w:tcPr>
            <w:tcW w:w="567" w:type="dxa"/>
            <w:shd w:val="clear" w:color="auto" w:fill="auto"/>
          </w:tcPr>
          <w:p w14:paraId="27FBD64C" w14:textId="3B8964D0" w:rsidR="00C62002" w:rsidRDefault="00C62002" w:rsidP="00844FD6">
            <w:pPr>
              <w:spacing w:after="120" w:line="240" w:lineRule="auto"/>
              <w:jc w:val="center"/>
            </w:pPr>
            <w:r>
              <w:rPr>
                <w:rFonts w:ascii="Calibri" w:hAnsi="Calibri"/>
                <w:color w:val="000000"/>
              </w:rPr>
              <w:t>38</w:t>
            </w:r>
          </w:p>
        </w:tc>
        <w:tc>
          <w:tcPr>
            <w:tcW w:w="1271" w:type="dxa"/>
            <w:shd w:val="clear" w:color="auto" w:fill="auto"/>
          </w:tcPr>
          <w:p w14:paraId="0358D9E2" w14:textId="20ED5402" w:rsidR="00C62002" w:rsidRDefault="00C62002" w:rsidP="00844FD6">
            <w:pPr>
              <w:spacing w:after="120" w:line="240" w:lineRule="auto"/>
              <w:jc w:val="center"/>
            </w:pPr>
            <w:r>
              <w:rPr>
                <w:rFonts w:ascii="Calibri" w:hAnsi="Calibri"/>
                <w:color w:val="000000"/>
              </w:rPr>
              <w:t>SVK</w:t>
            </w:r>
          </w:p>
        </w:tc>
        <w:tc>
          <w:tcPr>
            <w:tcW w:w="3589" w:type="dxa"/>
            <w:shd w:val="clear" w:color="auto" w:fill="auto"/>
          </w:tcPr>
          <w:p w14:paraId="02AB7664" w14:textId="4BBC9F67" w:rsidR="00C62002" w:rsidRDefault="00C62002" w:rsidP="00844FD6">
            <w:pPr>
              <w:spacing w:after="120" w:line="240" w:lineRule="auto"/>
            </w:pPr>
            <w:r>
              <w:rPr>
                <w:rFonts w:ascii="Calibri" w:hAnsi="Calibri"/>
                <w:color w:val="000000"/>
              </w:rPr>
              <w:t>Slovak Republic</w:t>
            </w:r>
          </w:p>
        </w:tc>
        <w:tc>
          <w:tcPr>
            <w:tcW w:w="3589" w:type="dxa"/>
            <w:shd w:val="clear" w:color="auto" w:fill="auto"/>
          </w:tcPr>
          <w:p w14:paraId="06E99227" w14:textId="1E3C019F" w:rsidR="00C62002" w:rsidRDefault="00C62002" w:rsidP="00844FD6">
            <w:pPr>
              <w:spacing w:after="120" w:line="240" w:lineRule="auto"/>
            </w:pPr>
            <w:r>
              <w:rPr>
                <w:rFonts w:ascii="Calibri" w:hAnsi="Calibri"/>
                <w:color w:val="000000"/>
              </w:rPr>
              <w:t>Europe and Central Asia</w:t>
            </w:r>
          </w:p>
        </w:tc>
      </w:tr>
      <w:tr w:rsidR="00DE56CF" w14:paraId="61AAC17F" w14:textId="77777777" w:rsidTr="00DE56CF">
        <w:tc>
          <w:tcPr>
            <w:tcW w:w="567" w:type="dxa"/>
            <w:shd w:val="clear" w:color="auto" w:fill="auto"/>
          </w:tcPr>
          <w:p w14:paraId="7F8C0E44" w14:textId="7F16E402" w:rsidR="00C62002" w:rsidRDefault="00C62002" w:rsidP="00844FD6">
            <w:pPr>
              <w:spacing w:after="120" w:line="240" w:lineRule="auto"/>
              <w:jc w:val="center"/>
            </w:pPr>
            <w:r>
              <w:rPr>
                <w:rFonts w:ascii="Calibri" w:hAnsi="Calibri"/>
                <w:color w:val="000000"/>
              </w:rPr>
              <w:t>39</w:t>
            </w:r>
          </w:p>
        </w:tc>
        <w:tc>
          <w:tcPr>
            <w:tcW w:w="1271" w:type="dxa"/>
            <w:shd w:val="clear" w:color="auto" w:fill="auto"/>
          </w:tcPr>
          <w:p w14:paraId="3B0C38AB" w14:textId="2C362A39" w:rsidR="00C62002" w:rsidRDefault="00C62002" w:rsidP="00844FD6">
            <w:pPr>
              <w:spacing w:after="120" w:line="240" w:lineRule="auto"/>
              <w:jc w:val="center"/>
            </w:pPr>
            <w:r>
              <w:rPr>
                <w:rFonts w:ascii="Calibri" w:hAnsi="Calibri"/>
                <w:color w:val="000000"/>
              </w:rPr>
              <w:t>SVN</w:t>
            </w:r>
          </w:p>
        </w:tc>
        <w:tc>
          <w:tcPr>
            <w:tcW w:w="3589" w:type="dxa"/>
            <w:shd w:val="clear" w:color="auto" w:fill="auto"/>
          </w:tcPr>
          <w:p w14:paraId="5EE6DC99" w14:textId="34FE8C2C" w:rsidR="00C62002" w:rsidRDefault="00C62002" w:rsidP="00844FD6">
            <w:pPr>
              <w:spacing w:after="120" w:line="240" w:lineRule="auto"/>
            </w:pPr>
            <w:r>
              <w:rPr>
                <w:rFonts w:ascii="Calibri" w:hAnsi="Calibri"/>
                <w:color w:val="000000"/>
              </w:rPr>
              <w:t>Slovenia</w:t>
            </w:r>
          </w:p>
        </w:tc>
        <w:tc>
          <w:tcPr>
            <w:tcW w:w="3589" w:type="dxa"/>
            <w:shd w:val="clear" w:color="auto" w:fill="auto"/>
          </w:tcPr>
          <w:p w14:paraId="59A9C9AC" w14:textId="2454480E" w:rsidR="00C62002" w:rsidRDefault="00C62002" w:rsidP="00844FD6">
            <w:pPr>
              <w:spacing w:after="120" w:line="240" w:lineRule="auto"/>
            </w:pPr>
            <w:r>
              <w:rPr>
                <w:rFonts w:ascii="Calibri" w:hAnsi="Calibri"/>
                <w:color w:val="000000"/>
              </w:rPr>
              <w:t>Europe and Central Asia</w:t>
            </w:r>
          </w:p>
        </w:tc>
      </w:tr>
      <w:tr w:rsidR="00DE56CF" w14:paraId="4FA5856D" w14:textId="77777777" w:rsidTr="00DE56CF">
        <w:tc>
          <w:tcPr>
            <w:tcW w:w="567" w:type="dxa"/>
            <w:shd w:val="clear" w:color="auto" w:fill="auto"/>
          </w:tcPr>
          <w:p w14:paraId="6ECE0232" w14:textId="505D1348" w:rsidR="00C62002" w:rsidRDefault="00C62002" w:rsidP="00844FD6">
            <w:pPr>
              <w:spacing w:after="120" w:line="240" w:lineRule="auto"/>
              <w:jc w:val="center"/>
            </w:pPr>
            <w:r>
              <w:rPr>
                <w:rFonts w:ascii="Calibri" w:hAnsi="Calibri"/>
                <w:color w:val="000000"/>
              </w:rPr>
              <w:t>40</w:t>
            </w:r>
          </w:p>
        </w:tc>
        <w:tc>
          <w:tcPr>
            <w:tcW w:w="1271" w:type="dxa"/>
            <w:shd w:val="clear" w:color="auto" w:fill="auto"/>
          </w:tcPr>
          <w:p w14:paraId="703728EE" w14:textId="1DB994F7" w:rsidR="00C62002" w:rsidRDefault="00C62002" w:rsidP="00844FD6">
            <w:pPr>
              <w:spacing w:after="120" w:line="240" w:lineRule="auto"/>
              <w:jc w:val="center"/>
            </w:pPr>
            <w:r>
              <w:rPr>
                <w:rFonts w:ascii="Calibri" w:hAnsi="Calibri"/>
                <w:color w:val="000000"/>
              </w:rPr>
              <w:t>SWE</w:t>
            </w:r>
          </w:p>
        </w:tc>
        <w:tc>
          <w:tcPr>
            <w:tcW w:w="3589" w:type="dxa"/>
            <w:shd w:val="clear" w:color="auto" w:fill="auto"/>
          </w:tcPr>
          <w:p w14:paraId="0F2A1A8A" w14:textId="7394791B" w:rsidR="00C62002" w:rsidRDefault="00C62002" w:rsidP="00844FD6">
            <w:pPr>
              <w:spacing w:after="120" w:line="240" w:lineRule="auto"/>
            </w:pPr>
            <w:r>
              <w:rPr>
                <w:rFonts w:ascii="Calibri" w:hAnsi="Calibri"/>
                <w:color w:val="000000"/>
              </w:rPr>
              <w:t>Sweden</w:t>
            </w:r>
          </w:p>
        </w:tc>
        <w:tc>
          <w:tcPr>
            <w:tcW w:w="3589" w:type="dxa"/>
            <w:shd w:val="clear" w:color="auto" w:fill="auto"/>
          </w:tcPr>
          <w:p w14:paraId="5D48DF25" w14:textId="21F6F58D" w:rsidR="00C62002" w:rsidRDefault="00C62002" w:rsidP="00844FD6">
            <w:pPr>
              <w:spacing w:after="120" w:line="240" w:lineRule="auto"/>
            </w:pPr>
            <w:r>
              <w:rPr>
                <w:rFonts w:ascii="Calibri" w:hAnsi="Calibri"/>
                <w:color w:val="000000"/>
              </w:rPr>
              <w:t>Europe and Central Asia</w:t>
            </w:r>
          </w:p>
        </w:tc>
      </w:tr>
      <w:tr w:rsidR="00DE56CF" w14:paraId="6B8411A5" w14:textId="77777777" w:rsidTr="00DE56CF">
        <w:tc>
          <w:tcPr>
            <w:tcW w:w="567" w:type="dxa"/>
            <w:shd w:val="clear" w:color="auto" w:fill="auto"/>
          </w:tcPr>
          <w:p w14:paraId="6BA4B35C" w14:textId="4870E359" w:rsidR="00464FF9" w:rsidRDefault="00464FF9" w:rsidP="00844FD6">
            <w:pPr>
              <w:spacing w:after="120" w:line="240" w:lineRule="auto"/>
              <w:jc w:val="center"/>
            </w:pPr>
            <w:r>
              <w:rPr>
                <w:rFonts w:ascii="Calibri" w:hAnsi="Calibri"/>
                <w:color w:val="000000"/>
              </w:rPr>
              <w:t>41</w:t>
            </w:r>
          </w:p>
        </w:tc>
        <w:tc>
          <w:tcPr>
            <w:tcW w:w="1271" w:type="dxa"/>
            <w:shd w:val="clear" w:color="auto" w:fill="auto"/>
          </w:tcPr>
          <w:p w14:paraId="2881B667" w14:textId="2DCEB8DB" w:rsidR="00464FF9" w:rsidRDefault="00464FF9" w:rsidP="00844FD6">
            <w:pPr>
              <w:spacing w:after="120" w:line="240" w:lineRule="auto"/>
              <w:jc w:val="center"/>
            </w:pPr>
            <w:r>
              <w:rPr>
                <w:rFonts w:ascii="Calibri" w:hAnsi="Calibri"/>
                <w:color w:val="000000"/>
              </w:rPr>
              <w:t>TUR</w:t>
            </w:r>
          </w:p>
        </w:tc>
        <w:tc>
          <w:tcPr>
            <w:tcW w:w="3589" w:type="dxa"/>
            <w:shd w:val="clear" w:color="auto" w:fill="auto"/>
          </w:tcPr>
          <w:p w14:paraId="133F4924" w14:textId="6E967622" w:rsidR="00464FF9" w:rsidRDefault="00464FF9" w:rsidP="00844FD6">
            <w:pPr>
              <w:spacing w:after="120" w:line="240" w:lineRule="auto"/>
            </w:pPr>
            <w:r>
              <w:rPr>
                <w:rFonts w:ascii="Calibri" w:hAnsi="Calibri"/>
                <w:color w:val="000000"/>
              </w:rPr>
              <w:t>Turkey</w:t>
            </w:r>
          </w:p>
        </w:tc>
        <w:tc>
          <w:tcPr>
            <w:tcW w:w="3589" w:type="dxa"/>
            <w:shd w:val="clear" w:color="auto" w:fill="auto"/>
          </w:tcPr>
          <w:p w14:paraId="7DE594A2" w14:textId="1D3EE89F" w:rsidR="00464FF9" w:rsidRDefault="00464FF9" w:rsidP="00844FD6">
            <w:pPr>
              <w:spacing w:after="120" w:line="240" w:lineRule="auto"/>
            </w:pPr>
            <w:r>
              <w:rPr>
                <w:rFonts w:ascii="Calibri" w:hAnsi="Calibri"/>
                <w:color w:val="000000"/>
              </w:rPr>
              <w:t>Europe and Central Asia</w:t>
            </w:r>
          </w:p>
        </w:tc>
      </w:tr>
      <w:tr w:rsidR="00DE56CF" w14:paraId="5D50A061" w14:textId="77777777" w:rsidTr="00DE56CF">
        <w:tc>
          <w:tcPr>
            <w:tcW w:w="567" w:type="dxa"/>
            <w:shd w:val="clear" w:color="auto" w:fill="auto"/>
          </w:tcPr>
          <w:p w14:paraId="44A5DE74" w14:textId="116ECF64" w:rsidR="00464FF9" w:rsidRDefault="00464FF9" w:rsidP="00844FD6">
            <w:pPr>
              <w:spacing w:after="120" w:line="240" w:lineRule="auto"/>
              <w:jc w:val="center"/>
            </w:pPr>
            <w:r>
              <w:rPr>
                <w:rFonts w:ascii="Calibri" w:hAnsi="Calibri"/>
                <w:color w:val="000000"/>
              </w:rPr>
              <w:t>42</w:t>
            </w:r>
          </w:p>
        </w:tc>
        <w:tc>
          <w:tcPr>
            <w:tcW w:w="1271" w:type="dxa"/>
            <w:shd w:val="clear" w:color="auto" w:fill="auto"/>
          </w:tcPr>
          <w:p w14:paraId="2A53D731" w14:textId="6316E892" w:rsidR="00464FF9" w:rsidRDefault="00464FF9" w:rsidP="00844FD6">
            <w:pPr>
              <w:spacing w:after="120" w:line="240" w:lineRule="auto"/>
              <w:jc w:val="center"/>
            </w:pPr>
            <w:r>
              <w:rPr>
                <w:rFonts w:ascii="Calibri" w:hAnsi="Calibri"/>
                <w:color w:val="000000"/>
              </w:rPr>
              <w:t>TAP</w:t>
            </w:r>
          </w:p>
        </w:tc>
        <w:tc>
          <w:tcPr>
            <w:tcW w:w="3589" w:type="dxa"/>
            <w:shd w:val="clear" w:color="auto" w:fill="auto"/>
          </w:tcPr>
          <w:p w14:paraId="6D733E7A" w14:textId="00E5208E" w:rsidR="00464FF9" w:rsidRDefault="00464FF9" w:rsidP="00844FD6">
            <w:pPr>
              <w:spacing w:after="120" w:line="240" w:lineRule="auto"/>
            </w:pPr>
            <w:proofErr w:type="spellStart"/>
            <w:r>
              <w:rPr>
                <w:rFonts w:ascii="Calibri" w:hAnsi="Calibri"/>
                <w:color w:val="000000"/>
              </w:rPr>
              <w:t>Taipei,China</w:t>
            </w:r>
            <w:proofErr w:type="spellEnd"/>
          </w:p>
        </w:tc>
        <w:tc>
          <w:tcPr>
            <w:tcW w:w="3589" w:type="dxa"/>
            <w:shd w:val="clear" w:color="auto" w:fill="auto"/>
          </w:tcPr>
          <w:p w14:paraId="7930B9B0" w14:textId="711E9032" w:rsidR="00464FF9" w:rsidRDefault="00464FF9" w:rsidP="00844FD6">
            <w:pPr>
              <w:spacing w:after="120" w:line="240" w:lineRule="auto"/>
            </w:pPr>
            <w:r>
              <w:rPr>
                <w:rFonts w:ascii="Calibri" w:hAnsi="Calibri"/>
                <w:color w:val="000000"/>
              </w:rPr>
              <w:t>East Asia and Pacific</w:t>
            </w:r>
          </w:p>
        </w:tc>
      </w:tr>
      <w:tr w:rsidR="00DE56CF" w14:paraId="638082AB" w14:textId="77777777" w:rsidTr="00DE56CF">
        <w:tc>
          <w:tcPr>
            <w:tcW w:w="567" w:type="dxa"/>
            <w:shd w:val="clear" w:color="auto" w:fill="auto"/>
          </w:tcPr>
          <w:p w14:paraId="7925846C" w14:textId="3C8EB93D" w:rsidR="00464FF9" w:rsidRDefault="00464FF9" w:rsidP="00844FD6">
            <w:pPr>
              <w:spacing w:after="120" w:line="240" w:lineRule="auto"/>
              <w:jc w:val="center"/>
            </w:pPr>
            <w:r>
              <w:rPr>
                <w:rFonts w:ascii="Calibri" w:hAnsi="Calibri"/>
                <w:color w:val="000000"/>
              </w:rPr>
              <w:t>43</w:t>
            </w:r>
          </w:p>
        </w:tc>
        <w:tc>
          <w:tcPr>
            <w:tcW w:w="1271" w:type="dxa"/>
            <w:shd w:val="clear" w:color="auto" w:fill="auto"/>
          </w:tcPr>
          <w:p w14:paraId="2F56259C" w14:textId="4A652DE7" w:rsidR="00464FF9" w:rsidRDefault="00464FF9" w:rsidP="00844FD6">
            <w:pPr>
              <w:spacing w:after="120" w:line="240" w:lineRule="auto"/>
              <w:jc w:val="center"/>
            </w:pPr>
            <w:r>
              <w:rPr>
                <w:rFonts w:ascii="Calibri" w:hAnsi="Calibri"/>
                <w:color w:val="000000"/>
              </w:rPr>
              <w:t>USA</w:t>
            </w:r>
          </w:p>
        </w:tc>
        <w:tc>
          <w:tcPr>
            <w:tcW w:w="3589" w:type="dxa"/>
            <w:shd w:val="clear" w:color="auto" w:fill="auto"/>
          </w:tcPr>
          <w:p w14:paraId="16EDAD9D" w14:textId="269EE178" w:rsidR="00464FF9" w:rsidRDefault="00464FF9" w:rsidP="00844FD6">
            <w:pPr>
              <w:spacing w:after="120" w:line="240" w:lineRule="auto"/>
            </w:pPr>
            <w:r>
              <w:rPr>
                <w:rFonts w:ascii="Calibri" w:hAnsi="Calibri"/>
                <w:color w:val="000000"/>
              </w:rPr>
              <w:t>United States</w:t>
            </w:r>
          </w:p>
        </w:tc>
        <w:tc>
          <w:tcPr>
            <w:tcW w:w="3589" w:type="dxa"/>
            <w:shd w:val="clear" w:color="auto" w:fill="auto"/>
          </w:tcPr>
          <w:p w14:paraId="372A0EA4" w14:textId="383C774F" w:rsidR="00464FF9" w:rsidRDefault="00464FF9" w:rsidP="00844FD6">
            <w:pPr>
              <w:spacing w:after="120" w:line="240" w:lineRule="auto"/>
            </w:pPr>
            <w:r>
              <w:rPr>
                <w:rFonts w:ascii="Calibri" w:hAnsi="Calibri"/>
                <w:color w:val="000000"/>
              </w:rPr>
              <w:t>North America</w:t>
            </w:r>
          </w:p>
        </w:tc>
      </w:tr>
      <w:tr w:rsidR="00DE56CF" w14:paraId="05939601" w14:textId="77777777" w:rsidTr="00DE56CF">
        <w:tc>
          <w:tcPr>
            <w:tcW w:w="567" w:type="dxa"/>
            <w:shd w:val="clear" w:color="auto" w:fill="auto"/>
          </w:tcPr>
          <w:p w14:paraId="5421B2D6" w14:textId="02B9ECD1" w:rsidR="00464FF9" w:rsidRDefault="00464FF9" w:rsidP="00844FD6">
            <w:pPr>
              <w:spacing w:after="120" w:line="240" w:lineRule="auto"/>
              <w:jc w:val="center"/>
            </w:pPr>
            <w:r>
              <w:rPr>
                <w:rFonts w:ascii="Calibri" w:hAnsi="Calibri"/>
                <w:color w:val="000000"/>
              </w:rPr>
              <w:t>44</w:t>
            </w:r>
          </w:p>
        </w:tc>
        <w:tc>
          <w:tcPr>
            <w:tcW w:w="1271" w:type="dxa"/>
            <w:shd w:val="clear" w:color="auto" w:fill="auto"/>
          </w:tcPr>
          <w:p w14:paraId="2BD697FB" w14:textId="31BEBC9B" w:rsidR="00464FF9" w:rsidRDefault="00464FF9" w:rsidP="00844FD6">
            <w:pPr>
              <w:spacing w:after="120" w:line="240" w:lineRule="auto"/>
              <w:jc w:val="center"/>
            </w:pPr>
            <w:r>
              <w:rPr>
                <w:rFonts w:ascii="Calibri" w:hAnsi="Calibri"/>
                <w:color w:val="000000"/>
              </w:rPr>
              <w:t>BAN</w:t>
            </w:r>
          </w:p>
        </w:tc>
        <w:tc>
          <w:tcPr>
            <w:tcW w:w="3589" w:type="dxa"/>
            <w:shd w:val="clear" w:color="auto" w:fill="auto"/>
          </w:tcPr>
          <w:p w14:paraId="629142A9" w14:textId="7D56665E" w:rsidR="00464FF9" w:rsidRDefault="00464FF9" w:rsidP="00844FD6">
            <w:pPr>
              <w:spacing w:after="120" w:line="240" w:lineRule="auto"/>
            </w:pPr>
            <w:r>
              <w:rPr>
                <w:rFonts w:ascii="Calibri" w:hAnsi="Calibri"/>
                <w:color w:val="000000"/>
              </w:rPr>
              <w:t>Bangladesh</w:t>
            </w:r>
          </w:p>
        </w:tc>
        <w:tc>
          <w:tcPr>
            <w:tcW w:w="3589" w:type="dxa"/>
            <w:shd w:val="clear" w:color="auto" w:fill="auto"/>
          </w:tcPr>
          <w:p w14:paraId="79B73C5C" w14:textId="76A20FBE" w:rsidR="00464FF9" w:rsidRDefault="00464FF9" w:rsidP="00844FD6">
            <w:pPr>
              <w:spacing w:after="120" w:line="240" w:lineRule="auto"/>
            </w:pPr>
            <w:r>
              <w:rPr>
                <w:rFonts w:ascii="Calibri" w:hAnsi="Calibri"/>
                <w:color w:val="000000"/>
              </w:rPr>
              <w:t>South Asia</w:t>
            </w:r>
          </w:p>
        </w:tc>
      </w:tr>
      <w:tr w:rsidR="00DE56CF" w14:paraId="259E48AA" w14:textId="77777777" w:rsidTr="00DE56CF">
        <w:tc>
          <w:tcPr>
            <w:tcW w:w="567" w:type="dxa"/>
            <w:shd w:val="clear" w:color="auto" w:fill="auto"/>
          </w:tcPr>
          <w:p w14:paraId="09EE4C27" w14:textId="4242E5EF" w:rsidR="00464FF9" w:rsidRDefault="00464FF9" w:rsidP="00844FD6">
            <w:pPr>
              <w:spacing w:after="120" w:line="240" w:lineRule="auto"/>
              <w:jc w:val="center"/>
            </w:pPr>
            <w:r>
              <w:rPr>
                <w:rFonts w:ascii="Calibri" w:hAnsi="Calibri"/>
                <w:color w:val="000000"/>
              </w:rPr>
              <w:t>45</w:t>
            </w:r>
          </w:p>
        </w:tc>
        <w:tc>
          <w:tcPr>
            <w:tcW w:w="1271" w:type="dxa"/>
            <w:shd w:val="clear" w:color="auto" w:fill="auto"/>
          </w:tcPr>
          <w:p w14:paraId="15EC38F4" w14:textId="1B7BC9AF" w:rsidR="00464FF9" w:rsidRDefault="00464FF9" w:rsidP="00844FD6">
            <w:pPr>
              <w:spacing w:after="120" w:line="240" w:lineRule="auto"/>
              <w:jc w:val="center"/>
            </w:pPr>
            <w:r>
              <w:rPr>
                <w:rFonts w:ascii="Calibri" w:hAnsi="Calibri"/>
                <w:color w:val="000000"/>
              </w:rPr>
              <w:t>MAL</w:t>
            </w:r>
          </w:p>
        </w:tc>
        <w:tc>
          <w:tcPr>
            <w:tcW w:w="3589" w:type="dxa"/>
            <w:shd w:val="clear" w:color="auto" w:fill="auto"/>
          </w:tcPr>
          <w:p w14:paraId="2251B8BE" w14:textId="76F4F977" w:rsidR="00464FF9" w:rsidRDefault="00464FF9" w:rsidP="00844FD6">
            <w:pPr>
              <w:spacing w:after="120" w:line="240" w:lineRule="auto"/>
            </w:pPr>
            <w:r>
              <w:rPr>
                <w:rFonts w:ascii="Calibri" w:hAnsi="Calibri"/>
                <w:color w:val="000000"/>
              </w:rPr>
              <w:t>Malaysia</w:t>
            </w:r>
          </w:p>
        </w:tc>
        <w:tc>
          <w:tcPr>
            <w:tcW w:w="3589" w:type="dxa"/>
            <w:shd w:val="clear" w:color="auto" w:fill="auto"/>
          </w:tcPr>
          <w:p w14:paraId="34290B2B" w14:textId="2F134198" w:rsidR="00464FF9" w:rsidRDefault="00464FF9" w:rsidP="00844FD6">
            <w:pPr>
              <w:spacing w:after="120" w:line="240" w:lineRule="auto"/>
            </w:pPr>
            <w:r>
              <w:rPr>
                <w:rFonts w:ascii="Calibri" w:hAnsi="Calibri"/>
                <w:color w:val="000000"/>
              </w:rPr>
              <w:t>East Asia and Pacific</w:t>
            </w:r>
          </w:p>
        </w:tc>
      </w:tr>
      <w:tr w:rsidR="00DE56CF" w14:paraId="3833467E" w14:textId="77777777" w:rsidTr="00DE56CF">
        <w:tc>
          <w:tcPr>
            <w:tcW w:w="567" w:type="dxa"/>
            <w:shd w:val="clear" w:color="auto" w:fill="auto"/>
          </w:tcPr>
          <w:p w14:paraId="445665A5" w14:textId="10C82556" w:rsidR="00464FF9" w:rsidRDefault="00464FF9" w:rsidP="00844FD6">
            <w:pPr>
              <w:spacing w:after="120" w:line="240" w:lineRule="auto"/>
              <w:jc w:val="center"/>
            </w:pPr>
            <w:r>
              <w:rPr>
                <w:rFonts w:ascii="Calibri" w:hAnsi="Calibri"/>
                <w:color w:val="000000"/>
              </w:rPr>
              <w:t>46</w:t>
            </w:r>
          </w:p>
        </w:tc>
        <w:tc>
          <w:tcPr>
            <w:tcW w:w="1271" w:type="dxa"/>
            <w:shd w:val="clear" w:color="auto" w:fill="auto"/>
          </w:tcPr>
          <w:p w14:paraId="41863426" w14:textId="694D01CC" w:rsidR="00464FF9" w:rsidRDefault="00464FF9" w:rsidP="00844FD6">
            <w:pPr>
              <w:spacing w:after="120" w:line="240" w:lineRule="auto"/>
              <w:jc w:val="center"/>
            </w:pPr>
            <w:r>
              <w:rPr>
                <w:rFonts w:ascii="Calibri" w:hAnsi="Calibri"/>
                <w:color w:val="000000"/>
              </w:rPr>
              <w:t>PHI</w:t>
            </w:r>
          </w:p>
        </w:tc>
        <w:tc>
          <w:tcPr>
            <w:tcW w:w="3589" w:type="dxa"/>
            <w:shd w:val="clear" w:color="auto" w:fill="auto"/>
          </w:tcPr>
          <w:p w14:paraId="548B5B0A" w14:textId="4A4AD9BB" w:rsidR="00464FF9" w:rsidRDefault="00464FF9" w:rsidP="00844FD6">
            <w:pPr>
              <w:spacing w:after="120" w:line="240" w:lineRule="auto"/>
            </w:pPr>
            <w:r>
              <w:rPr>
                <w:rFonts w:ascii="Calibri" w:hAnsi="Calibri"/>
                <w:color w:val="000000"/>
              </w:rPr>
              <w:t>Philippines</w:t>
            </w:r>
          </w:p>
        </w:tc>
        <w:tc>
          <w:tcPr>
            <w:tcW w:w="3589" w:type="dxa"/>
            <w:shd w:val="clear" w:color="auto" w:fill="auto"/>
          </w:tcPr>
          <w:p w14:paraId="0130622F" w14:textId="348FC6FB" w:rsidR="00464FF9" w:rsidRDefault="00464FF9" w:rsidP="00844FD6">
            <w:pPr>
              <w:spacing w:after="120" w:line="240" w:lineRule="auto"/>
            </w:pPr>
            <w:r>
              <w:rPr>
                <w:rFonts w:ascii="Calibri" w:hAnsi="Calibri"/>
                <w:color w:val="000000"/>
              </w:rPr>
              <w:t>East Asia and Pacific</w:t>
            </w:r>
          </w:p>
        </w:tc>
      </w:tr>
      <w:tr w:rsidR="00DE56CF" w14:paraId="67196E1C" w14:textId="77777777" w:rsidTr="00DE56CF">
        <w:tc>
          <w:tcPr>
            <w:tcW w:w="567" w:type="dxa"/>
            <w:shd w:val="clear" w:color="auto" w:fill="auto"/>
          </w:tcPr>
          <w:p w14:paraId="22242A11" w14:textId="0AD1622E" w:rsidR="00464FF9" w:rsidRDefault="00464FF9" w:rsidP="00844FD6">
            <w:pPr>
              <w:spacing w:after="120" w:line="240" w:lineRule="auto"/>
              <w:jc w:val="center"/>
            </w:pPr>
            <w:r>
              <w:rPr>
                <w:rFonts w:ascii="Calibri" w:hAnsi="Calibri"/>
                <w:color w:val="000000"/>
              </w:rPr>
              <w:t>47</w:t>
            </w:r>
          </w:p>
        </w:tc>
        <w:tc>
          <w:tcPr>
            <w:tcW w:w="1271" w:type="dxa"/>
            <w:shd w:val="clear" w:color="auto" w:fill="auto"/>
          </w:tcPr>
          <w:p w14:paraId="606E8865" w14:textId="1DB02DC5" w:rsidR="00464FF9" w:rsidRDefault="00464FF9" w:rsidP="00844FD6">
            <w:pPr>
              <w:spacing w:after="120" w:line="240" w:lineRule="auto"/>
              <w:jc w:val="center"/>
            </w:pPr>
            <w:r>
              <w:rPr>
                <w:rFonts w:ascii="Calibri" w:hAnsi="Calibri"/>
                <w:color w:val="000000"/>
              </w:rPr>
              <w:t>THA</w:t>
            </w:r>
          </w:p>
        </w:tc>
        <w:tc>
          <w:tcPr>
            <w:tcW w:w="3589" w:type="dxa"/>
            <w:shd w:val="clear" w:color="auto" w:fill="auto"/>
          </w:tcPr>
          <w:p w14:paraId="0B7369B4" w14:textId="0AD894BE" w:rsidR="00464FF9" w:rsidRDefault="00464FF9" w:rsidP="00844FD6">
            <w:pPr>
              <w:spacing w:after="120" w:line="240" w:lineRule="auto"/>
            </w:pPr>
            <w:r>
              <w:rPr>
                <w:rFonts w:ascii="Calibri" w:hAnsi="Calibri"/>
                <w:color w:val="000000"/>
              </w:rPr>
              <w:t>Thailand</w:t>
            </w:r>
          </w:p>
        </w:tc>
        <w:tc>
          <w:tcPr>
            <w:tcW w:w="3589" w:type="dxa"/>
            <w:shd w:val="clear" w:color="auto" w:fill="auto"/>
          </w:tcPr>
          <w:p w14:paraId="65AADE27" w14:textId="31CEFD03" w:rsidR="00464FF9" w:rsidRDefault="00464FF9" w:rsidP="00844FD6">
            <w:pPr>
              <w:spacing w:after="120" w:line="240" w:lineRule="auto"/>
            </w:pPr>
            <w:r>
              <w:rPr>
                <w:rFonts w:ascii="Calibri" w:hAnsi="Calibri"/>
                <w:color w:val="000000"/>
              </w:rPr>
              <w:t>East Asia and Pacific</w:t>
            </w:r>
          </w:p>
        </w:tc>
      </w:tr>
      <w:tr w:rsidR="00DE56CF" w14:paraId="2DA70042" w14:textId="77777777" w:rsidTr="00DE56CF">
        <w:tc>
          <w:tcPr>
            <w:tcW w:w="567" w:type="dxa"/>
            <w:shd w:val="clear" w:color="auto" w:fill="auto"/>
          </w:tcPr>
          <w:p w14:paraId="55A2103F" w14:textId="6CCD3A92" w:rsidR="00464FF9" w:rsidRDefault="00464FF9" w:rsidP="00844FD6">
            <w:pPr>
              <w:spacing w:after="120" w:line="240" w:lineRule="auto"/>
              <w:jc w:val="center"/>
            </w:pPr>
            <w:r>
              <w:rPr>
                <w:rFonts w:ascii="Calibri" w:hAnsi="Calibri"/>
                <w:color w:val="000000"/>
              </w:rPr>
              <w:t>48</w:t>
            </w:r>
          </w:p>
        </w:tc>
        <w:tc>
          <w:tcPr>
            <w:tcW w:w="1271" w:type="dxa"/>
            <w:shd w:val="clear" w:color="auto" w:fill="auto"/>
          </w:tcPr>
          <w:p w14:paraId="45562631" w14:textId="184CF51E" w:rsidR="00464FF9" w:rsidRDefault="00464FF9" w:rsidP="00844FD6">
            <w:pPr>
              <w:spacing w:after="120" w:line="240" w:lineRule="auto"/>
              <w:jc w:val="center"/>
            </w:pPr>
            <w:r>
              <w:rPr>
                <w:rFonts w:ascii="Calibri" w:hAnsi="Calibri"/>
                <w:color w:val="000000"/>
              </w:rPr>
              <w:t>VIE</w:t>
            </w:r>
          </w:p>
        </w:tc>
        <w:tc>
          <w:tcPr>
            <w:tcW w:w="3589" w:type="dxa"/>
            <w:shd w:val="clear" w:color="auto" w:fill="auto"/>
          </w:tcPr>
          <w:p w14:paraId="1503EF75" w14:textId="5B643FF6" w:rsidR="00464FF9" w:rsidRDefault="00464FF9" w:rsidP="00844FD6">
            <w:pPr>
              <w:spacing w:after="120" w:line="240" w:lineRule="auto"/>
            </w:pPr>
            <w:r>
              <w:rPr>
                <w:rFonts w:ascii="Calibri" w:hAnsi="Calibri"/>
                <w:color w:val="000000"/>
              </w:rPr>
              <w:t>Viet Nam</w:t>
            </w:r>
          </w:p>
        </w:tc>
        <w:tc>
          <w:tcPr>
            <w:tcW w:w="3589" w:type="dxa"/>
            <w:shd w:val="clear" w:color="auto" w:fill="auto"/>
          </w:tcPr>
          <w:p w14:paraId="5306242F" w14:textId="2FF6A5D2" w:rsidR="00464FF9" w:rsidRDefault="00464FF9" w:rsidP="00844FD6">
            <w:pPr>
              <w:spacing w:after="120" w:line="240" w:lineRule="auto"/>
            </w:pPr>
            <w:r>
              <w:rPr>
                <w:rFonts w:ascii="Calibri" w:hAnsi="Calibri"/>
                <w:color w:val="000000"/>
              </w:rPr>
              <w:t>East Asia and Pacific</w:t>
            </w:r>
          </w:p>
        </w:tc>
      </w:tr>
      <w:tr w:rsidR="00DE56CF" w14:paraId="7E37243A" w14:textId="77777777" w:rsidTr="00DE56CF">
        <w:tc>
          <w:tcPr>
            <w:tcW w:w="567" w:type="dxa"/>
            <w:shd w:val="clear" w:color="auto" w:fill="auto"/>
          </w:tcPr>
          <w:p w14:paraId="7AC1AE01" w14:textId="244440E2" w:rsidR="00464FF9" w:rsidRDefault="00464FF9" w:rsidP="00844FD6">
            <w:pPr>
              <w:spacing w:after="120" w:line="240" w:lineRule="auto"/>
              <w:jc w:val="center"/>
            </w:pPr>
            <w:r>
              <w:rPr>
                <w:rFonts w:ascii="Calibri" w:hAnsi="Calibri"/>
                <w:color w:val="000000"/>
              </w:rPr>
              <w:t>49</w:t>
            </w:r>
          </w:p>
        </w:tc>
        <w:tc>
          <w:tcPr>
            <w:tcW w:w="1271" w:type="dxa"/>
            <w:shd w:val="clear" w:color="auto" w:fill="auto"/>
          </w:tcPr>
          <w:p w14:paraId="733D47E2" w14:textId="6979DE8A" w:rsidR="00464FF9" w:rsidRDefault="00464FF9" w:rsidP="00844FD6">
            <w:pPr>
              <w:spacing w:after="120" w:line="240" w:lineRule="auto"/>
              <w:jc w:val="center"/>
            </w:pPr>
            <w:r>
              <w:rPr>
                <w:rFonts w:ascii="Calibri" w:hAnsi="Calibri"/>
                <w:color w:val="000000"/>
              </w:rPr>
              <w:t>KAZ</w:t>
            </w:r>
          </w:p>
        </w:tc>
        <w:tc>
          <w:tcPr>
            <w:tcW w:w="3589" w:type="dxa"/>
            <w:shd w:val="clear" w:color="auto" w:fill="auto"/>
          </w:tcPr>
          <w:p w14:paraId="10FB9C1F" w14:textId="035B3611" w:rsidR="00464FF9" w:rsidRDefault="00464FF9" w:rsidP="00844FD6">
            <w:pPr>
              <w:spacing w:after="120" w:line="240" w:lineRule="auto"/>
            </w:pPr>
            <w:r>
              <w:rPr>
                <w:rFonts w:ascii="Calibri" w:hAnsi="Calibri"/>
                <w:color w:val="000000"/>
              </w:rPr>
              <w:t>Kazakhstan</w:t>
            </w:r>
          </w:p>
        </w:tc>
        <w:tc>
          <w:tcPr>
            <w:tcW w:w="3589" w:type="dxa"/>
            <w:shd w:val="clear" w:color="auto" w:fill="auto"/>
          </w:tcPr>
          <w:p w14:paraId="1FA0FDD9" w14:textId="5D35ED29" w:rsidR="00464FF9" w:rsidRDefault="00464FF9" w:rsidP="00844FD6">
            <w:pPr>
              <w:spacing w:after="120" w:line="240" w:lineRule="auto"/>
            </w:pPr>
            <w:r>
              <w:rPr>
                <w:rFonts w:ascii="Calibri" w:hAnsi="Calibri"/>
                <w:color w:val="000000"/>
              </w:rPr>
              <w:t>Europe and Central Asia</w:t>
            </w:r>
          </w:p>
        </w:tc>
      </w:tr>
      <w:tr w:rsidR="00DE56CF" w14:paraId="706E50B1" w14:textId="77777777" w:rsidTr="00DE56CF">
        <w:tc>
          <w:tcPr>
            <w:tcW w:w="567" w:type="dxa"/>
            <w:shd w:val="clear" w:color="auto" w:fill="auto"/>
          </w:tcPr>
          <w:p w14:paraId="2475C054" w14:textId="78D82691" w:rsidR="00464FF9" w:rsidRDefault="00464FF9" w:rsidP="00844FD6">
            <w:pPr>
              <w:spacing w:after="120" w:line="240" w:lineRule="auto"/>
              <w:jc w:val="center"/>
            </w:pPr>
            <w:r>
              <w:rPr>
                <w:rFonts w:ascii="Calibri" w:hAnsi="Calibri"/>
                <w:color w:val="000000"/>
              </w:rPr>
              <w:t>50</w:t>
            </w:r>
          </w:p>
        </w:tc>
        <w:tc>
          <w:tcPr>
            <w:tcW w:w="1271" w:type="dxa"/>
            <w:shd w:val="clear" w:color="auto" w:fill="auto"/>
          </w:tcPr>
          <w:p w14:paraId="546028B6" w14:textId="174C7F5D" w:rsidR="00464FF9" w:rsidRDefault="00464FF9" w:rsidP="00844FD6">
            <w:pPr>
              <w:spacing w:after="120" w:line="240" w:lineRule="auto"/>
              <w:jc w:val="center"/>
            </w:pPr>
            <w:r>
              <w:rPr>
                <w:rFonts w:ascii="Calibri" w:hAnsi="Calibri"/>
                <w:color w:val="000000"/>
              </w:rPr>
              <w:t>MON</w:t>
            </w:r>
          </w:p>
        </w:tc>
        <w:tc>
          <w:tcPr>
            <w:tcW w:w="3589" w:type="dxa"/>
            <w:shd w:val="clear" w:color="auto" w:fill="auto"/>
          </w:tcPr>
          <w:p w14:paraId="0806B1ED" w14:textId="6CBEE1D5" w:rsidR="00464FF9" w:rsidRDefault="00464FF9" w:rsidP="00844FD6">
            <w:pPr>
              <w:spacing w:after="120" w:line="240" w:lineRule="auto"/>
            </w:pPr>
            <w:r>
              <w:rPr>
                <w:rFonts w:ascii="Calibri" w:hAnsi="Calibri"/>
                <w:color w:val="000000"/>
              </w:rPr>
              <w:t>Mongolia</w:t>
            </w:r>
          </w:p>
        </w:tc>
        <w:tc>
          <w:tcPr>
            <w:tcW w:w="3589" w:type="dxa"/>
            <w:shd w:val="clear" w:color="auto" w:fill="auto"/>
          </w:tcPr>
          <w:p w14:paraId="03E4827B" w14:textId="71EA9A6B" w:rsidR="00464FF9" w:rsidRDefault="00464FF9" w:rsidP="00844FD6">
            <w:pPr>
              <w:spacing w:after="120" w:line="240" w:lineRule="auto"/>
            </w:pPr>
            <w:r>
              <w:rPr>
                <w:rFonts w:ascii="Calibri" w:hAnsi="Calibri"/>
                <w:color w:val="000000"/>
              </w:rPr>
              <w:t>East Asia and Pacific</w:t>
            </w:r>
          </w:p>
        </w:tc>
      </w:tr>
      <w:tr w:rsidR="00DE56CF" w14:paraId="4A41B67B" w14:textId="77777777" w:rsidTr="00DE56CF">
        <w:tc>
          <w:tcPr>
            <w:tcW w:w="567" w:type="dxa"/>
            <w:shd w:val="clear" w:color="auto" w:fill="auto"/>
          </w:tcPr>
          <w:p w14:paraId="531A965A" w14:textId="5032E664" w:rsidR="00464FF9" w:rsidRDefault="00464FF9" w:rsidP="00844FD6">
            <w:pPr>
              <w:spacing w:after="120" w:line="240" w:lineRule="auto"/>
              <w:jc w:val="center"/>
            </w:pPr>
            <w:r>
              <w:rPr>
                <w:rFonts w:ascii="Calibri" w:hAnsi="Calibri"/>
                <w:color w:val="000000"/>
              </w:rPr>
              <w:t>51</w:t>
            </w:r>
          </w:p>
        </w:tc>
        <w:tc>
          <w:tcPr>
            <w:tcW w:w="1271" w:type="dxa"/>
            <w:shd w:val="clear" w:color="auto" w:fill="auto"/>
          </w:tcPr>
          <w:p w14:paraId="3E06E4DF" w14:textId="4BBD7D58" w:rsidR="00464FF9" w:rsidRDefault="00464FF9" w:rsidP="00844FD6">
            <w:pPr>
              <w:spacing w:after="120" w:line="240" w:lineRule="auto"/>
              <w:jc w:val="center"/>
            </w:pPr>
            <w:r>
              <w:rPr>
                <w:rFonts w:ascii="Calibri" w:hAnsi="Calibri"/>
                <w:color w:val="000000"/>
              </w:rPr>
              <w:t>SRI</w:t>
            </w:r>
          </w:p>
        </w:tc>
        <w:tc>
          <w:tcPr>
            <w:tcW w:w="3589" w:type="dxa"/>
            <w:shd w:val="clear" w:color="auto" w:fill="auto"/>
          </w:tcPr>
          <w:p w14:paraId="29870140" w14:textId="3F7E6BD7" w:rsidR="00464FF9" w:rsidRDefault="00464FF9" w:rsidP="00844FD6">
            <w:pPr>
              <w:spacing w:after="120" w:line="240" w:lineRule="auto"/>
            </w:pPr>
            <w:r>
              <w:rPr>
                <w:rFonts w:ascii="Calibri" w:hAnsi="Calibri"/>
                <w:color w:val="000000"/>
              </w:rPr>
              <w:t>Sri Lanka</w:t>
            </w:r>
          </w:p>
        </w:tc>
        <w:tc>
          <w:tcPr>
            <w:tcW w:w="3589" w:type="dxa"/>
            <w:shd w:val="clear" w:color="auto" w:fill="auto"/>
          </w:tcPr>
          <w:p w14:paraId="3B47BD9B" w14:textId="6FFBECE5" w:rsidR="00464FF9" w:rsidRDefault="00464FF9" w:rsidP="00844FD6">
            <w:pPr>
              <w:spacing w:after="120" w:line="240" w:lineRule="auto"/>
            </w:pPr>
            <w:r>
              <w:rPr>
                <w:rFonts w:ascii="Calibri" w:hAnsi="Calibri"/>
                <w:color w:val="000000"/>
              </w:rPr>
              <w:t>South Asia</w:t>
            </w:r>
          </w:p>
        </w:tc>
      </w:tr>
      <w:tr w:rsidR="00DE56CF" w14:paraId="6D66B682" w14:textId="77777777" w:rsidTr="00DE56CF">
        <w:tc>
          <w:tcPr>
            <w:tcW w:w="567" w:type="dxa"/>
            <w:shd w:val="clear" w:color="auto" w:fill="auto"/>
          </w:tcPr>
          <w:p w14:paraId="560257FC" w14:textId="2EBC0C92" w:rsidR="00464FF9" w:rsidRDefault="00464FF9" w:rsidP="00844FD6">
            <w:pPr>
              <w:spacing w:after="120" w:line="240" w:lineRule="auto"/>
              <w:jc w:val="center"/>
            </w:pPr>
            <w:r>
              <w:rPr>
                <w:rFonts w:ascii="Calibri" w:hAnsi="Calibri"/>
                <w:color w:val="000000"/>
              </w:rPr>
              <w:t>52</w:t>
            </w:r>
          </w:p>
        </w:tc>
        <w:tc>
          <w:tcPr>
            <w:tcW w:w="1271" w:type="dxa"/>
            <w:shd w:val="clear" w:color="auto" w:fill="auto"/>
          </w:tcPr>
          <w:p w14:paraId="32F64D71" w14:textId="7F3B0EC8" w:rsidR="00464FF9" w:rsidRDefault="00464FF9" w:rsidP="00844FD6">
            <w:pPr>
              <w:spacing w:after="120" w:line="240" w:lineRule="auto"/>
              <w:jc w:val="center"/>
            </w:pPr>
            <w:r>
              <w:rPr>
                <w:rFonts w:ascii="Calibri" w:hAnsi="Calibri"/>
                <w:color w:val="000000"/>
              </w:rPr>
              <w:t>PAK</w:t>
            </w:r>
          </w:p>
        </w:tc>
        <w:tc>
          <w:tcPr>
            <w:tcW w:w="3589" w:type="dxa"/>
            <w:shd w:val="clear" w:color="auto" w:fill="auto"/>
          </w:tcPr>
          <w:p w14:paraId="2E05BB4C" w14:textId="17B31561" w:rsidR="00464FF9" w:rsidRDefault="00464FF9" w:rsidP="00844FD6">
            <w:pPr>
              <w:spacing w:after="120" w:line="240" w:lineRule="auto"/>
            </w:pPr>
            <w:r>
              <w:rPr>
                <w:rFonts w:ascii="Calibri" w:hAnsi="Calibri"/>
                <w:color w:val="000000"/>
              </w:rPr>
              <w:t>Pakistan</w:t>
            </w:r>
          </w:p>
        </w:tc>
        <w:tc>
          <w:tcPr>
            <w:tcW w:w="3589" w:type="dxa"/>
            <w:shd w:val="clear" w:color="auto" w:fill="auto"/>
          </w:tcPr>
          <w:p w14:paraId="2CEF24E2" w14:textId="4C47F47E" w:rsidR="00464FF9" w:rsidRDefault="00464FF9" w:rsidP="00844FD6">
            <w:pPr>
              <w:spacing w:after="120" w:line="240" w:lineRule="auto"/>
            </w:pPr>
            <w:r>
              <w:rPr>
                <w:rFonts w:ascii="Calibri" w:hAnsi="Calibri"/>
                <w:color w:val="000000"/>
              </w:rPr>
              <w:t>South Asia</w:t>
            </w:r>
          </w:p>
        </w:tc>
      </w:tr>
      <w:tr w:rsidR="00DE56CF" w14:paraId="0FDAFFF4" w14:textId="77777777" w:rsidTr="00DE56CF">
        <w:tc>
          <w:tcPr>
            <w:tcW w:w="567" w:type="dxa"/>
            <w:shd w:val="clear" w:color="auto" w:fill="auto"/>
          </w:tcPr>
          <w:p w14:paraId="18749336" w14:textId="7F7B5FD5" w:rsidR="00464FF9" w:rsidRDefault="00464FF9" w:rsidP="00844FD6">
            <w:pPr>
              <w:spacing w:after="120" w:line="240" w:lineRule="auto"/>
              <w:jc w:val="center"/>
            </w:pPr>
            <w:r>
              <w:rPr>
                <w:rFonts w:ascii="Calibri" w:hAnsi="Calibri"/>
                <w:color w:val="000000"/>
              </w:rPr>
              <w:t>53</w:t>
            </w:r>
          </w:p>
        </w:tc>
        <w:tc>
          <w:tcPr>
            <w:tcW w:w="1271" w:type="dxa"/>
            <w:shd w:val="clear" w:color="auto" w:fill="auto"/>
          </w:tcPr>
          <w:p w14:paraId="4B404D5E" w14:textId="3B187B52" w:rsidR="00464FF9" w:rsidRDefault="00464FF9" w:rsidP="00844FD6">
            <w:pPr>
              <w:spacing w:after="120" w:line="240" w:lineRule="auto"/>
              <w:jc w:val="center"/>
            </w:pPr>
            <w:r>
              <w:rPr>
                <w:rFonts w:ascii="Calibri" w:hAnsi="Calibri"/>
                <w:color w:val="000000"/>
              </w:rPr>
              <w:t>FIJ</w:t>
            </w:r>
          </w:p>
        </w:tc>
        <w:tc>
          <w:tcPr>
            <w:tcW w:w="3589" w:type="dxa"/>
            <w:shd w:val="clear" w:color="auto" w:fill="auto"/>
          </w:tcPr>
          <w:p w14:paraId="7CE4E550" w14:textId="353FC5E4" w:rsidR="00464FF9" w:rsidRDefault="00464FF9" w:rsidP="00844FD6">
            <w:pPr>
              <w:spacing w:after="120" w:line="240" w:lineRule="auto"/>
            </w:pPr>
            <w:r>
              <w:rPr>
                <w:rFonts w:ascii="Calibri" w:hAnsi="Calibri"/>
                <w:color w:val="000000"/>
              </w:rPr>
              <w:t>Fiji</w:t>
            </w:r>
          </w:p>
        </w:tc>
        <w:tc>
          <w:tcPr>
            <w:tcW w:w="3589" w:type="dxa"/>
            <w:shd w:val="clear" w:color="auto" w:fill="auto"/>
          </w:tcPr>
          <w:p w14:paraId="743E29EB" w14:textId="6A979225" w:rsidR="00464FF9" w:rsidRDefault="00464FF9" w:rsidP="00844FD6">
            <w:pPr>
              <w:spacing w:after="120" w:line="240" w:lineRule="auto"/>
            </w:pPr>
            <w:r>
              <w:rPr>
                <w:rFonts w:ascii="Calibri" w:hAnsi="Calibri"/>
                <w:color w:val="000000"/>
              </w:rPr>
              <w:t>East Asia and Pacific</w:t>
            </w:r>
          </w:p>
        </w:tc>
      </w:tr>
      <w:tr w:rsidR="00DE56CF" w14:paraId="31245E34" w14:textId="77777777" w:rsidTr="00DE56CF">
        <w:tc>
          <w:tcPr>
            <w:tcW w:w="567" w:type="dxa"/>
            <w:shd w:val="clear" w:color="auto" w:fill="auto"/>
          </w:tcPr>
          <w:p w14:paraId="5F99F68D" w14:textId="53CE78DF" w:rsidR="00464FF9" w:rsidRDefault="00464FF9" w:rsidP="00844FD6">
            <w:pPr>
              <w:spacing w:after="120" w:line="240" w:lineRule="auto"/>
              <w:jc w:val="center"/>
            </w:pPr>
            <w:r>
              <w:rPr>
                <w:rFonts w:ascii="Calibri" w:hAnsi="Calibri"/>
                <w:color w:val="000000"/>
              </w:rPr>
              <w:t>54</w:t>
            </w:r>
          </w:p>
        </w:tc>
        <w:tc>
          <w:tcPr>
            <w:tcW w:w="1271" w:type="dxa"/>
            <w:shd w:val="clear" w:color="auto" w:fill="auto"/>
          </w:tcPr>
          <w:p w14:paraId="309460EE" w14:textId="32FFDE47" w:rsidR="00464FF9" w:rsidRDefault="00464FF9" w:rsidP="00844FD6">
            <w:pPr>
              <w:spacing w:after="120" w:line="240" w:lineRule="auto"/>
              <w:jc w:val="center"/>
            </w:pPr>
            <w:r>
              <w:rPr>
                <w:rFonts w:ascii="Calibri" w:hAnsi="Calibri"/>
                <w:color w:val="000000"/>
              </w:rPr>
              <w:t>LAO</w:t>
            </w:r>
          </w:p>
        </w:tc>
        <w:tc>
          <w:tcPr>
            <w:tcW w:w="3589" w:type="dxa"/>
            <w:shd w:val="clear" w:color="auto" w:fill="auto"/>
          </w:tcPr>
          <w:p w14:paraId="47575EE8" w14:textId="1CFF066A" w:rsidR="00464FF9" w:rsidRDefault="00464FF9" w:rsidP="00844FD6">
            <w:pPr>
              <w:spacing w:after="120" w:line="240" w:lineRule="auto"/>
            </w:pPr>
            <w:r>
              <w:rPr>
                <w:rFonts w:ascii="Calibri" w:hAnsi="Calibri"/>
                <w:color w:val="000000"/>
              </w:rPr>
              <w:t>Lao People's Democratic Republic</w:t>
            </w:r>
          </w:p>
        </w:tc>
        <w:tc>
          <w:tcPr>
            <w:tcW w:w="3589" w:type="dxa"/>
            <w:shd w:val="clear" w:color="auto" w:fill="auto"/>
          </w:tcPr>
          <w:p w14:paraId="7DE0B8F4" w14:textId="7EA5C1F5" w:rsidR="00464FF9" w:rsidRDefault="00464FF9" w:rsidP="00844FD6">
            <w:pPr>
              <w:spacing w:after="120" w:line="240" w:lineRule="auto"/>
            </w:pPr>
            <w:r>
              <w:rPr>
                <w:rFonts w:ascii="Calibri" w:hAnsi="Calibri"/>
                <w:color w:val="000000"/>
              </w:rPr>
              <w:t>East Asia and Pacific</w:t>
            </w:r>
          </w:p>
        </w:tc>
      </w:tr>
      <w:tr w:rsidR="00DE56CF" w14:paraId="11C75FA2" w14:textId="77777777" w:rsidTr="00DE56CF">
        <w:tc>
          <w:tcPr>
            <w:tcW w:w="567" w:type="dxa"/>
            <w:shd w:val="clear" w:color="auto" w:fill="auto"/>
          </w:tcPr>
          <w:p w14:paraId="5B3ECA94" w14:textId="380ECFB6" w:rsidR="00464FF9" w:rsidRDefault="00464FF9" w:rsidP="00844FD6">
            <w:pPr>
              <w:spacing w:after="120" w:line="240" w:lineRule="auto"/>
              <w:jc w:val="center"/>
            </w:pPr>
            <w:r>
              <w:rPr>
                <w:rFonts w:ascii="Calibri" w:hAnsi="Calibri"/>
                <w:color w:val="000000"/>
              </w:rPr>
              <w:t>55</w:t>
            </w:r>
          </w:p>
        </w:tc>
        <w:tc>
          <w:tcPr>
            <w:tcW w:w="1271" w:type="dxa"/>
            <w:shd w:val="clear" w:color="auto" w:fill="auto"/>
          </w:tcPr>
          <w:p w14:paraId="12EE79DE" w14:textId="2B434EC3" w:rsidR="00464FF9" w:rsidRDefault="00464FF9" w:rsidP="00844FD6">
            <w:pPr>
              <w:spacing w:after="120" w:line="240" w:lineRule="auto"/>
              <w:jc w:val="center"/>
            </w:pPr>
            <w:r>
              <w:rPr>
                <w:rFonts w:ascii="Calibri" w:hAnsi="Calibri"/>
                <w:color w:val="000000"/>
              </w:rPr>
              <w:t>BRU</w:t>
            </w:r>
          </w:p>
        </w:tc>
        <w:tc>
          <w:tcPr>
            <w:tcW w:w="3589" w:type="dxa"/>
            <w:shd w:val="clear" w:color="auto" w:fill="auto"/>
          </w:tcPr>
          <w:p w14:paraId="61C5F4EA" w14:textId="503159EB" w:rsidR="00464FF9" w:rsidRDefault="00464FF9" w:rsidP="00844FD6">
            <w:pPr>
              <w:spacing w:after="120" w:line="240" w:lineRule="auto"/>
            </w:pPr>
            <w:r>
              <w:rPr>
                <w:rFonts w:ascii="Calibri" w:hAnsi="Calibri"/>
                <w:color w:val="000000"/>
              </w:rPr>
              <w:t>Brunei Darussalam</w:t>
            </w:r>
          </w:p>
        </w:tc>
        <w:tc>
          <w:tcPr>
            <w:tcW w:w="3589" w:type="dxa"/>
            <w:shd w:val="clear" w:color="auto" w:fill="auto"/>
          </w:tcPr>
          <w:p w14:paraId="0251A8DA" w14:textId="1053665D" w:rsidR="00464FF9" w:rsidRDefault="00464FF9" w:rsidP="00844FD6">
            <w:pPr>
              <w:spacing w:after="120" w:line="240" w:lineRule="auto"/>
            </w:pPr>
            <w:r>
              <w:rPr>
                <w:rFonts w:ascii="Calibri" w:hAnsi="Calibri"/>
                <w:color w:val="000000"/>
              </w:rPr>
              <w:t>East Asia and Pacific</w:t>
            </w:r>
          </w:p>
        </w:tc>
      </w:tr>
      <w:tr w:rsidR="00DE56CF" w14:paraId="163ECF3B" w14:textId="77777777" w:rsidTr="00DE56CF">
        <w:tc>
          <w:tcPr>
            <w:tcW w:w="567" w:type="dxa"/>
            <w:shd w:val="clear" w:color="auto" w:fill="auto"/>
          </w:tcPr>
          <w:p w14:paraId="28AC7251" w14:textId="6A8AB707" w:rsidR="00464FF9" w:rsidRDefault="00464FF9" w:rsidP="00844FD6">
            <w:pPr>
              <w:spacing w:after="120" w:line="240" w:lineRule="auto"/>
              <w:jc w:val="center"/>
            </w:pPr>
            <w:r>
              <w:rPr>
                <w:rFonts w:ascii="Calibri" w:hAnsi="Calibri"/>
                <w:color w:val="000000"/>
              </w:rPr>
              <w:t>56</w:t>
            </w:r>
          </w:p>
        </w:tc>
        <w:tc>
          <w:tcPr>
            <w:tcW w:w="1271" w:type="dxa"/>
            <w:shd w:val="clear" w:color="auto" w:fill="auto"/>
          </w:tcPr>
          <w:p w14:paraId="7AAA5B33" w14:textId="669C7F0D" w:rsidR="00464FF9" w:rsidRDefault="00464FF9" w:rsidP="00844FD6">
            <w:pPr>
              <w:spacing w:after="120" w:line="240" w:lineRule="auto"/>
              <w:jc w:val="center"/>
            </w:pPr>
            <w:r>
              <w:rPr>
                <w:rFonts w:ascii="Calibri" w:hAnsi="Calibri"/>
                <w:color w:val="000000"/>
              </w:rPr>
              <w:t>BHU</w:t>
            </w:r>
          </w:p>
        </w:tc>
        <w:tc>
          <w:tcPr>
            <w:tcW w:w="3589" w:type="dxa"/>
            <w:shd w:val="clear" w:color="auto" w:fill="auto"/>
          </w:tcPr>
          <w:p w14:paraId="7479A232" w14:textId="1CC30B10" w:rsidR="00464FF9" w:rsidRDefault="00464FF9" w:rsidP="00844FD6">
            <w:pPr>
              <w:spacing w:after="120" w:line="240" w:lineRule="auto"/>
            </w:pPr>
            <w:r>
              <w:rPr>
                <w:rFonts w:ascii="Calibri" w:hAnsi="Calibri"/>
                <w:color w:val="000000"/>
              </w:rPr>
              <w:t>Bhutan</w:t>
            </w:r>
          </w:p>
        </w:tc>
        <w:tc>
          <w:tcPr>
            <w:tcW w:w="3589" w:type="dxa"/>
            <w:shd w:val="clear" w:color="auto" w:fill="auto"/>
          </w:tcPr>
          <w:p w14:paraId="79503CF0" w14:textId="018C2987" w:rsidR="00464FF9" w:rsidRDefault="00464FF9" w:rsidP="00844FD6">
            <w:pPr>
              <w:spacing w:after="120" w:line="240" w:lineRule="auto"/>
            </w:pPr>
            <w:r>
              <w:rPr>
                <w:rFonts w:ascii="Calibri" w:hAnsi="Calibri"/>
                <w:color w:val="000000"/>
              </w:rPr>
              <w:t>South Asia</w:t>
            </w:r>
          </w:p>
        </w:tc>
      </w:tr>
      <w:tr w:rsidR="00DE56CF" w14:paraId="781CE377" w14:textId="77777777" w:rsidTr="00DE56CF">
        <w:tc>
          <w:tcPr>
            <w:tcW w:w="567" w:type="dxa"/>
            <w:shd w:val="clear" w:color="auto" w:fill="auto"/>
          </w:tcPr>
          <w:p w14:paraId="02A0D0A5" w14:textId="7921C2CE" w:rsidR="00464FF9" w:rsidRDefault="00464FF9" w:rsidP="00844FD6">
            <w:pPr>
              <w:spacing w:after="120" w:line="240" w:lineRule="auto"/>
              <w:jc w:val="center"/>
            </w:pPr>
            <w:r>
              <w:rPr>
                <w:rFonts w:ascii="Calibri" w:hAnsi="Calibri"/>
                <w:color w:val="000000"/>
              </w:rPr>
              <w:t>57</w:t>
            </w:r>
          </w:p>
        </w:tc>
        <w:tc>
          <w:tcPr>
            <w:tcW w:w="1271" w:type="dxa"/>
            <w:shd w:val="clear" w:color="auto" w:fill="auto"/>
          </w:tcPr>
          <w:p w14:paraId="6E7104FB" w14:textId="1F3B63D5" w:rsidR="00464FF9" w:rsidRDefault="00464FF9" w:rsidP="00844FD6">
            <w:pPr>
              <w:spacing w:after="120" w:line="240" w:lineRule="auto"/>
              <w:jc w:val="center"/>
            </w:pPr>
            <w:r>
              <w:rPr>
                <w:rFonts w:ascii="Calibri" w:hAnsi="Calibri"/>
                <w:color w:val="000000"/>
              </w:rPr>
              <w:t>KGZ</w:t>
            </w:r>
          </w:p>
        </w:tc>
        <w:tc>
          <w:tcPr>
            <w:tcW w:w="3589" w:type="dxa"/>
            <w:shd w:val="clear" w:color="auto" w:fill="auto"/>
          </w:tcPr>
          <w:p w14:paraId="00D9167D" w14:textId="44719F4C" w:rsidR="00464FF9" w:rsidRDefault="00464FF9" w:rsidP="00844FD6">
            <w:pPr>
              <w:spacing w:after="120" w:line="240" w:lineRule="auto"/>
            </w:pPr>
            <w:r>
              <w:rPr>
                <w:rFonts w:ascii="Calibri" w:hAnsi="Calibri"/>
                <w:color w:val="000000"/>
              </w:rPr>
              <w:t>Kyrgyz Republic</w:t>
            </w:r>
          </w:p>
        </w:tc>
        <w:tc>
          <w:tcPr>
            <w:tcW w:w="3589" w:type="dxa"/>
            <w:shd w:val="clear" w:color="auto" w:fill="auto"/>
          </w:tcPr>
          <w:p w14:paraId="234062D9" w14:textId="55F8F3EF" w:rsidR="00464FF9" w:rsidRDefault="00464FF9" w:rsidP="00844FD6">
            <w:pPr>
              <w:spacing w:after="120" w:line="240" w:lineRule="auto"/>
            </w:pPr>
            <w:r>
              <w:rPr>
                <w:rFonts w:ascii="Calibri" w:hAnsi="Calibri"/>
                <w:color w:val="000000"/>
              </w:rPr>
              <w:t>Europe and Central Asia</w:t>
            </w:r>
          </w:p>
        </w:tc>
      </w:tr>
      <w:tr w:rsidR="00DE56CF" w14:paraId="3D0C2129" w14:textId="77777777" w:rsidTr="00DE56CF">
        <w:tc>
          <w:tcPr>
            <w:tcW w:w="567" w:type="dxa"/>
            <w:shd w:val="clear" w:color="auto" w:fill="auto"/>
          </w:tcPr>
          <w:p w14:paraId="074F4043" w14:textId="4AB3030C" w:rsidR="00464FF9" w:rsidRDefault="00464FF9" w:rsidP="00844FD6">
            <w:pPr>
              <w:spacing w:after="120" w:line="240" w:lineRule="auto"/>
              <w:jc w:val="center"/>
            </w:pPr>
            <w:r>
              <w:rPr>
                <w:rFonts w:ascii="Calibri" w:hAnsi="Calibri"/>
                <w:color w:val="000000"/>
              </w:rPr>
              <w:t>58</w:t>
            </w:r>
          </w:p>
        </w:tc>
        <w:tc>
          <w:tcPr>
            <w:tcW w:w="1271" w:type="dxa"/>
            <w:shd w:val="clear" w:color="auto" w:fill="auto"/>
          </w:tcPr>
          <w:p w14:paraId="0660F521" w14:textId="5088BA6D" w:rsidR="00464FF9" w:rsidRDefault="00464FF9" w:rsidP="00844FD6">
            <w:pPr>
              <w:spacing w:after="120" w:line="240" w:lineRule="auto"/>
              <w:jc w:val="center"/>
            </w:pPr>
            <w:r>
              <w:rPr>
                <w:rFonts w:ascii="Calibri" w:hAnsi="Calibri"/>
                <w:color w:val="000000"/>
              </w:rPr>
              <w:t>CAM</w:t>
            </w:r>
          </w:p>
        </w:tc>
        <w:tc>
          <w:tcPr>
            <w:tcW w:w="3589" w:type="dxa"/>
            <w:shd w:val="clear" w:color="auto" w:fill="auto"/>
          </w:tcPr>
          <w:p w14:paraId="50A89B99" w14:textId="2864C3FC" w:rsidR="00464FF9" w:rsidRDefault="00464FF9" w:rsidP="00844FD6">
            <w:pPr>
              <w:spacing w:after="120" w:line="240" w:lineRule="auto"/>
            </w:pPr>
            <w:r>
              <w:rPr>
                <w:rFonts w:ascii="Calibri" w:hAnsi="Calibri"/>
                <w:color w:val="000000"/>
              </w:rPr>
              <w:t>Cambodia</w:t>
            </w:r>
          </w:p>
        </w:tc>
        <w:tc>
          <w:tcPr>
            <w:tcW w:w="3589" w:type="dxa"/>
            <w:shd w:val="clear" w:color="auto" w:fill="auto"/>
          </w:tcPr>
          <w:p w14:paraId="6F6627A7" w14:textId="3CBF72F6" w:rsidR="00464FF9" w:rsidRDefault="00464FF9" w:rsidP="00844FD6">
            <w:pPr>
              <w:spacing w:after="120" w:line="240" w:lineRule="auto"/>
            </w:pPr>
            <w:r>
              <w:rPr>
                <w:rFonts w:ascii="Calibri" w:hAnsi="Calibri"/>
                <w:color w:val="000000"/>
              </w:rPr>
              <w:t>East Asia and Pacific</w:t>
            </w:r>
          </w:p>
        </w:tc>
      </w:tr>
      <w:tr w:rsidR="00DE56CF" w14:paraId="49C39C51" w14:textId="77777777" w:rsidTr="00DE56CF">
        <w:tc>
          <w:tcPr>
            <w:tcW w:w="567" w:type="dxa"/>
            <w:shd w:val="clear" w:color="auto" w:fill="auto"/>
          </w:tcPr>
          <w:p w14:paraId="15610687" w14:textId="17AA2E19" w:rsidR="00464FF9" w:rsidRDefault="00464FF9" w:rsidP="00844FD6">
            <w:pPr>
              <w:spacing w:after="120" w:line="240" w:lineRule="auto"/>
              <w:jc w:val="center"/>
            </w:pPr>
            <w:r>
              <w:rPr>
                <w:rFonts w:ascii="Calibri" w:hAnsi="Calibri"/>
                <w:color w:val="000000"/>
              </w:rPr>
              <w:t>59</w:t>
            </w:r>
          </w:p>
        </w:tc>
        <w:tc>
          <w:tcPr>
            <w:tcW w:w="1271" w:type="dxa"/>
            <w:shd w:val="clear" w:color="auto" w:fill="auto"/>
          </w:tcPr>
          <w:p w14:paraId="46441A59" w14:textId="76B729AE" w:rsidR="00464FF9" w:rsidRDefault="00464FF9" w:rsidP="00844FD6">
            <w:pPr>
              <w:spacing w:after="120" w:line="240" w:lineRule="auto"/>
              <w:jc w:val="center"/>
            </w:pPr>
            <w:r>
              <w:rPr>
                <w:rFonts w:ascii="Calibri" w:hAnsi="Calibri"/>
                <w:color w:val="000000"/>
              </w:rPr>
              <w:t>MLD</w:t>
            </w:r>
          </w:p>
        </w:tc>
        <w:tc>
          <w:tcPr>
            <w:tcW w:w="3589" w:type="dxa"/>
            <w:shd w:val="clear" w:color="auto" w:fill="auto"/>
          </w:tcPr>
          <w:p w14:paraId="3DB38FBD" w14:textId="6BC6E5AE" w:rsidR="00464FF9" w:rsidRDefault="00464FF9" w:rsidP="00844FD6">
            <w:pPr>
              <w:spacing w:after="120" w:line="240" w:lineRule="auto"/>
            </w:pPr>
            <w:r>
              <w:rPr>
                <w:rFonts w:ascii="Calibri" w:hAnsi="Calibri"/>
                <w:color w:val="000000"/>
              </w:rPr>
              <w:t>Maldives</w:t>
            </w:r>
          </w:p>
        </w:tc>
        <w:tc>
          <w:tcPr>
            <w:tcW w:w="3589" w:type="dxa"/>
            <w:shd w:val="clear" w:color="auto" w:fill="auto"/>
          </w:tcPr>
          <w:p w14:paraId="2C9E2379" w14:textId="48662C96" w:rsidR="00464FF9" w:rsidRDefault="00464FF9" w:rsidP="00844FD6">
            <w:pPr>
              <w:spacing w:after="120" w:line="240" w:lineRule="auto"/>
            </w:pPr>
            <w:r>
              <w:rPr>
                <w:rFonts w:ascii="Calibri" w:hAnsi="Calibri"/>
                <w:color w:val="000000"/>
              </w:rPr>
              <w:t>South Asia</w:t>
            </w:r>
          </w:p>
        </w:tc>
      </w:tr>
      <w:tr w:rsidR="00DE56CF" w14:paraId="47EE4DD3" w14:textId="77777777" w:rsidTr="00DE56CF">
        <w:tc>
          <w:tcPr>
            <w:tcW w:w="567" w:type="dxa"/>
            <w:shd w:val="clear" w:color="auto" w:fill="auto"/>
          </w:tcPr>
          <w:p w14:paraId="7050B494" w14:textId="12C95162" w:rsidR="00464FF9" w:rsidRDefault="00464FF9" w:rsidP="00844FD6">
            <w:pPr>
              <w:spacing w:after="120" w:line="240" w:lineRule="auto"/>
              <w:jc w:val="center"/>
            </w:pPr>
            <w:r>
              <w:rPr>
                <w:rFonts w:ascii="Calibri" w:hAnsi="Calibri"/>
                <w:color w:val="000000"/>
              </w:rPr>
              <w:t>60</w:t>
            </w:r>
          </w:p>
        </w:tc>
        <w:tc>
          <w:tcPr>
            <w:tcW w:w="1271" w:type="dxa"/>
            <w:shd w:val="clear" w:color="auto" w:fill="auto"/>
          </w:tcPr>
          <w:p w14:paraId="632C73D8" w14:textId="5043DCBD" w:rsidR="00464FF9" w:rsidRDefault="00464FF9" w:rsidP="00844FD6">
            <w:pPr>
              <w:spacing w:after="120" w:line="240" w:lineRule="auto"/>
              <w:jc w:val="center"/>
            </w:pPr>
            <w:r>
              <w:rPr>
                <w:rFonts w:ascii="Calibri" w:hAnsi="Calibri"/>
                <w:color w:val="000000"/>
              </w:rPr>
              <w:t>NEP</w:t>
            </w:r>
          </w:p>
        </w:tc>
        <w:tc>
          <w:tcPr>
            <w:tcW w:w="3589" w:type="dxa"/>
            <w:shd w:val="clear" w:color="auto" w:fill="auto"/>
          </w:tcPr>
          <w:p w14:paraId="3B651CD5" w14:textId="56782B15" w:rsidR="00464FF9" w:rsidRDefault="00464FF9" w:rsidP="00844FD6">
            <w:pPr>
              <w:spacing w:after="120" w:line="240" w:lineRule="auto"/>
            </w:pPr>
            <w:r>
              <w:rPr>
                <w:rFonts w:ascii="Calibri" w:hAnsi="Calibri"/>
                <w:color w:val="000000"/>
              </w:rPr>
              <w:t>Nepal</w:t>
            </w:r>
          </w:p>
        </w:tc>
        <w:tc>
          <w:tcPr>
            <w:tcW w:w="3589" w:type="dxa"/>
            <w:shd w:val="clear" w:color="auto" w:fill="auto"/>
          </w:tcPr>
          <w:p w14:paraId="310FD86B" w14:textId="5B199819" w:rsidR="00464FF9" w:rsidRDefault="00464FF9" w:rsidP="00844FD6">
            <w:pPr>
              <w:spacing w:after="120" w:line="240" w:lineRule="auto"/>
            </w:pPr>
            <w:r>
              <w:rPr>
                <w:rFonts w:ascii="Calibri" w:hAnsi="Calibri"/>
                <w:color w:val="000000"/>
              </w:rPr>
              <w:t>South Asia</w:t>
            </w:r>
          </w:p>
        </w:tc>
      </w:tr>
      <w:tr w:rsidR="00DE56CF" w14:paraId="38A2A397" w14:textId="77777777" w:rsidTr="00DE56CF">
        <w:tc>
          <w:tcPr>
            <w:tcW w:w="567" w:type="dxa"/>
            <w:shd w:val="clear" w:color="auto" w:fill="auto"/>
          </w:tcPr>
          <w:p w14:paraId="1C2C6009" w14:textId="7FECDE41" w:rsidR="00464FF9" w:rsidRDefault="00464FF9" w:rsidP="00844FD6">
            <w:pPr>
              <w:spacing w:after="120" w:line="240" w:lineRule="auto"/>
              <w:jc w:val="center"/>
            </w:pPr>
            <w:r>
              <w:rPr>
                <w:rFonts w:ascii="Calibri" w:hAnsi="Calibri"/>
                <w:color w:val="000000"/>
              </w:rPr>
              <w:t>61</w:t>
            </w:r>
          </w:p>
        </w:tc>
        <w:tc>
          <w:tcPr>
            <w:tcW w:w="1271" w:type="dxa"/>
            <w:shd w:val="clear" w:color="auto" w:fill="auto"/>
          </w:tcPr>
          <w:p w14:paraId="6D6CFE93" w14:textId="3D176863" w:rsidR="00464FF9" w:rsidRDefault="00464FF9" w:rsidP="00844FD6">
            <w:pPr>
              <w:spacing w:after="120" w:line="240" w:lineRule="auto"/>
              <w:jc w:val="center"/>
            </w:pPr>
            <w:r>
              <w:rPr>
                <w:rFonts w:ascii="Calibri" w:hAnsi="Calibri"/>
                <w:color w:val="000000"/>
              </w:rPr>
              <w:t>SIN</w:t>
            </w:r>
          </w:p>
        </w:tc>
        <w:tc>
          <w:tcPr>
            <w:tcW w:w="3589" w:type="dxa"/>
            <w:shd w:val="clear" w:color="auto" w:fill="auto"/>
          </w:tcPr>
          <w:p w14:paraId="096F4E48" w14:textId="460C72B5" w:rsidR="00464FF9" w:rsidRDefault="00464FF9" w:rsidP="00844FD6">
            <w:pPr>
              <w:spacing w:after="120" w:line="240" w:lineRule="auto"/>
            </w:pPr>
            <w:r>
              <w:rPr>
                <w:rFonts w:ascii="Calibri" w:hAnsi="Calibri"/>
                <w:color w:val="000000"/>
              </w:rPr>
              <w:t>Singapore</w:t>
            </w:r>
          </w:p>
        </w:tc>
        <w:tc>
          <w:tcPr>
            <w:tcW w:w="3589" w:type="dxa"/>
            <w:shd w:val="clear" w:color="auto" w:fill="auto"/>
          </w:tcPr>
          <w:p w14:paraId="0E1AE3D2" w14:textId="6699744D" w:rsidR="00464FF9" w:rsidRDefault="00464FF9" w:rsidP="00844FD6">
            <w:pPr>
              <w:spacing w:after="120" w:line="240" w:lineRule="auto"/>
            </w:pPr>
            <w:r>
              <w:rPr>
                <w:rFonts w:ascii="Calibri" w:hAnsi="Calibri"/>
                <w:color w:val="000000"/>
              </w:rPr>
              <w:t>East Asia and Pacific</w:t>
            </w:r>
          </w:p>
        </w:tc>
      </w:tr>
      <w:tr w:rsidR="00DE56CF" w14:paraId="3D117494" w14:textId="77777777" w:rsidTr="00DE56CF">
        <w:tc>
          <w:tcPr>
            <w:tcW w:w="567" w:type="dxa"/>
            <w:shd w:val="clear" w:color="auto" w:fill="auto"/>
          </w:tcPr>
          <w:p w14:paraId="526AA974" w14:textId="280F930D" w:rsidR="00464FF9" w:rsidRDefault="00464FF9" w:rsidP="00844FD6">
            <w:pPr>
              <w:spacing w:after="120" w:line="240" w:lineRule="auto"/>
              <w:jc w:val="center"/>
            </w:pPr>
            <w:r>
              <w:rPr>
                <w:rFonts w:ascii="Calibri" w:hAnsi="Calibri"/>
                <w:color w:val="000000"/>
              </w:rPr>
              <w:t>62</w:t>
            </w:r>
          </w:p>
        </w:tc>
        <w:tc>
          <w:tcPr>
            <w:tcW w:w="1271" w:type="dxa"/>
            <w:shd w:val="clear" w:color="auto" w:fill="auto"/>
          </w:tcPr>
          <w:p w14:paraId="60F3998F" w14:textId="788934D5" w:rsidR="00464FF9" w:rsidRDefault="00464FF9" w:rsidP="00844FD6">
            <w:pPr>
              <w:spacing w:after="120" w:line="240" w:lineRule="auto"/>
              <w:jc w:val="center"/>
            </w:pPr>
            <w:r>
              <w:rPr>
                <w:rFonts w:ascii="Calibri" w:hAnsi="Calibri"/>
                <w:color w:val="000000"/>
              </w:rPr>
              <w:t>HKG</w:t>
            </w:r>
          </w:p>
        </w:tc>
        <w:tc>
          <w:tcPr>
            <w:tcW w:w="3589" w:type="dxa"/>
            <w:shd w:val="clear" w:color="auto" w:fill="auto"/>
          </w:tcPr>
          <w:p w14:paraId="7C56FBA8" w14:textId="42BCCAC9" w:rsidR="00464FF9" w:rsidRDefault="00464FF9" w:rsidP="00844FD6">
            <w:pPr>
              <w:spacing w:after="120" w:line="240" w:lineRule="auto"/>
            </w:pPr>
            <w:r>
              <w:rPr>
                <w:rFonts w:ascii="Calibri" w:hAnsi="Calibri"/>
                <w:color w:val="000000"/>
              </w:rPr>
              <w:t>Hong Kong, China</w:t>
            </w:r>
          </w:p>
        </w:tc>
        <w:tc>
          <w:tcPr>
            <w:tcW w:w="3589" w:type="dxa"/>
            <w:shd w:val="clear" w:color="auto" w:fill="auto"/>
          </w:tcPr>
          <w:p w14:paraId="30014DC6" w14:textId="5FBC6127" w:rsidR="00464FF9" w:rsidRDefault="00464FF9" w:rsidP="00844FD6">
            <w:pPr>
              <w:spacing w:after="120" w:line="240" w:lineRule="auto"/>
            </w:pPr>
            <w:r>
              <w:rPr>
                <w:rFonts w:ascii="Calibri" w:hAnsi="Calibri"/>
                <w:color w:val="000000"/>
              </w:rPr>
              <w:t>East Asia and Pacific</w:t>
            </w:r>
          </w:p>
        </w:tc>
      </w:tr>
      <w:tr w:rsidR="00DE56CF" w14:paraId="7839721B" w14:textId="77777777" w:rsidTr="00DE56CF">
        <w:tc>
          <w:tcPr>
            <w:tcW w:w="567" w:type="dxa"/>
            <w:shd w:val="clear" w:color="auto" w:fill="auto"/>
          </w:tcPr>
          <w:p w14:paraId="61B22ED3" w14:textId="711536C9" w:rsidR="00464FF9" w:rsidRDefault="00464FF9" w:rsidP="00844FD6">
            <w:pPr>
              <w:spacing w:after="120" w:line="240" w:lineRule="auto"/>
              <w:jc w:val="center"/>
            </w:pPr>
            <w:r>
              <w:rPr>
                <w:rFonts w:ascii="Calibri" w:hAnsi="Calibri"/>
                <w:color w:val="000000"/>
              </w:rPr>
              <w:t>63</w:t>
            </w:r>
          </w:p>
        </w:tc>
        <w:tc>
          <w:tcPr>
            <w:tcW w:w="1271" w:type="dxa"/>
            <w:shd w:val="clear" w:color="auto" w:fill="auto"/>
          </w:tcPr>
          <w:p w14:paraId="0BBB456C" w14:textId="55E3BB1F" w:rsidR="00464FF9" w:rsidRDefault="00464FF9" w:rsidP="00844FD6">
            <w:pPr>
              <w:spacing w:after="120" w:line="240" w:lineRule="auto"/>
              <w:jc w:val="center"/>
            </w:pPr>
            <w:r>
              <w:rPr>
                <w:rFonts w:ascii="Calibri" w:hAnsi="Calibri"/>
                <w:color w:val="000000"/>
              </w:rPr>
              <w:t>ROW</w:t>
            </w:r>
          </w:p>
        </w:tc>
        <w:tc>
          <w:tcPr>
            <w:tcW w:w="3589" w:type="dxa"/>
            <w:shd w:val="clear" w:color="auto" w:fill="auto"/>
          </w:tcPr>
          <w:p w14:paraId="2A6301E0" w14:textId="1C8E8914" w:rsidR="00464FF9" w:rsidRDefault="00464FF9" w:rsidP="00844FD6">
            <w:pPr>
              <w:spacing w:after="120" w:line="240" w:lineRule="auto"/>
            </w:pPr>
            <w:r>
              <w:rPr>
                <w:rFonts w:ascii="Calibri" w:hAnsi="Calibri"/>
                <w:color w:val="000000"/>
              </w:rPr>
              <w:t>Rest of the world</w:t>
            </w:r>
          </w:p>
        </w:tc>
        <w:tc>
          <w:tcPr>
            <w:tcW w:w="3589" w:type="dxa"/>
            <w:shd w:val="clear" w:color="auto" w:fill="auto"/>
          </w:tcPr>
          <w:p w14:paraId="334BA659" w14:textId="232D7E90" w:rsidR="00464FF9" w:rsidRDefault="00464FF9" w:rsidP="00844FD6">
            <w:pPr>
              <w:spacing w:after="120" w:line="240" w:lineRule="auto"/>
            </w:pPr>
            <w:r>
              <w:rPr>
                <w:rFonts w:ascii="Calibri" w:hAnsi="Calibri"/>
                <w:color w:val="000000"/>
              </w:rPr>
              <w:t>South Asia</w:t>
            </w:r>
          </w:p>
        </w:tc>
      </w:tr>
    </w:tbl>
    <w:p w14:paraId="636BFA9F" w14:textId="585B533C" w:rsidR="00C96BEB" w:rsidRDefault="000000F5" w:rsidP="00C5783A">
      <w:pPr>
        <w:pStyle w:val="NotesAbbreviations"/>
      </w:pPr>
      <w:r>
        <w:t>ADB = Asian Development Bank</w:t>
      </w:r>
      <w:r w:rsidR="001D3CF5">
        <w:t xml:space="preserve">. </w:t>
      </w:r>
    </w:p>
    <w:p w14:paraId="59ACC820" w14:textId="742B3CB9" w:rsidR="00A91782" w:rsidRDefault="00A91782" w:rsidP="00A91782">
      <w:pPr>
        <w:pStyle w:val="NotesBottom"/>
      </w:pPr>
      <w:r>
        <w:t xml:space="preserve">Source: </w:t>
      </w:r>
      <w:r>
        <w:tab/>
        <w:t xml:space="preserve">Asian Development Bank. Multiregional Input–Output Database. </w:t>
      </w:r>
      <w:r w:rsidRPr="0004229A">
        <w:t>https://mrio.adbx.online</w:t>
      </w:r>
      <w:r>
        <w:t xml:space="preserve"> (accessed 1 August 2021)</w:t>
      </w:r>
      <w:r w:rsidR="00D43536">
        <w:t>.</w:t>
      </w:r>
    </w:p>
    <w:p w14:paraId="2224564B" w14:textId="77777777" w:rsidR="00620829" w:rsidRDefault="00620829">
      <w:pPr>
        <w:spacing w:after="0" w:line="240" w:lineRule="auto"/>
        <w:rPr>
          <w:b/>
          <w:iCs/>
          <w:color w:val="000000" w:themeColor="text1"/>
          <w:szCs w:val="18"/>
        </w:rPr>
      </w:pPr>
      <w:r>
        <w:br w:type="page"/>
      </w:r>
    </w:p>
    <w:p w14:paraId="66417794" w14:textId="5BB3CA60" w:rsidR="00C96BEB" w:rsidRDefault="004F7E9B" w:rsidP="004F7E9B">
      <w:pPr>
        <w:pStyle w:val="Caption"/>
      </w:pPr>
      <w:bookmarkStart w:id="96" w:name="_Toc83849798"/>
      <w:r>
        <w:lastRenderedPageBreak/>
        <w:t>Table A</w:t>
      </w:r>
      <w:fldSimple w:instr=" SEQ Table \* ARABIC ">
        <w:r w:rsidR="00D57A44">
          <w:rPr>
            <w:noProof/>
          </w:rPr>
          <w:t>2</w:t>
        </w:r>
      </w:fldSimple>
      <w:r>
        <w:t>:</w:t>
      </w:r>
      <w:r w:rsidR="00507784">
        <w:t xml:space="preserve"> </w:t>
      </w:r>
      <w:r>
        <w:t xml:space="preserve">Sectors in the ADB </w:t>
      </w:r>
      <w:r w:rsidR="001D3CF5">
        <w:t>Multiregional Input–Output Database</w:t>
      </w:r>
      <w:bookmarkEnd w:id="96"/>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
        <w:gridCol w:w="3976"/>
        <w:gridCol w:w="2076"/>
        <w:gridCol w:w="708"/>
        <w:gridCol w:w="1727"/>
      </w:tblGrid>
      <w:tr w:rsidR="00AD00A7" w14:paraId="403970FD" w14:textId="77777777" w:rsidTr="00DE56CF">
        <w:trPr>
          <w:trHeight w:val="413"/>
        </w:trPr>
        <w:tc>
          <w:tcPr>
            <w:tcW w:w="529" w:type="dxa"/>
            <w:tcBorders>
              <w:top w:val="single" w:sz="4" w:space="0" w:color="auto"/>
              <w:bottom w:val="single" w:sz="4" w:space="0" w:color="auto"/>
            </w:tcBorders>
            <w:shd w:val="clear" w:color="auto" w:fill="auto"/>
            <w:vAlign w:val="center"/>
          </w:tcPr>
          <w:p w14:paraId="7B7DFC7B" w14:textId="7D80FF48" w:rsidR="0093221A" w:rsidRPr="0000766B" w:rsidRDefault="00536B87" w:rsidP="00B74741">
            <w:pPr>
              <w:spacing w:after="0"/>
              <w:jc w:val="center"/>
              <w:rPr>
                <w:b/>
                <w:bCs/>
              </w:rPr>
            </w:pPr>
            <w:r w:rsidRPr="0000766B">
              <w:rPr>
                <w:b/>
                <w:bCs/>
              </w:rPr>
              <w:t>ID</w:t>
            </w:r>
          </w:p>
        </w:tc>
        <w:tc>
          <w:tcPr>
            <w:tcW w:w="3976" w:type="dxa"/>
            <w:tcBorders>
              <w:top w:val="single" w:sz="4" w:space="0" w:color="auto"/>
              <w:bottom w:val="single" w:sz="4" w:space="0" w:color="auto"/>
            </w:tcBorders>
            <w:shd w:val="clear" w:color="auto" w:fill="auto"/>
            <w:vAlign w:val="center"/>
          </w:tcPr>
          <w:p w14:paraId="2B4BFC9C" w14:textId="5DD28B17" w:rsidR="0093221A" w:rsidRPr="0000766B" w:rsidRDefault="00536B87" w:rsidP="00B74741">
            <w:pPr>
              <w:spacing w:after="0"/>
              <w:rPr>
                <w:b/>
                <w:bCs/>
              </w:rPr>
            </w:pPr>
            <w:r w:rsidRPr="0000766B">
              <w:rPr>
                <w:b/>
                <w:bCs/>
              </w:rPr>
              <w:t>Name</w:t>
            </w:r>
          </w:p>
        </w:tc>
        <w:tc>
          <w:tcPr>
            <w:tcW w:w="2076" w:type="dxa"/>
            <w:tcBorders>
              <w:top w:val="single" w:sz="4" w:space="0" w:color="auto"/>
              <w:bottom w:val="single" w:sz="4" w:space="0" w:color="auto"/>
            </w:tcBorders>
            <w:shd w:val="clear" w:color="auto" w:fill="auto"/>
            <w:vAlign w:val="center"/>
          </w:tcPr>
          <w:p w14:paraId="1D26C551" w14:textId="0204CE98" w:rsidR="0093221A" w:rsidRPr="0000766B" w:rsidRDefault="00536B87" w:rsidP="00B74741">
            <w:pPr>
              <w:spacing w:after="0"/>
              <w:rPr>
                <w:b/>
                <w:bCs/>
              </w:rPr>
            </w:pPr>
            <w:r w:rsidRPr="0000766B">
              <w:rPr>
                <w:b/>
                <w:bCs/>
              </w:rPr>
              <w:t>Short Name</w:t>
            </w:r>
          </w:p>
        </w:tc>
        <w:tc>
          <w:tcPr>
            <w:tcW w:w="708" w:type="dxa"/>
            <w:tcBorders>
              <w:top w:val="single" w:sz="4" w:space="0" w:color="auto"/>
              <w:bottom w:val="single" w:sz="4" w:space="0" w:color="auto"/>
            </w:tcBorders>
            <w:shd w:val="clear" w:color="auto" w:fill="auto"/>
            <w:vAlign w:val="center"/>
          </w:tcPr>
          <w:p w14:paraId="736C6354" w14:textId="111465D6" w:rsidR="0093221A" w:rsidRPr="0000766B" w:rsidRDefault="00536B87" w:rsidP="00B74741">
            <w:pPr>
              <w:spacing w:after="0"/>
              <w:jc w:val="center"/>
              <w:rPr>
                <w:b/>
                <w:bCs/>
              </w:rPr>
            </w:pPr>
            <w:r w:rsidRPr="0000766B">
              <w:rPr>
                <w:b/>
                <w:bCs/>
              </w:rPr>
              <w:t>Code</w:t>
            </w:r>
          </w:p>
        </w:tc>
        <w:tc>
          <w:tcPr>
            <w:tcW w:w="1727" w:type="dxa"/>
            <w:tcBorders>
              <w:top w:val="single" w:sz="4" w:space="0" w:color="auto"/>
              <w:bottom w:val="single" w:sz="4" w:space="0" w:color="auto"/>
            </w:tcBorders>
            <w:shd w:val="clear" w:color="auto" w:fill="auto"/>
            <w:vAlign w:val="center"/>
          </w:tcPr>
          <w:p w14:paraId="202B827B" w14:textId="0F243C97" w:rsidR="0093221A" w:rsidRPr="0000766B" w:rsidRDefault="00536B87" w:rsidP="00D15081">
            <w:pPr>
              <w:spacing w:after="0"/>
              <w:jc w:val="center"/>
              <w:rPr>
                <w:b/>
                <w:bCs/>
              </w:rPr>
            </w:pPr>
            <w:r w:rsidRPr="0000766B">
              <w:rPr>
                <w:b/>
                <w:bCs/>
              </w:rPr>
              <w:t>ISIC 3.1</w:t>
            </w:r>
          </w:p>
        </w:tc>
      </w:tr>
      <w:tr w:rsidR="00AD00A7" w14:paraId="33B6BD48" w14:textId="77777777" w:rsidTr="00DE56CF">
        <w:tc>
          <w:tcPr>
            <w:tcW w:w="529" w:type="dxa"/>
            <w:tcBorders>
              <w:top w:val="single" w:sz="4" w:space="0" w:color="auto"/>
            </w:tcBorders>
            <w:shd w:val="clear" w:color="auto" w:fill="auto"/>
          </w:tcPr>
          <w:p w14:paraId="76B07E9C" w14:textId="0205F721" w:rsidR="0093221A" w:rsidRDefault="0093221A" w:rsidP="00CE7C36">
            <w:pPr>
              <w:spacing w:after="120" w:line="240" w:lineRule="auto"/>
              <w:jc w:val="center"/>
            </w:pPr>
            <w:r>
              <w:rPr>
                <w:rFonts w:ascii="Calibri" w:hAnsi="Calibri"/>
                <w:color w:val="000000"/>
              </w:rPr>
              <w:t>1</w:t>
            </w:r>
          </w:p>
        </w:tc>
        <w:tc>
          <w:tcPr>
            <w:tcW w:w="3976" w:type="dxa"/>
            <w:tcBorders>
              <w:top w:val="single" w:sz="4" w:space="0" w:color="auto"/>
            </w:tcBorders>
            <w:shd w:val="clear" w:color="auto" w:fill="auto"/>
          </w:tcPr>
          <w:p w14:paraId="6BF62BAB" w14:textId="39E65D2B" w:rsidR="0093221A" w:rsidRDefault="0093221A" w:rsidP="00CE7C36">
            <w:pPr>
              <w:spacing w:after="120" w:line="240" w:lineRule="auto"/>
            </w:pPr>
            <w:r>
              <w:rPr>
                <w:rFonts w:ascii="Calibri" w:hAnsi="Calibri"/>
                <w:color w:val="000000"/>
              </w:rPr>
              <w:t>Agriculture, hunting, forestry and fishing</w:t>
            </w:r>
          </w:p>
        </w:tc>
        <w:tc>
          <w:tcPr>
            <w:tcW w:w="2076" w:type="dxa"/>
            <w:tcBorders>
              <w:top w:val="single" w:sz="4" w:space="0" w:color="auto"/>
            </w:tcBorders>
            <w:shd w:val="clear" w:color="auto" w:fill="auto"/>
          </w:tcPr>
          <w:p w14:paraId="5DF628D8" w14:textId="55910C98" w:rsidR="0093221A" w:rsidRDefault="0093221A" w:rsidP="00CE7C36">
            <w:pPr>
              <w:spacing w:after="120" w:line="240" w:lineRule="auto"/>
            </w:pPr>
            <w:r>
              <w:rPr>
                <w:rFonts w:ascii="Calibri" w:hAnsi="Calibri"/>
                <w:color w:val="000000"/>
              </w:rPr>
              <w:t>Agriculture</w:t>
            </w:r>
          </w:p>
        </w:tc>
        <w:tc>
          <w:tcPr>
            <w:tcW w:w="708" w:type="dxa"/>
            <w:tcBorders>
              <w:top w:val="single" w:sz="4" w:space="0" w:color="auto"/>
            </w:tcBorders>
            <w:shd w:val="clear" w:color="auto" w:fill="auto"/>
          </w:tcPr>
          <w:p w14:paraId="4789CBB2" w14:textId="389D091F" w:rsidR="0093221A" w:rsidRDefault="0093221A" w:rsidP="00CE7C36">
            <w:pPr>
              <w:spacing w:after="120" w:line="240" w:lineRule="auto"/>
              <w:jc w:val="center"/>
            </w:pPr>
            <w:r>
              <w:rPr>
                <w:rFonts w:ascii="Calibri" w:hAnsi="Calibri"/>
                <w:color w:val="000000"/>
              </w:rPr>
              <w:t>AHF</w:t>
            </w:r>
          </w:p>
        </w:tc>
        <w:tc>
          <w:tcPr>
            <w:tcW w:w="1727" w:type="dxa"/>
            <w:tcBorders>
              <w:top w:val="single" w:sz="4" w:space="0" w:color="auto"/>
            </w:tcBorders>
            <w:shd w:val="clear" w:color="auto" w:fill="auto"/>
          </w:tcPr>
          <w:p w14:paraId="0C5854B8" w14:textId="37EE067D" w:rsidR="0093221A" w:rsidRDefault="009161F1" w:rsidP="00CE7C36">
            <w:pPr>
              <w:spacing w:after="120" w:line="240" w:lineRule="auto"/>
              <w:jc w:val="center"/>
            </w:pPr>
            <w:r>
              <w:t>A–B</w:t>
            </w:r>
          </w:p>
        </w:tc>
      </w:tr>
      <w:tr w:rsidR="00AD00A7" w14:paraId="661BBA27" w14:textId="77777777" w:rsidTr="00DE56CF">
        <w:tc>
          <w:tcPr>
            <w:tcW w:w="529" w:type="dxa"/>
            <w:shd w:val="clear" w:color="auto" w:fill="auto"/>
          </w:tcPr>
          <w:p w14:paraId="048853F8" w14:textId="7B73C54C" w:rsidR="0093221A" w:rsidRDefault="0093221A" w:rsidP="00CE7C36">
            <w:pPr>
              <w:spacing w:after="120" w:line="240" w:lineRule="auto"/>
              <w:jc w:val="center"/>
            </w:pPr>
            <w:r>
              <w:rPr>
                <w:rFonts w:ascii="Calibri" w:hAnsi="Calibri"/>
                <w:color w:val="000000"/>
              </w:rPr>
              <w:t>2</w:t>
            </w:r>
          </w:p>
        </w:tc>
        <w:tc>
          <w:tcPr>
            <w:tcW w:w="3976" w:type="dxa"/>
            <w:shd w:val="clear" w:color="auto" w:fill="auto"/>
          </w:tcPr>
          <w:p w14:paraId="7D09F847" w14:textId="2364E90D" w:rsidR="0093221A" w:rsidRDefault="0093221A" w:rsidP="00CE7C36">
            <w:pPr>
              <w:spacing w:after="120" w:line="240" w:lineRule="auto"/>
            </w:pPr>
            <w:r>
              <w:rPr>
                <w:rFonts w:ascii="Calibri" w:hAnsi="Calibri"/>
                <w:color w:val="000000"/>
              </w:rPr>
              <w:t>Mining and quarrying</w:t>
            </w:r>
          </w:p>
        </w:tc>
        <w:tc>
          <w:tcPr>
            <w:tcW w:w="2076" w:type="dxa"/>
            <w:shd w:val="clear" w:color="auto" w:fill="auto"/>
          </w:tcPr>
          <w:p w14:paraId="0286BBED" w14:textId="714D55B0" w:rsidR="0093221A" w:rsidRDefault="0093221A" w:rsidP="00CE7C36">
            <w:pPr>
              <w:spacing w:after="120" w:line="240" w:lineRule="auto"/>
            </w:pPr>
            <w:r>
              <w:rPr>
                <w:rFonts w:ascii="Calibri" w:hAnsi="Calibri"/>
                <w:color w:val="000000"/>
              </w:rPr>
              <w:t>Mining</w:t>
            </w:r>
          </w:p>
        </w:tc>
        <w:tc>
          <w:tcPr>
            <w:tcW w:w="708" w:type="dxa"/>
            <w:shd w:val="clear" w:color="auto" w:fill="auto"/>
          </w:tcPr>
          <w:p w14:paraId="05E41797" w14:textId="3EDD2318" w:rsidR="0093221A" w:rsidRDefault="0093221A" w:rsidP="00CE7C36">
            <w:pPr>
              <w:spacing w:after="120" w:line="240" w:lineRule="auto"/>
              <w:jc w:val="center"/>
            </w:pPr>
            <w:r>
              <w:rPr>
                <w:rFonts w:ascii="Calibri" w:hAnsi="Calibri"/>
                <w:color w:val="000000"/>
              </w:rPr>
              <w:t>MIN</w:t>
            </w:r>
          </w:p>
        </w:tc>
        <w:tc>
          <w:tcPr>
            <w:tcW w:w="1727" w:type="dxa"/>
            <w:shd w:val="clear" w:color="auto" w:fill="auto"/>
          </w:tcPr>
          <w:p w14:paraId="1A69C0F2" w14:textId="417BCD37" w:rsidR="0093221A" w:rsidRDefault="009161F1" w:rsidP="00CE7C36">
            <w:pPr>
              <w:spacing w:after="120" w:line="240" w:lineRule="auto"/>
              <w:jc w:val="center"/>
            </w:pPr>
            <w:r>
              <w:t>C</w:t>
            </w:r>
          </w:p>
        </w:tc>
      </w:tr>
      <w:tr w:rsidR="00AD00A7" w14:paraId="40D6BB63" w14:textId="77777777" w:rsidTr="00DE56CF">
        <w:tc>
          <w:tcPr>
            <w:tcW w:w="529" w:type="dxa"/>
            <w:shd w:val="clear" w:color="auto" w:fill="auto"/>
          </w:tcPr>
          <w:p w14:paraId="50C1483D" w14:textId="449827C2" w:rsidR="0093221A" w:rsidRDefault="0093221A" w:rsidP="00CE7C36">
            <w:pPr>
              <w:spacing w:after="120" w:line="240" w:lineRule="auto"/>
              <w:jc w:val="center"/>
            </w:pPr>
            <w:r>
              <w:rPr>
                <w:rFonts w:ascii="Calibri" w:hAnsi="Calibri"/>
                <w:color w:val="000000"/>
              </w:rPr>
              <w:t>3</w:t>
            </w:r>
          </w:p>
        </w:tc>
        <w:tc>
          <w:tcPr>
            <w:tcW w:w="3976" w:type="dxa"/>
            <w:shd w:val="clear" w:color="auto" w:fill="auto"/>
          </w:tcPr>
          <w:p w14:paraId="21FD3B0E" w14:textId="1C3A27BA" w:rsidR="0093221A" w:rsidRDefault="0093221A" w:rsidP="00CE7C36">
            <w:pPr>
              <w:spacing w:after="120" w:line="240" w:lineRule="auto"/>
            </w:pPr>
            <w:r>
              <w:rPr>
                <w:rFonts w:ascii="Calibri" w:hAnsi="Calibri"/>
                <w:color w:val="000000"/>
              </w:rPr>
              <w:t>Food, beverages and tobacco</w:t>
            </w:r>
          </w:p>
        </w:tc>
        <w:tc>
          <w:tcPr>
            <w:tcW w:w="2076" w:type="dxa"/>
            <w:shd w:val="clear" w:color="auto" w:fill="auto"/>
          </w:tcPr>
          <w:p w14:paraId="0ACF5B56" w14:textId="7E12D3C6" w:rsidR="0093221A" w:rsidRDefault="0093221A" w:rsidP="00CE7C36">
            <w:pPr>
              <w:spacing w:after="120" w:line="240" w:lineRule="auto"/>
            </w:pPr>
            <w:r>
              <w:rPr>
                <w:rFonts w:ascii="Calibri" w:hAnsi="Calibri"/>
                <w:color w:val="000000"/>
              </w:rPr>
              <w:t>Food &amp; beverages</w:t>
            </w:r>
          </w:p>
        </w:tc>
        <w:tc>
          <w:tcPr>
            <w:tcW w:w="708" w:type="dxa"/>
            <w:shd w:val="clear" w:color="auto" w:fill="auto"/>
          </w:tcPr>
          <w:p w14:paraId="4FEF9E26" w14:textId="33533E87" w:rsidR="0093221A" w:rsidRDefault="0093221A" w:rsidP="00CE7C36">
            <w:pPr>
              <w:spacing w:after="120" w:line="240" w:lineRule="auto"/>
              <w:jc w:val="center"/>
            </w:pPr>
            <w:r>
              <w:rPr>
                <w:rFonts w:ascii="Calibri" w:hAnsi="Calibri"/>
                <w:color w:val="000000"/>
              </w:rPr>
              <w:t>FBT</w:t>
            </w:r>
          </w:p>
        </w:tc>
        <w:tc>
          <w:tcPr>
            <w:tcW w:w="1727" w:type="dxa"/>
            <w:shd w:val="clear" w:color="auto" w:fill="auto"/>
          </w:tcPr>
          <w:p w14:paraId="36930294" w14:textId="0194EE0B" w:rsidR="0093221A" w:rsidRDefault="009161F1" w:rsidP="00CE7C36">
            <w:pPr>
              <w:spacing w:after="120" w:line="240" w:lineRule="auto"/>
              <w:jc w:val="center"/>
            </w:pPr>
            <w:r>
              <w:t>D15–16</w:t>
            </w:r>
          </w:p>
        </w:tc>
      </w:tr>
      <w:tr w:rsidR="00AD00A7" w14:paraId="2FE69390" w14:textId="77777777" w:rsidTr="00DE56CF">
        <w:tc>
          <w:tcPr>
            <w:tcW w:w="529" w:type="dxa"/>
            <w:shd w:val="clear" w:color="auto" w:fill="auto"/>
          </w:tcPr>
          <w:p w14:paraId="08DF93B8" w14:textId="1B929497" w:rsidR="0093221A" w:rsidRDefault="0093221A" w:rsidP="00CE7C36">
            <w:pPr>
              <w:spacing w:after="120" w:line="240" w:lineRule="auto"/>
              <w:jc w:val="center"/>
            </w:pPr>
            <w:r>
              <w:rPr>
                <w:rFonts w:ascii="Calibri" w:hAnsi="Calibri"/>
                <w:color w:val="000000"/>
              </w:rPr>
              <w:t>4</w:t>
            </w:r>
          </w:p>
        </w:tc>
        <w:tc>
          <w:tcPr>
            <w:tcW w:w="3976" w:type="dxa"/>
            <w:shd w:val="clear" w:color="auto" w:fill="auto"/>
          </w:tcPr>
          <w:p w14:paraId="0432A9A7" w14:textId="615B2CA3" w:rsidR="0093221A" w:rsidRDefault="0093221A" w:rsidP="00CE7C36">
            <w:pPr>
              <w:spacing w:after="120" w:line="240" w:lineRule="auto"/>
            </w:pPr>
            <w:r>
              <w:rPr>
                <w:rFonts w:ascii="Calibri" w:hAnsi="Calibri"/>
                <w:color w:val="000000"/>
              </w:rPr>
              <w:t>Textiles and textile products</w:t>
            </w:r>
          </w:p>
        </w:tc>
        <w:tc>
          <w:tcPr>
            <w:tcW w:w="2076" w:type="dxa"/>
            <w:shd w:val="clear" w:color="auto" w:fill="auto"/>
          </w:tcPr>
          <w:p w14:paraId="26A31ACD" w14:textId="01CC4382" w:rsidR="0093221A" w:rsidRDefault="0093221A" w:rsidP="00CE7C36">
            <w:pPr>
              <w:spacing w:after="120" w:line="240" w:lineRule="auto"/>
            </w:pPr>
            <w:r>
              <w:rPr>
                <w:rFonts w:ascii="Calibri" w:hAnsi="Calibri"/>
                <w:color w:val="000000"/>
              </w:rPr>
              <w:t>Textiles</w:t>
            </w:r>
          </w:p>
        </w:tc>
        <w:tc>
          <w:tcPr>
            <w:tcW w:w="708" w:type="dxa"/>
            <w:shd w:val="clear" w:color="auto" w:fill="auto"/>
          </w:tcPr>
          <w:p w14:paraId="5A47E79D" w14:textId="144680FC" w:rsidR="0093221A" w:rsidRDefault="0093221A" w:rsidP="00CE7C36">
            <w:pPr>
              <w:spacing w:after="120" w:line="240" w:lineRule="auto"/>
              <w:jc w:val="center"/>
            </w:pPr>
            <w:r>
              <w:rPr>
                <w:rFonts w:ascii="Calibri" w:hAnsi="Calibri"/>
                <w:color w:val="000000"/>
              </w:rPr>
              <w:t>TEX</w:t>
            </w:r>
          </w:p>
        </w:tc>
        <w:tc>
          <w:tcPr>
            <w:tcW w:w="1727" w:type="dxa"/>
            <w:shd w:val="clear" w:color="auto" w:fill="auto"/>
          </w:tcPr>
          <w:p w14:paraId="138D5445" w14:textId="4E2F6117" w:rsidR="0093221A" w:rsidRDefault="009161F1" w:rsidP="00CE7C36">
            <w:pPr>
              <w:spacing w:after="120" w:line="240" w:lineRule="auto"/>
              <w:jc w:val="center"/>
            </w:pPr>
            <w:r>
              <w:t>D17–18</w:t>
            </w:r>
          </w:p>
        </w:tc>
      </w:tr>
      <w:tr w:rsidR="00AD00A7" w14:paraId="35CD2E2B" w14:textId="77777777" w:rsidTr="00DE56CF">
        <w:tc>
          <w:tcPr>
            <w:tcW w:w="529" w:type="dxa"/>
            <w:shd w:val="clear" w:color="auto" w:fill="auto"/>
          </w:tcPr>
          <w:p w14:paraId="3BB7D381" w14:textId="6FCF0436" w:rsidR="0093221A" w:rsidRDefault="0093221A" w:rsidP="00CE7C36">
            <w:pPr>
              <w:spacing w:after="120" w:line="240" w:lineRule="auto"/>
              <w:jc w:val="center"/>
            </w:pPr>
            <w:r>
              <w:rPr>
                <w:rFonts w:ascii="Calibri" w:hAnsi="Calibri"/>
                <w:color w:val="000000"/>
              </w:rPr>
              <w:t>5</w:t>
            </w:r>
          </w:p>
        </w:tc>
        <w:tc>
          <w:tcPr>
            <w:tcW w:w="3976" w:type="dxa"/>
            <w:shd w:val="clear" w:color="auto" w:fill="auto"/>
          </w:tcPr>
          <w:p w14:paraId="1639CDB0" w14:textId="73E17317" w:rsidR="0093221A" w:rsidRDefault="0093221A" w:rsidP="00CE7C36">
            <w:pPr>
              <w:spacing w:after="120" w:line="240" w:lineRule="auto"/>
            </w:pPr>
            <w:r>
              <w:rPr>
                <w:rFonts w:ascii="Calibri" w:hAnsi="Calibri"/>
                <w:color w:val="000000"/>
              </w:rPr>
              <w:t>Leather, leather products and footwear</w:t>
            </w:r>
          </w:p>
        </w:tc>
        <w:tc>
          <w:tcPr>
            <w:tcW w:w="2076" w:type="dxa"/>
            <w:shd w:val="clear" w:color="auto" w:fill="auto"/>
          </w:tcPr>
          <w:p w14:paraId="429499E7" w14:textId="2B0933B7" w:rsidR="0093221A" w:rsidRDefault="0093221A" w:rsidP="00CE7C36">
            <w:pPr>
              <w:spacing w:after="120" w:line="240" w:lineRule="auto"/>
            </w:pPr>
            <w:r>
              <w:rPr>
                <w:rFonts w:ascii="Calibri" w:hAnsi="Calibri"/>
                <w:color w:val="000000"/>
              </w:rPr>
              <w:t>Leather</w:t>
            </w:r>
          </w:p>
        </w:tc>
        <w:tc>
          <w:tcPr>
            <w:tcW w:w="708" w:type="dxa"/>
            <w:shd w:val="clear" w:color="auto" w:fill="auto"/>
          </w:tcPr>
          <w:p w14:paraId="59E0F8E6" w14:textId="1B11BEC9" w:rsidR="0093221A" w:rsidRDefault="0093221A" w:rsidP="00CE7C36">
            <w:pPr>
              <w:spacing w:after="120" w:line="240" w:lineRule="auto"/>
              <w:jc w:val="center"/>
            </w:pPr>
            <w:r>
              <w:rPr>
                <w:rFonts w:ascii="Calibri" w:hAnsi="Calibri"/>
                <w:color w:val="000000"/>
              </w:rPr>
              <w:t>LTH</w:t>
            </w:r>
          </w:p>
        </w:tc>
        <w:tc>
          <w:tcPr>
            <w:tcW w:w="1727" w:type="dxa"/>
            <w:shd w:val="clear" w:color="auto" w:fill="auto"/>
          </w:tcPr>
          <w:p w14:paraId="26B9826C" w14:textId="21AD98F8" w:rsidR="0093221A" w:rsidRDefault="009161F1" w:rsidP="00CE7C36">
            <w:pPr>
              <w:spacing w:after="120" w:line="240" w:lineRule="auto"/>
              <w:jc w:val="center"/>
            </w:pPr>
            <w:r>
              <w:t>D19</w:t>
            </w:r>
          </w:p>
        </w:tc>
      </w:tr>
      <w:tr w:rsidR="00AD00A7" w14:paraId="0C9F9A03" w14:textId="77777777" w:rsidTr="00DE56CF">
        <w:tc>
          <w:tcPr>
            <w:tcW w:w="529" w:type="dxa"/>
            <w:shd w:val="clear" w:color="auto" w:fill="auto"/>
          </w:tcPr>
          <w:p w14:paraId="1B7105A9" w14:textId="12D0ED8E" w:rsidR="0093221A" w:rsidRDefault="0093221A" w:rsidP="00CE7C36">
            <w:pPr>
              <w:spacing w:after="120" w:line="240" w:lineRule="auto"/>
              <w:jc w:val="center"/>
            </w:pPr>
            <w:r>
              <w:rPr>
                <w:rFonts w:ascii="Calibri" w:hAnsi="Calibri"/>
                <w:color w:val="000000"/>
              </w:rPr>
              <w:t>6</w:t>
            </w:r>
          </w:p>
        </w:tc>
        <w:tc>
          <w:tcPr>
            <w:tcW w:w="3976" w:type="dxa"/>
            <w:shd w:val="clear" w:color="auto" w:fill="auto"/>
          </w:tcPr>
          <w:p w14:paraId="59F2D64C" w14:textId="74360D77" w:rsidR="0093221A" w:rsidRDefault="0093221A" w:rsidP="00CE7C36">
            <w:pPr>
              <w:spacing w:after="120" w:line="240" w:lineRule="auto"/>
            </w:pPr>
            <w:r>
              <w:rPr>
                <w:rFonts w:ascii="Calibri" w:hAnsi="Calibri"/>
                <w:color w:val="000000"/>
              </w:rPr>
              <w:t>Wood and products of wood and cork</w:t>
            </w:r>
          </w:p>
        </w:tc>
        <w:tc>
          <w:tcPr>
            <w:tcW w:w="2076" w:type="dxa"/>
            <w:shd w:val="clear" w:color="auto" w:fill="auto"/>
          </w:tcPr>
          <w:p w14:paraId="5413FA66" w14:textId="58AF86DD" w:rsidR="0093221A" w:rsidRDefault="0093221A" w:rsidP="00CE7C36">
            <w:pPr>
              <w:spacing w:after="120" w:line="240" w:lineRule="auto"/>
            </w:pPr>
            <w:r>
              <w:rPr>
                <w:rFonts w:ascii="Calibri" w:hAnsi="Calibri"/>
                <w:color w:val="000000"/>
              </w:rPr>
              <w:t>Wood</w:t>
            </w:r>
          </w:p>
        </w:tc>
        <w:tc>
          <w:tcPr>
            <w:tcW w:w="708" w:type="dxa"/>
            <w:shd w:val="clear" w:color="auto" w:fill="auto"/>
          </w:tcPr>
          <w:p w14:paraId="1D79FE43" w14:textId="60D5B735" w:rsidR="0093221A" w:rsidRDefault="0093221A" w:rsidP="00CE7C36">
            <w:pPr>
              <w:spacing w:after="120" w:line="240" w:lineRule="auto"/>
              <w:jc w:val="center"/>
            </w:pPr>
            <w:r>
              <w:rPr>
                <w:rFonts w:ascii="Calibri" w:hAnsi="Calibri"/>
                <w:color w:val="000000"/>
              </w:rPr>
              <w:t>WDC</w:t>
            </w:r>
          </w:p>
        </w:tc>
        <w:tc>
          <w:tcPr>
            <w:tcW w:w="1727" w:type="dxa"/>
            <w:shd w:val="clear" w:color="auto" w:fill="auto"/>
          </w:tcPr>
          <w:p w14:paraId="6C1C16B2" w14:textId="661B729D" w:rsidR="0093221A" w:rsidRDefault="009161F1" w:rsidP="00CE7C36">
            <w:pPr>
              <w:spacing w:after="120" w:line="240" w:lineRule="auto"/>
              <w:jc w:val="center"/>
            </w:pPr>
            <w:r>
              <w:t>D20</w:t>
            </w:r>
          </w:p>
        </w:tc>
      </w:tr>
      <w:tr w:rsidR="00AD00A7" w14:paraId="3324BB10" w14:textId="77777777" w:rsidTr="00DE56CF">
        <w:tc>
          <w:tcPr>
            <w:tcW w:w="529" w:type="dxa"/>
            <w:shd w:val="clear" w:color="auto" w:fill="auto"/>
          </w:tcPr>
          <w:p w14:paraId="61E41591" w14:textId="01E24DD1" w:rsidR="0093221A" w:rsidRDefault="0093221A" w:rsidP="00CE7C36">
            <w:pPr>
              <w:spacing w:after="120" w:line="240" w:lineRule="auto"/>
              <w:jc w:val="center"/>
            </w:pPr>
            <w:r>
              <w:rPr>
                <w:rFonts w:ascii="Calibri" w:hAnsi="Calibri"/>
                <w:color w:val="000000"/>
              </w:rPr>
              <w:t>7</w:t>
            </w:r>
          </w:p>
        </w:tc>
        <w:tc>
          <w:tcPr>
            <w:tcW w:w="3976" w:type="dxa"/>
            <w:shd w:val="clear" w:color="auto" w:fill="auto"/>
          </w:tcPr>
          <w:p w14:paraId="061C4986" w14:textId="61CFEB11" w:rsidR="0093221A" w:rsidRDefault="0093221A" w:rsidP="00CE7C36">
            <w:pPr>
              <w:spacing w:after="120" w:line="240" w:lineRule="auto"/>
            </w:pPr>
            <w:r>
              <w:rPr>
                <w:rFonts w:ascii="Calibri" w:hAnsi="Calibri"/>
                <w:color w:val="000000"/>
              </w:rPr>
              <w:t>Pulp, paper, printing and publishing</w:t>
            </w:r>
          </w:p>
        </w:tc>
        <w:tc>
          <w:tcPr>
            <w:tcW w:w="2076" w:type="dxa"/>
            <w:shd w:val="clear" w:color="auto" w:fill="auto"/>
          </w:tcPr>
          <w:p w14:paraId="063D5819" w14:textId="0079E876" w:rsidR="0093221A" w:rsidRDefault="0093221A" w:rsidP="00CE7C36">
            <w:pPr>
              <w:spacing w:after="120" w:line="240" w:lineRule="auto"/>
            </w:pPr>
            <w:r>
              <w:rPr>
                <w:rFonts w:ascii="Calibri" w:hAnsi="Calibri"/>
                <w:color w:val="000000"/>
              </w:rPr>
              <w:t>Paper</w:t>
            </w:r>
          </w:p>
        </w:tc>
        <w:tc>
          <w:tcPr>
            <w:tcW w:w="708" w:type="dxa"/>
            <w:shd w:val="clear" w:color="auto" w:fill="auto"/>
          </w:tcPr>
          <w:p w14:paraId="7A697651" w14:textId="5FD7B5F5" w:rsidR="0093221A" w:rsidRDefault="0093221A" w:rsidP="00CE7C36">
            <w:pPr>
              <w:spacing w:after="120" w:line="240" w:lineRule="auto"/>
              <w:jc w:val="center"/>
            </w:pPr>
            <w:r>
              <w:rPr>
                <w:rFonts w:ascii="Calibri" w:hAnsi="Calibri"/>
                <w:color w:val="000000"/>
              </w:rPr>
              <w:t>PPP</w:t>
            </w:r>
          </w:p>
        </w:tc>
        <w:tc>
          <w:tcPr>
            <w:tcW w:w="1727" w:type="dxa"/>
            <w:shd w:val="clear" w:color="auto" w:fill="auto"/>
          </w:tcPr>
          <w:p w14:paraId="3AED0D51" w14:textId="56E74BAE" w:rsidR="0093221A" w:rsidRDefault="009161F1" w:rsidP="00CE7C36">
            <w:pPr>
              <w:spacing w:after="120" w:line="240" w:lineRule="auto"/>
              <w:jc w:val="center"/>
            </w:pPr>
            <w:r>
              <w:t>D21–22</w:t>
            </w:r>
          </w:p>
        </w:tc>
      </w:tr>
      <w:tr w:rsidR="00DE56CF" w14:paraId="73C3C62C" w14:textId="77777777" w:rsidTr="00DE56CF">
        <w:tc>
          <w:tcPr>
            <w:tcW w:w="529" w:type="dxa"/>
            <w:shd w:val="clear" w:color="auto" w:fill="auto"/>
          </w:tcPr>
          <w:p w14:paraId="64E97D48" w14:textId="716C4F98" w:rsidR="0093221A" w:rsidRDefault="0093221A" w:rsidP="00CE7C36">
            <w:pPr>
              <w:spacing w:after="120" w:line="240" w:lineRule="auto"/>
              <w:jc w:val="center"/>
            </w:pPr>
            <w:r>
              <w:rPr>
                <w:rFonts w:ascii="Calibri" w:hAnsi="Calibri"/>
                <w:color w:val="000000"/>
              </w:rPr>
              <w:t>8</w:t>
            </w:r>
          </w:p>
        </w:tc>
        <w:tc>
          <w:tcPr>
            <w:tcW w:w="3976" w:type="dxa"/>
            <w:shd w:val="clear" w:color="auto" w:fill="auto"/>
          </w:tcPr>
          <w:p w14:paraId="6C78256B" w14:textId="63366C7C" w:rsidR="0093221A" w:rsidRDefault="0093221A" w:rsidP="00CE7C36">
            <w:pPr>
              <w:spacing w:after="120" w:line="240" w:lineRule="auto"/>
            </w:pPr>
            <w:r>
              <w:rPr>
                <w:rFonts w:ascii="Calibri" w:hAnsi="Calibri"/>
                <w:color w:val="000000"/>
              </w:rPr>
              <w:t>Coke, refined petroleum and nuclear fuel</w:t>
            </w:r>
          </w:p>
        </w:tc>
        <w:tc>
          <w:tcPr>
            <w:tcW w:w="2076" w:type="dxa"/>
            <w:shd w:val="clear" w:color="auto" w:fill="auto"/>
          </w:tcPr>
          <w:p w14:paraId="58407A26" w14:textId="39ECAB09" w:rsidR="0093221A" w:rsidRDefault="0093221A" w:rsidP="00CE7C36">
            <w:pPr>
              <w:spacing w:after="120" w:line="240" w:lineRule="auto"/>
            </w:pPr>
            <w:r>
              <w:rPr>
                <w:rFonts w:ascii="Calibri" w:hAnsi="Calibri"/>
                <w:color w:val="000000"/>
              </w:rPr>
              <w:t>Refined fuels</w:t>
            </w:r>
          </w:p>
        </w:tc>
        <w:tc>
          <w:tcPr>
            <w:tcW w:w="708" w:type="dxa"/>
            <w:shd w:val="clear" w:color="auto" w:fill="auto"/>
          </w:tcPr>
          <w:p w14:paraId="3C9ADC72" w14:textId="476A57E1" w:rsidR="0093221A" w:rsidRDefault="0093221A" w:rsidP="00CE7C36">
            <w:pPr>
              <w:spacing w:after="120" w:line="240" w:lineRule="auto"/>
              <w:jc w:val="center"/>
            </w:pPr>
            <w:r>
              <w:rPr>
                <w:rFonts w:ascii="Calibri" w:hAnsi="Calibri"/>
                <w:color w:val="000000"/>
              </w:rPr>
              <w:t>CRP</w:t>
            </w:r>
          </w:p>
        </w:tc>
        <w:tc>
          <w:tcPr>
            <w:tcW w:w="1727" w:type="dxa"/>
            <w:shd w:val="clear" w:color="auto" w:fill="auto"/>
          </w:tcPr>
          <w:p w14:paraId="1C07D6AF" w14:textId="32059B77" w:rsidR="0093221A" w:rsidRDefault="009161F1" w:rsidP="00CE7C36">
            <w:pPr>
              <w:spacing w:after="120" w:line="240" w:lineRule="auto"/>
              <w:jc w:val="center"/>
            </w:pPr>
            <w:r>
              <w:t>D23</w:t>
            </w:r>
          </w:p>
        </w:tc>
      </w:tr>
      <w:tr w:rsidR="00DE56CF" w14:paraId="654B05CB" w14:textId="77777777" w:rsidTr="00DE56CF">
        <w:tc>
          <w:tcPr>
            <w:tcW w:w="529" w:type="dxa"/>
            <w:shd w:val="clear" w:color="auto" w:fill="auto"/>
          </w:tcPr>
          <w:p w14:paraId="52BF322A" w14:textId="55BA23E2" w:rsidR="0093221A" w:rsidRDefault="0093221A" w:rsidP="00CE7C36">
            <w:pPr>
              <w:spacing w:after="120" w:line="240" w:lineRule="auto"/>
              <w:jc w:val="center"/>
            </w:pPr>
            <w:r>
              <w:rPr>
                <w:rFonts w:ascii="Calibri" w:hAnsi="Calibri"/>
                <w:color w:val="000000"/>
              </w:rPr>
              <w:t>9</w:t>
            </w:r>
          </w:p>
        </w:tc>
        <w:tc>
          <w:tcPr>
            <w:tcW w:w="3976" w:type="dxa"/>
            <w:shd w:val="clear" w:color="auto" w:fill="auto"/>
          </w:tcPr>
          <w:p w14:paraId="0BF45625" w14:textId="60FF8A70" w:rsidR="0093221A" w:rsidRDefault="0093221A" w:rsidP="00CE7C36">
            <w:pPr>
              <w:spacing w:after="120" w:line="240" w:lineRule="auto"/>
            </w:pPr>
            <w:r>
              <w:rPr>
                <w:rFonts w:ascii="Calibri" w:hAnsi="Calibri"/>
                <w:color w:val="000000"/>
              </w:rPr>
              <w:t>Chemicals and chemical products</w:t>
            </w:r>
          </w:p>
        </w:tc>
        <w:tc>
          <w:tcPr>
            <w:tcW w:w="2076" w:type="dxa"/>
            <w:shd w:val="clear" w:color="auto" w:fill="auto"/>
          </w:tcPr>
          <w:p w14:paraId="37997799" w14:textId="466ED5C3" w:rsidR="0093221A" w:rsidRDefault="0093221A" w:rsidP="00CE7C36">
            <w:pPr>
              <w:spacing w:after="120" w:line="240" w:lineRule="auto"/>
            </w:pPr>
            <w:r>
              <w:rPr>
                <w:rFonts w:ascii="Calibri" w:hAnsi="Calibri"/>
                <w:color w:val="000000"/>
              </w:rPr>
              <w:t>Chemicals</w:t>
            </w:r>
          </w:p>
        </w:tc>
        <w:tc>
          <w:tcPr>
            <w:tcW w:w="708" w:type="dxa"/>
            <w:shd w:val="clear" w:color="auto" w:fill="auto"/>
          </w:tcPr>
          <w:p w14:paraId="158DFE3A" w14:textId="250B62F9" w:rsidR="0093221A" w:rsidRDefault="0093221A" w:rsidP="00CE7C36">
            <w:pPr>
              <w:spacing w:after="120" w:line="240" w:lineRule="auto"/>
              <w:jc w:val="center"/>
            </w:pPr>
            <w:r>
              <w:rPr>
                <w:rFonts w:ascii="Calibri" w:hAnsi="Calibri"/>
                <w:color w:val="000000"/>
              </w:rPr>
              <w:t>CCP</w:t>
            </w:r>
          </w:p>
        </w:tc>
        <w:tc>
          <w:tcPr>
            <w:tcW w:w="1727" w:type="dxa"/>
            <w:shd w:val="clear" w:color="auto" w:fill="auto"/>
          </w:tcPr>
          <w:p w14:paraId="035EC227" w14:textId="1DFFFF41" w:rsidR="0093221A" w:rsidRDefault="009161F1" w:rsidP="00CE7C36">
            <w:pPr>
              <w:spacing w:after="120" w:line="240" w:lineRule="auto"/>
              <w:jc w:val="center"/>
            </w:pPr>
            <w:r>
              <w:t>D24</w:t>
            </w:r>
          </w:p>
        </w:tc>
      </w:tr>
      <w:tr w:rsidR="00DE56CF" w14:paraId="68D8B5D5" w14:textId="77777777" w:rsidTr="00DE56CF">
        <w:tc>
          <w:tcPr>
            <w:tcW w:w="529" w:type="dxa"/>
            <w:shd w:val="clear" w:color="auto" w:fill="auto"/>
          </w:tcPr>
          <w:p w14:paraId="659F25AA" w14:textId="40E0A8B9" w:rsidR="0093221A" w:rsidRDefault="0093221A" w:rsidP="00CE7C36">
            <w:pPr>
              <w:spacing w:after="120" w:line="240" w:lineRule="auto"/>
              <w:jc w:val="center"/>
            </w:pPr>
            <w:r>
              <w:rPr>
                <w:rFonts w:ascii="Calibri" w:hAnsi="Calibri"/>
                <w:color w:val="000000"/>
              </w:rPr>
              <w:t>10</w:t>
            </w:r>
          </w:p>
        </w:tc>
        <w:tc>
          <w:tcPr>
            <w:tcW w:w="3976" w:type="dxa"/>
            <w:shd w:val="clear" w:color="auto" w:fill="auto"/>
          </w:tcPr>
          <w:p w14:paraId="2574E8CA" w14:textId="05B598E1" w:rsidR="0093221A" w:rsidRDefault="0093221A" w:rsidP="00CE7C36">
            <w:pPr>
              <w:spacing w:after="120" w:line="240" w:lineRule="auto"/>
            </w:pPr>
            <w:r>
              <w:rPr>
                <w:rFonts w:ascii="Calibri" w:hAnsi="Calibri"/>
                <w:color w:val="000000"/>
              </w:rPr>
              <w:t>Rubber and plastics</w:t>
            </w:r>
          </w:p>
        </w:tc>
        <w:tc>
          <w:tcPr>
            <w:tcW w:w="2076" w:type="dxa"/>
            <w:shd w:val="clear" w:color="auto" w:fill="auto"/>
          </w:tcPr>
          <w:p w14:paraId="111354CB" w14:textId="22B690C9" w:rsidR="0093221A" w:rsidRDefault="0093221A" w:rsidP="00CE7C36">
            <w:pPr>
              <w:spacing w:after="120" w:line="240" w:lineRule="auto"/>
            </w:pPr>
            <w:r>
              <w:rPr>
                <w:rFonts w:ascii="Calibri" w:hAnsi="Calibri"/>
                <w:color w:val="000000"/>
              </w:rPr>
              <w:t>Rubber</w:t>
            </w:r>
          </w:p>
        </w:tc>
        <w:tc>
          <w:tcPr>
            <w:tcW w:w="708" w:type="dxa"/>
            <w:shd w:val="clear" w:color="auto" w:fill="auto"/>
          </w:tcPr>
          <w:p w14:paraId="2DA8A732" w14:textId="50DD2677" w:rsidR="0093221A" w:rsidRDefault="0093221A" w:rsidP="00CE7C36">
            <w:pPr>
              <w:spacing w:after="120" w:line="240" w:lineRule="auto"/>
              <w:jc w:val="center"/>
            </w:pPr>
            <w:r>
              <w:rPr>
                <w:rFonts w:ascii="Calibri" w:hAnsi="Calibri"/>
                <w:color w:val="000000"/>
              </w:rPr>
              <w:t>RBP</w:t>
            </w:r>
          </w:p>
        </w:tc>
        <w:tc>
          <w:tcPr>
            <w:tcW w:w="1727" w:type="dxa"/>
            <w:shd w:val="clear" w:color="auto" w:fill="auto"/>
          </w:tcPr>
          <w:p w14:paraId="3A22EC86" w14:textId="5C501E26" w:rsidR="0093221A" w:rsidRDefault="009161F1" w:rsidP="00CE7C36">
            <w:pPr>
              <w:spacing w:after="120" w:line="240" w:lineRule="auto"/>
              <w:jc w:val="center"/>
            </w:pPr>
            <w:r>
              <w:t>D25</w:t>
            </w:r>
          </w:p>
        </w:tc>
      </w:tr>
      <w:tr w:rsidR="00DE56CF" w14:paraId="57A922A4" w14:textId="77777777" w:rsidTr="00DE56CF">
        <w:tc>
          <w:tcPr>
            <w:tcW w:w="529" w:type="dxa"/>
            <w:shd w:val="clear" w:color="auto" w:fill="auto"/>
          </w:tcPr>
          <w:p w14:paraId="0E248073" w14:textId="4F198CF4" w:rsidR="0093221A" w:rsidRDefault="0093221A" w:rsidP="00CE7C36">
            <w:pPr>
              <w:spacing w:after="120" w:line="240" w:lineRule="auto"/>
              <w:jc w:val="center"/>
            </w:pPr>
            <w:r>
              <w:rPr>
                <w:rFonts w:ascii="Calibri" w:hAnsi="Calibri"/>
                <w:color w:val="000000"/>
              </w:rPr>
              <w:t>11</w:t>
            </w:r>
          </w:p>
        </w:tc>
        <w:tc>
          <w:tcPr>
            <w:tcW w:w="3976" w:type="dxa"/>
            <w:shd w:val="clear" w:color="auto" w:fill="auto"/>
          </w:tcPr>
          <w:p w14:paraId="296084FC" w14:textId="224151CC" w:rsidR="0093221A" w:rsidRDefault="0093221A" w:rsidP="00CE7C36">
            <w:pPr>
              <w:spacing w:after="120" w:line="240" w:lineRule="auto"/>
            </w:pPr>
            <w:r>
              <w:rPr>
                <w:rFonts w:ascii="Calibri" w:hAnsi="Calibri"/>
                <w:color w:val="000000"/>
              </w:rPr>
              <w:t>Other non-metallic mineral</w:t>
            </w:r>
          </w:p>
        </w:tc>
        <w:tc>
          <w:tcPr>
            <w:tcW w:w="2076" w:type="dxa"/>
            <w:shd w:val="clear" w:color="auto" w:fill="auto"/>
          </w:tcPr>
          <w:p w14:paraId="76DA7CC7" w14:textId="3EEBBAD4" w:rsidR="0093221A" w:rsidRDefault="0093221A" w:rsidP="00CE7C36">
            <w:pPr>
              <w:spacing w:after="120" w:line="240" w:lineRule="auto"/>
            </w:pPr>
            <w:r>
              <w:rPr>
                <w:rFonts w:ascii="Calibri" w:hAnsi="Calibri"/>
                <w:color w:val="000000"/>
              </w:rPr>
              <w:t>Other minerals</w:t>
            </w:r>
          </w:p>
        </w:tc>
        <w:tc>
          <w:tcPr>
            <w:tcW w:w="708" w:type="dxa"/>
            <w:shd w:val="clear" w:color="auto" w:fill="auto"/>
          </w:tcPr>
          <w:p w14:paraId="36F1D834" w14:textId="746B27EF" w:rsidR="0093221A" w:rsidRDefault="0093221A" w:rsidP="00CE7C36">
            <w:pPr>
              <w:spacing w:after="120" w:line="240" w:lineRule="auto"/>
              <w:jc w:val="center"/>
            </w:pPr>
            <w:r>
              <w:rPr>
                <w:rFonts w:ascii="Calibri" w:hAnsi="Calibri"/>
                <w:color w:val="000000"/>
              </w:rPr>
              <w:t>ONM</w:t>
            </w:r>
          </w:p>
        </w:tc>
        <w:tc>
          <w:tcPr>
            <w:tcW w:w="1727" w:type="dxa"/>
            <w:shd w:val="clear" w:color="auto" w:fill="auto"/>
          </w:tcPr>
          <w:p w14:paraId="77000ABE" w14:textId="0BAA228B" w:rsidR="0093221A" w:rsidRDefault="009161F1" w:rsidP="00CE7C36">
            <w:pPr>
              <w:spacing w:after="120" w:line="240" w:lineRule="auto"/>
              <w:jc w:val="center"/>
            </w:pPr>
            <w:r>
              <w:t>D26</w:t>
            </w:r>
          </w:p>
        </w:tc>
      </w:tr>
      <w:tr w:rsidR="00DE56CF" w14:paraId="75E903E4" w14:textId="77777777" w:rsidTr="00DE56CF">
        <w:tc>
          <w:tcPr>
            <w:tcW w:w="529" w:type="dxa"/>
            <w:shd w:val="clear" w:color="auto" w:fill="auto"/>
          </w:tcPr>
          <w:p w14:paraId="286AA604" w14:textId="4DE8029F" w:rsidR="0093221A" w:rsidRDefault="0093221A" w:rsidP="00CE7C36">
            <w:pPr>
              <w:spacing w:after="120" w:line="240" w:lineRule="auto"/>
              <w:jc w:val="center"/>
            </w:pPr>
            <w:r>
              <w:rPr>
                <w:rFonts w:ascii="Calibri" w:hAnsi="Calibri"/>
                <w:color w:val="000000"/>
              </w:rPr>
              <w:t>12</w:t>
            </w:r>
          </w:p>
        </w:tc>
        <w:tc>
          <w:tcPr>
            <w:tcW w:w="3976" w:type="dxa"/>
            <w:shd w:val="clear" w:color="auto" w:fill="auto"/>
          </w:tcPr>
          <w:p w14:paraId="1E6FAF03" w14:textId="58B95EE8" w:rsidR="0093221A" w:rsidRDefault="0093221A" w:rsidP="00CE7C36">
            <w:pPr>
              <w:spacing w:after="120" w:line="240" w:lineRule="auto"/>
            </w:pPr>
            <w:r>
              <w:rPr>
                <w:rFonts w:ascii="Calibri" w:hAnsi="Calibri"/>
                <w:color w:val="000000"/>
              </w:rPr>
              <w:t>Basic metals and fabricated metal</w:t>
            </w:r>
          </w:p>
        </w:tc>
        <w:tc>
          <w:tcPr>
            <w:tcW w:w="2076" w:type="dxa"/>
            <w:shd w:val="clear" w:color="auto" w:fill="auto"/>
          </w:tcPr>
          <w:p w14:paraId="3D99CB79" w14:textId="5A7ADF9E" w:rsidR="0093221A" w:rsidRDefault="0093221A" w:rsidP="00CE7C36">
            <w:pPr>
              <w:spacing w:after="120" w:line="240" w:lineRule="auto"/>
            </w:pPr>
            <w:r>
              <w:rPr>
                <w:rFonts w:ascii="Calibri" w:hAnsi="Calibri"/>
                <w:color w:val="000000"/>
              </w:rPr>
              <w:t>Metals</w:t>
            </w:r>
          </w:p>
        </w:tc>
        <w:tc>
          <w:tcPr>
            <w:tcW w:w="708" w:type="dxa"/>
            <w:shd w:val="clear" w:color="auto" w:fill="auto"/>
          </w:tcPr>
          <w:p w14:paraId="501FC270" w14:textId="36E19B79" w:rsidR="0093221A" w:rsidRDefault="0093221A" w:rsidP="00CE7C36">
            <w:pPr>
              <w:spacing w:after="120" w:line="240" w:lineRule="auto"/>
              <w:jc w:val="center"/>
            </w:pPr>
            <w:r>
              <w:rPr>
                <w:rFonts w:ascii="Calibri" w:hAnsi="Calibri"/>
                <w:color w:val="000000"/>
              </w:rPr>
              <w:t>MFM</w:t>
            </w:r>
          </w:p>
        </w:tc>
        <w:tc>
          <w:tcPr>
            <w:tcW w:w="1727" w:type="dxa"/>
            <w:shd w:val="clear" w:color="auto" w:fill="auto"/>
          </w:tcPr>
          <w:p w14:paraId="6D732896" w14:textId="2D14074A" w:rsidR="0093221A" w:rsidRDefault="009161F1" w:rsidP="00CE7C36">
            <w:pPr>
              <w:spacing w:after="120" w:line="240" w:lineRule="auto"/>
              <w:jc w:val="center"/>
            </w:pPr>
            <w:r>
              <w:t>D27–28</w:t>
            </w:r>
          </w:p>
        </w:tc>
      </w:tr>
      <w:tr w:rsidR="00DE56CF" w14:paraId="29DC87A3" w14:textId="77777777" w:rsidTr="00DE56CF">
        <w:tc>
          <w:tcPr>
            <w:tcW w:w="529" w:type="dxa"/>
            <w:shd w:val="clear" w:color="auto" w:fill="auto"/>
          </w:tcPr>
          <w:p w14:paraId="40920860" w14:textId="08163A17" w:rsidR="0093221A" w:rsidRDefault="0093221A" w:rsidP="00CE7C36">
            <w:pPr>
              <w:spacing w:after="120" w:line="240" w:lineRule="auto"/>
              <w:jc w:val="center"/>
            </w:pPr>
            <w:r>
              <w:rPr>
                <w:rFonts w:ascii="Calibri" w:hAnsi="Calibri"/>
                <w:color w:val="000000"/>
              </w:rPr>
              <w:t>13</w:t>
            </w:r>
          </w:p>
        </w:tc>
        <w:tc>
          <w:tcPr>
            <w:tcW w:w="3976" w:type="dxa"/>
            <w:shd w:val="clear" w:color="auto" w:fill="auto"/>
          </w:tcPr>
          <w:p w14:paraId="3D5825D7" w14:textId="57BF429F" w:rsidR="0093221A" w:rsidRDefault="0093221A" w:rsidP="00CE7C36">
            <w:pPr>
              <w:spacing w:after="120" w:line="240" w:lineRule="auto"/>
            </w:pPr>
            <w:r>
              <w:rPr>
                <w:rFonts w:ascii="Calibri" w:hAnsi="Calibri"/>
                <w:color w:val="000000"/>
              </w:rPr>
              <w:t>Machinery, not elsewhere classified</w:t>
            </w:r>
          </w:p>
        </w:tc>
        <w:tc>
          <w:tcPr>
            <w:tcW w:w="2076" w:type="dxa"/>
            <w:shd w:val="clear" w:color="auto" w:fill="auto"/>
          </w:tcPr>
          <w:p w14:paraId="79B07036" w14:textId="5F6BA56D" w:rsidR="0093221A" w:rsidRDefault="0093221A" w:rsidP="00CE7C36">
            <w:pPr>
              <w:spacing w:after="120" w:line="240" w:lineRule="auto"/>
            </w:pPr>
            <w:r>
              <w:rPr>
                <w:rFonts w:ascii="Calibri" w:hAnsi="Calibri"/>
                <w:color w:val="000000"/>
              </w:rPr>
              <w:t>Other machinery</w:t>
            </w:r>
          </w:p>
        </w:tc>
        <w:tc>
          <w:tcPr>
            <w:tcW w:w="708" w:type="dxa"/>
            <w:shd w:val="clear" w:color="auto" w:fill="auto"/>
          </w:tcPr>
          <w:p w14:paraId="00CDAFEC" w14:textId="3FB6345E" w:rsidR="0093221A" w:rsidRDefault="0093221A" w:rsidP="00CE7C36">
            <w:pPr>
              <w:spacing w:after="120" w:line="240" w:lineRule="auto"/>
              <w:jc w:val="center"/>
            </w:pPr>
            <w:r>
              <w:rPr>
                <w:rFonts w:ascii="Calibri" w:hAnsi="Calibri"/>
                <w:color w:val="000000"/>
              </w:rPr>
              <w:t>MCH</w:t>
            </w:r>
          </w:p>
        </w:tc>
        <w:tc>
          <w:tcPr>
            <w:tcW w:w="1727" w:type="dxa"/>
            <w:shd w:val="clear" w:color="auto" w:fill="auto"/>
          </w:tcPr>
          <w:p w14:paraId="6DE29E37" w14:textId="788F3E0F" w:rsidR="0093221A" w:rsidRDefault="009161F1" w:rsidP="00CE7C36">
            <w:pPr>
              <w:spacing w:after="120" w:line="240" w:lineRule="auto"/>
              <w:jc w:val="center"/>
            </w:pPr>
            <w:r>
              <w:t>D29</w:t>
            </w:r>
          </w:p>
        </w:tc>
      </w:tr>
      <w:tr w:rsidR="00DE56CF" w14:paraId="641B6035" w14:textId="77777777" w:rsidTr="00DE56CF">
        <w:tc>
          <w:tcPr>
            <w:tcW w:w="529" w:type="dxa"/>
            <w:shd w:val="clear" w:color="auto" w:fill="auto"/>
          </w:tcPr>
          <w:p w14:paraId="27D28595" w14:textId="4C03D7F5" w:rsidR="0093221A" w:rsidRDefault="0093221A" w:rsidP="00CE7C36">
            <w:pPr>
              <w:spacing w:after="120" w:line="240" w:lineRule="auto"/>
              <w:jc w:val="center"/>
            </w:pPr>
            <w:r>
              <w:rPr>
                <w:rFonts w:ascii="Calibri" w:hAnsi="Calibri"/>
                <w:color w:val="000000"/>
              </w:rPr>
              <w:t>14</w:t>
            </w:r>
          </w:p>
        </w:tc>
        <w:tc>
          <w:tcPr>
            <w:tcW w:w="3976" w:type="dxa"/>
            <w:shd w:val="clear" w:color="auto" w:fill="auto"/>
          </w:tcPr>
          <w:p w14:paraId="525B6258" w14:textId="4A80BBBA" w:rsidR="0093221A" w:rsidRDefault="0093221A" w:rsidP="00CE7C36">
            <w:pPr>
              <w:spacing w:after="120" w:line="240" w:lineRule="auto"/>
            </w:pPr>
            <w:r>
              <w:rPr>
                <w:rFonts w:ascii="Calibri" w:hAnsi="Calibri"/>
                <w:color w:val="000000"/>
              </w:rPr>
              <w:t>Electrical and optical equipment</w:t>
            </w:r>
          </w:p>
        </w:tc>
        <w:tc>
          <w:tcPr>
            <w:tcW w:w="2076" w:type="dxa"/>
            <w:shd w:val="clear" w:color="auto" w:fill="auto"/>
          </w:tcPr>
          <w:p w14:paraId="16D8B32C" w14:textId="47AEB3B9" w:rsidR="0093221A" w:rsidRDefault="0093221A" w:rsidP="00CE7C36">
            <w:pPr>
              <w:spacing w:after="120" w:line="240" w:lineRule="auto"/>
            </w:pPr>
            <w:r>
              <w:rPr>
                <w:rFonts w:ascii="Calibri" w:hAnsi="Calibri"/>
                <w:color w:val="000000"/>
              </w:rPr>
              <w:t>Electricals</w:t>
            </w:r>
          </w:p>
        </w:tc>
        <w:tc>
          <w:tcPr>
            <w:tcW w:w="708" w:type="dxa"/>
            <w:shd w:val="clear" w:color="auto" w:fill="auto"/>
          </w:tcPr>
          <w:p w14:paraId="125E535D" w14:textId="1431A24B" w:rsidR="0093221A" w:rsidRDefault="0093221A" w:rsidP="00CE7C36">
            <w:pPr>
              <w:spacing w:after="120" w:line="240" w:lineRule="auto"/>
              <w:jc w:val="center"/>
            </w:pPr>
            <w:r>
              <w:rPr>
                <w:rFonts w:ascii="Calibri" w:hAnsi="Calibri"/>
                <w:color w:val="000000"/>
              </w:rPr>
              <w:t>EOE</w:t>
            </w:r>
          </w:p>
        </w:tc>
        <w:tc>
          <w:tcPr>
            <w:tcW w:w="1727" w:type="dxa"/>
            <w:shd w:val="clear" w:color="auto" w:fill="auto"/>
          </w:tcPr>
          <w:p w14:paraId="47B0C8FD" w14:textId="135F295E" w:rsidR="0093221A" w:rsidRDefault="009161F1" w:rsidP="00CE7C36">
            <w:pPr>
              <w:spacing w:after="120" w:line="240" w:lineRule="auto"/>
              <w:jc w:val="center"/>
            </w:pPr>
            <w:r>
              <w:t>D30–33</w:t>
            </w:r>
          </w:p>
        </w:tc>
      </w:tr>
      <w:tr w:rsidR="00DE56CF" w14:paraId="6E0A9516" w14:textId="77777777" w:rsidTr="00DE56CF">
        <w:tc>
          <w:tcPr>
            <w:tcW w:w="529" w:type="dxa"/>
            <w:shd w:val="clear" w:color="auto" w:fill="auto"/>
          </w:tcPr>
          <w:p w14:paraId="06DDC9FF" w14:textId="4F2BC1CE" w:rsidR="0093221A" w:rsidRDefault="0093221A" w:rsidP="00CE7C36">
            <w:pPr>
              <w:spacing w:after="120" w:line="240" w:lineRule="auto"/>
              <w:jc w:val="center"/>
            </w:pPr>
            <w:r>
              <w:rPr>
                <w:rFonts w:ascii="Calibri" w:hAnsi="Calibri"/>
                <w:color w:val="000000"/>
              </w:rPr>
              <w:t>15</w:t>
            </w:r>
          </w:p>
        </w:tc>
        <w:tc>
          <w:tcPr>
            <w:tcW w:w="3976" w:type="dxa"/>
            <w:shd w:val="clear" w:color="auto" w:fill="auto"/>
          </w:tcPr>
          <w:p w14:paraId="059ADE68" w14:textId="5CB6DC44" w:rsidR="0093221A" w:rsidRDefault="0093221A" w:rsidP="00CE7C36">
            <w:pPr>
              <w:spacing w:after="120" w:line="240" w:lineRule="auto"/>
            </w:pPr>
            <w:r>
              <w:rPr>
                <w:rFonts w:ascii="Calibri" w:hAnsi="Calibri"/>
                <w:color w:val="000000"/>
              </w:rPr>
              <w:t>Transport equipment</w:t>
            </w:r>
          </w:p>
        </w:tc>
        <w:tc>
          <w:tcPr>
            <w:tcW w:w="2076" w:type="dxa"/>
            <w:shd w:val="clear" w:color="auto" w:fill="auto"/>
          </w:tcPr>
          <w:p w14:paraId="2152FA0D" w14:textId="6E2D1423" w:rsidR="0093221A" w:rsidRDefault="0093221A" w:rsidP="00CE7C36">
            <w:pPr>
              <w:spacing w:after="120" w:line="240" w:lineRule="auto"/>
            </w:pPr>
            <w:r>
              <w:rPr>
                <w:rFonts w:ascii="Calibri" w:hAnsi="Calibri"/>
                <w:color w:val="000000"/>
              </w:rPr>
              <w:t>Transport equipment</w:t>
            </w:r>
          </w:p>
        </w:tc>
        <w:tc>
          <w:tcPr>
            <w:tcW w:w="708" w:type="dxa"/>
            <w:shd w:val="clear" w:color="auto" w:fill="auto"/>
          </w:tcPr>
          <w:p w14:paraId="074F7607" w14:textId="526A7115" w:rsidR="0093221A" w:rsidRDefault="0093221A" w:rsidP="00CE7C36">
            <w:pPr>
              <w:spacing w:after="120" w:line="240" w:lineRule="auto"/>
              <w:jc w:val="center"/>
            </w:pPr>
            <w:r>
              <w:rPr>
                <w:rFonts w:ascii="Calibri" w:hAnsi="Calibri"/>
                <w:color w:val="000000"/>
              </w:rPr>
              <w:t>TRE</w:t>
            </w:r>
          </w:p>
        </w:tc>
        <w:tc>
          <w:tcPr>
            <w:tcW w:w="1727" w:type="dxa"/>
            <w:shd w:val="clear" w:color="auto" w:fill="auto"/>
          </w:tcPr>
          <w:p w14:paraId="0E6FB1F4" w14:textId="46DE2895" w:rsidR="0093221A" w:rsidRDefault="008B6832" w:rsidP="00CE7C36">
            <w:pPr>
              <w:spacing w:after="120" w:line="240" w:lineRule="auto"/>
              <w:jc w:val="center"/>
            </w:pPr>
            <w:r>
              <w:t>D34–35</w:t>
            </w:r>
          </w:p>
        </w:tc>
      </w:tr>
      <w:tr w:rsidR="00DE56CF" w14:paraId="78E44DFB" w14:textId="77777777" w:rsidTr="00DE56CF">
        <w:tc>
          <w:tcPr>
            <w:tcW w:w="529" w:type="dxa"/>
            <w:shd w:val="clear" w:color="auto" w:fill="auto"/>
          </w:tcPr>
          <w:p w14:paraId="2C02D0EB" w14:textId="588121E5" w:rsidR="0093221A" w:rsidRDefault="0093221A" w:rsidP="00CE7C36">
            <w:pPr>
              <w:spacing w:after="120" w:line="240" w:lineRule="auto"/>
              <w:jc w:val="center"/>
            </w:pPr>
            <w:r>
              <w:rPr>
                <w:rFonts w:ascii="Calibri" w:hAnsi="Calibri"/>
                <w:color w:val="000000"/>
              </w:rPr>
              <w:t>16</w:t>
            </w:r>
          </w:p>
        </w:tc>
        <w:tc>
          <w:tcPr>
            <w:tcW w:w="3976" w:type="dxa"/>
            <w:shd w:val="clear" w:color="auto" w:fill="auto"/>
          </w:tcPr>
          <w:p w14:paraId="03158976" w14:textId="6CFE4447" w:rsidR="0093221A" w:rsidRDefault="0093221A" w:rsidP="00CE7C36">
            <w:pPr>
              <w:spacing w:after="120" w:line="240" w:lineRule="auto"/>
            </w:pPr>
            <w:r>
              <w:rPr>
                <w:rFonts w:ascii="Calibri" w:hAnsi="Calibri"/>
                <w:color w:val="000000"/>
              </w:rPr>
              <w:t>Manufacturing, not elsewhere classified; recycling</w:t>
            </w:r>
          </w:p>
        </w:tc>
        <w:tc>
          <w:tcPr>
            <w:tcW w:w="2076" w:type="dxa"/>
            <w:shd w:val="clear" w:color="auto" w:fill="auto"/>
          </w:tcPr>
          <w:p w14:paraId="6C472F48" w14:textId="718E3BD2" w:rsidR="0093221A" w:rsidRDefault="0093221A" w:rsidP="00CE7C36">
            <w:pPr>
              <w:spacing w:after="120" w:line="240" w:lineRule="auto"/>
            </w:pPr>
            <w:r>
              <w:rPr>
                <w:rFonts w:ascii="Calibri" w:hAnsi="Calibri"/>
                <w:color w:val="000000"/>
              </w:rPr>
              <w:t>Other manufacturing</w:t>
            </w:r>
          </w:p>
        </w:tc>
        <w:tc>
          <w:tcPr>
            <w:tcW w:w="708" w:type="dxa"/>
            <w:shd w:val="clear" w:color="auto" w:fill="auto"/>
          </w:tcPr>
          <w:p w14:paraId="01EDDEF0" w14:textId="7899D402" w:rsidR="0093221A" w:rsidRDefault="0093221A" w:rsidP="00CE7C36">
            <w:pPr>
              <w:spacing w:after="120" w:line="240" w:lineRule="auto"/>
              <w:jc w:val="center"/>
            </w:pPr>
            <w:r>
              <w:rPr>
                <w:rFonts w:ascii="Calibri" w:hAnsi="Calibri"/>
                <w:color w:val="000000"/>
              </w:rPr>
              <w:t>MFG</w:t>
            </w:r>
          </w:p>
        </w:tc>
        <w:tc>
          <w:tcPr>
            <w:tcW w:w="1727" w:type="dxa"/>
            <w:shd w:val="clear" w:color="auto" w:fill="auto"/>
          </w:tcPr>
          <w:p w14:paraId="1D8E5875" w14:textId="148C10F3" w:rsidR="0093221A" w:rsidRDefault="008B6832" w:rsidP="00CE7C36">
            <w:pPr>
              <w:spacing w:after="120" w:line="240" w:lineRule="auto"/>
              <w:jc w:val="center"/>
            </w:pPr>
            <w:r>
              <w:t>D36–37</w:t>
            </w:r>
          </w:p>
        </w:tc>
      </w:tr>
      <w:tr w:rsidR="00DE56CF" w14:paraId="44F76F4A" w14:textId="77777777" w:rsidTr="00DE56CF">
        <w:tc>
          <w:tcPr>
            <w:tcW w:w="529" w:type="dxa"/>
            <w:shd w:val="clear" w:color="auto" w:fill="auto"/>
          </w:tcPr>
          <w:p w14:paraId="7CCBB8DE" w14:textId="40674025" w:rsidR="0093221A" w:rsidRDefault="0093221A" w:rsidP="00CE7C36">
            <w:pPr>
              <w:spacing w:after="120" w:line="240" w:lineRule="auto"/>
              <w:jc w:val="center"/>
            </w:pPr>
            <w:r>
              <w:rPr>
                <w:rFonts w:ascii="Calibri" w:hAnsi="Calibri"/>
                <w:color w:val="000000"/>
              </w:rPr>
              <w:t>17</w:t>
            </w:r>
          </w:p>
        </w:tc>
        <w:tc>
          <w:tcPr>
            <w:tcW w:w="3976" w:type="dxa"/>
            <w:shd w:val="clear" w:color="auto" w:fill="auto"/>
          </w:tcPr>
          <w:p w14:paraId="2E80149C" w14:textId="5414A92D" w:rsidR="0093221A" w:rsidRDefault="0093221A" w:rsidP="00CE7C36">
            <w:pPr>
              <w:spacing w:after="120" w:line="240" w:lineRule="auto"/>
            </w:pPr>
            <w:r>
              <w:rPr>
                <w:rFonts w:ascii="Calibri" w:hAnsi="Calibri"/>
                <w:color w:val="000000"/>
              </w:rPr>
              <w:t>Electricity, gas and water supply</w:t>
            </w:r>
          </w:p>
        </w:tc>
        <w:tc>
          <w:tcPr>
            <w:tcW w:w="2076" w:type="dxa"/>
            <w:shd w:val="clear" w:color="auto" w:fill="auto"/>
          </w:tcPr>
          <w:p w14:paraId="02A3772C" w14:textId="37AB061B" w:rsidR="0093221A" w:rsidRDefault="0093221A" w:rsidP="00CE7C36">
            <w:pPr>
              <w:spacing w:after="120" w:line="240" w:lineRule="auto"/>
            </w:pPr>
            <w:r>
              <w:rPr>
                <w:rFonts w:ascii="Calibri" w:hAnsi="Calibri"/>
                <w:color w:val="000000"/>
              </w:rPr>
              <w:t>Utilities</w:t>
            </w:r>
          </w:p>
        </w:tc>
        <w:tc>
          <w:tcPr>
            <w:tcW w:w="708" w:type="dxa"/>
            <w:shd w:val="clear" w:color="auto" w:fill="auto"/>
          </w:tcPr>
          <w:p w14:paraId="541F85EF" w14:textId="3715FCB8" w:rsidR="0093221A" w:rsidRDefault="0093221A" w:rsidP="00CE7C36">
            <w:pPr>
              <w:spacing w:after="120" w:line="240" w:lineRule="auto"/>
              <w:jc w:val="center"/>
            </w:pPr>
            <w:r>
              <w:rPr>
                <w:rFonts w:ascii="Calibri" w:hAnsi="Calibri"/>
                <w:color w:val="000000"/>
              </w:rPr>
              <w:t>UTL</w:t>
            </w:r>
          </w:p>
        </w:tc>
        <w:tc>
          <w:tcPr>
            <w:tcW w:w="1727" w:type="dxa"/>
            <w:shd w:val="clear" w:color="auto" w:fill="auto"/>
          </w:tcPr>
          <w:p w14:paraId="58620F72" w14:textId="5C72E8F5" w:rsidR="0093221A" w:rsidRDefault="008B6832" w:rsidP="00CE7C36">
            <w:pPr>
              <w:spacing w:after="120" w:line="240" w:lineRule="auto"/>
              <w:jc w:val="center"/>
            </w:pPr>
            <w:r>
              <w:t>E</w:t>
            </w:r>
          </w:p>
        </w:tc>
      </w:tr>
      <w:tr w:rsidR="00DE56CF" w14:paraId="332D8F07" w14:textId="77777777" w:rsidTr="00DE56CF">
        <w:tc>
          <w:tcPr>
            <w:tcW w:w="529" w:type="dxa"/>
            <w:shd w:val="clear" w:color="auto" w:fill="auto"/>
          </w:tcPr>
          <w:p w14:paraId="67B00B77" w14:textId="618D008C" w:rsidR="0093221A" w:rsidRDefault="0093221A" w:rsidP="00CE7C36">
            <w:pPr>
              <w:spacing w:after="120" w:line="240" w:lineRule="auto"/>
              <w:jc w:val="center"/>
            </w:pPr>
            <w:r>
              <w:rPr>
                <w:rFonts w:ascii="Calibri" w:hAnsi="Calibri"/>
                <w:color w:val="000000"/>
              </w:rPr>
              <w:t>18</w:t>
            </w:r>
          </w:p>
        </w:tc>
        <w:tc>
          <w:tcPr>
            <w:tcW w:w="3976" w:type="dxa"/>
            <w:shd w:val="clear" w:color="auto" w:fill="auto"/>
          </w:tcPr>
          <w:p w14:paraId="67B4D45B" w14:textId="795AF5AA" w:rsidR="0093221A" w:rsidRDefault="0093221A" w:rsidP="00CE7C36">
            <w:pPr>
              <w:spacing w:after="120" w:line="240" w:lineRule="auto"/>
            </w:pPr>
            <w:r>
              <w:rPr>
                <w:rFonts w:ascii="Calibri" w:hAnsi="Calibri"/>
                <w:color w:val="000000"/>
              </w:rPr>
              <w:t>Construction</w:t>
            </w:r>
          </w:p>
        </w:tc>
        <w:tc>
          <w:tcPr>
            <w:tcW w:w="2076" w:type="dxa"/>
            <w:shd w:val="clear" w:color="auto" w:fill="auto"/>
          </w:tcPr>
          <w:p w14:paraId="1F439821" w14:textId="318F6FCC" w:rsidR="0093221A" w:rsidRDefault="0093221A" w:rsidP="00CE7C36">
            <w:pPr>
              <w:spacing w:after="120" w:line="240" w:lineRule="auto"/>
            </w:pPr>
            <w:r>
              <w:rPr>
                <w:rFonts w:ascii="Calibri" w:hAnsi="Calibri"/>
                <w:color w:val="000000"/>
              </w:rPr>
              <w:t>Construction</w:t>
            </w:r>
          </w:p>
        </w:tc>
        <w:tc>
          <w:tcPr>
            <w:tcW w:w="708" w:type="dxa"/>
            <w:shd w:val="clear" w:color="auto" w:fill="auto"/>
          </w:tcPr>
          <w:p w14:paraId="7F2FE122" w14:textId="66C0B475" w:rsidR="0093221A" w:rsidRDefault="0093221A" w:rsidP="00CE7C36">
            <w:pPr>
              <w:spacing w:after="120" w:line="240" w:lineRule="auto"/>
              <w:jc w:val="center"/>
            </w:pPr>
            <w:r>
              <w:rPr>
                <w:rFonts w:ascii="Calibri" w:hAnsi="Calibri"/>
                <w:color w:val="000000"/>
              </w:rPr>
              <w:t>CON</w:t>
            </w:r>
          </w:p>
        </w:tc>
        <w:tc>
          <w:tcPr>
            <w:tcW w:w="1727" w:type="dxa"/>
            <w:shd w:val="clear" w:color="auto" w:fill="auto"/>
          </w:tcPr>
          <w:p w14:paraId="6ADCC990" w14:textId="3F5FDF10" w:rsidR="0093221A" w:rsidRDefault="008B6832" w:rsidP="00CE7C36">
            <w:pPr>
              <w:spacing w:after="120" w:line="240" w:lineRule="auto"/>
              <w:jc w:val="center"/>
            </w:pPr>
            <w:r>
              <w:t>F</w:t>
            </w:r>
          </w:p>
        </w:tc>
      </w:tr>
      <w:tr w:rsidR="00DE56CF" w14:paraId="2E446E5A" w14:textId="77777777" w:rsidTr="00DE56CF">
        <w:tc>
          <w:tcPr>
            <w:tcW w:w="529" w:type="dxa"/>
            <w:shd w:val="clear" w:color="auto" w:fill="auto"/>
          </w:tcPr>
          <w:p w14:paraId="17827DDE" w14:textId="09D7D40F" w:rsidR="0093221A" w:rsidRDefault="0093221A" w:rsidP="00CE7C36">
            <w:pPr>
              <w:spacing w:after="120" w:line="240" w:lineRule="auto"/>
              <w:jc w:val="center"/>
            </w:pPr>
            <w:r>
              <w:rPr>
                <w:rFonts w:ascii="Calibri" w:hAnsi="Calibri"/>
                <w:color w:val="000000"/>
              </w:rPr>
              <w:t>19</w:t>
            </w:r>
          </w:p>
        </w:tc>
        <w:tc>
          <w:tcPr>
            <w:tcW w:w="3976" w:type="dxa"/>
            <w:shd w:val="clear" w:color="auto" w:fill="auto"/>
          </w:tcPr>
          <w:p w14:paraId="04236ED7" w14:textId="37EEF7FA" w:rsidR="0093221A" w:rsidRDefault="0093221A" w:rsidP="00CE7C36">
            <w:pPr>
              <w:spacing w:after="120" w:line="240" w:lineRule="auto"/>
            </w:pPr>
            <w:r>
              <w:rPr>
                <w:rFonts w:ascii="Calibri" w:hAnsi="Calibri"/>
                <w:color w:val="000000"/>
              </w:rPr>
              <w:t>Sale and repair of motor vehicles and motorcycles; retail sale of fuel</w:t>
            </w:r>
          </w:p>
        </w:tc>
        <w:tc>
          <w:tcPr>
            <w:tcW w:w="2076" w:type="dxa"/>
            <w:shd w:val="clear" w:color="auto" w:fill="auto"/>
          </w:tcPr>
          <w:p w14:paraId="5E5FE2A1" w14:textId="65ABF1F5" w:rsidR="0093221A" w:rsidRDefault="0093221A" w:rsidP="00CE7C36">
            <w:pPr>
              <w:spacing w:after="120" w:line="240" w:lineRule="auto"/>
            </w:pPr>
            <w:r>
              <w:rPr>
                <w:rFonts w:ascii="Calibri" w:hAnsi="Calibri"/>
                <w:color w:val="000000"/>
              </w:rPr>
              <w:t>Sale of motor vehicles</w:t>
            </w:r>
          </w:p>
        </w:tc>
        <w:tc>
          <w:tcPr>
            <w:tcW w:w="708" w:type="dxa"/>
            <w:shd w:val="clear" w:color="auto" w:fill="auto"/>
          </w:tcPr>
          <w:p w14:paraId="1F8620FE" w14:textId="106E306E" w:rsidR="0093221A" w:rsidRDefault="0093221A" w:rsidP="00CE7C36">
            <w:pPr>
              <w:spacing w:after="120" w:line="240" w:lineRule="auto"/>
              <w:jc w:val="center"/>
            </w:pPr>
            <w:r>
              <w:rPr>
                <w:rFonts w:ascii="Calibri" w:hAnsi="Calibri"/>
                <w:color w:val="000000"/>
              </w:rPr>
              <w:t>MTV</w:t>
            </w:r>
          </w:p>
        </w:tc>
        <w:tc>
          <w:tcPr>
            <w:tcW w:w="1727" w:type="dxa"/>
            <w:shd w:val="clear" w:color="auto" w:fill="auto"/>
          </w:tcPr>
          <w:p w14:paraId="77AC7654" w14:textId="603B38A6" w:rsidR="0093221A" w:rsidRDefault="008B6832" w:rsidP="00CE7C36">
            <w:pPr>
              <w:spacing w:after="120" w:line="240" w:lineRule="auto"/>
              <w:jc w:val="center"/>
            </w:pPr>
            <w:r>
              <w:t>G50</w:t>
            </w:r>
          </w:p>
        </w:tc>
      </w:tr>
      <w:tr w:rsidR="00DE56CF" w14:paraId="35E98EE5" w14:textId="77777777" w:rsidTr="00DE56CF">
        <w:tc>
          <w:tcPr>
            <w:tcW w:w="529" w:type="dxa"/>
            <w:shd w:val="clear" w:color="auto" w:fill="auto"/>
          </w:tcPr>
          <w:p w14:paraId="45D8A6F9" w14:textId="6E449911" w:rsidR="0093221A" w:rsidRDefault="0093221A" w:rsidP="00CE7C36">
            <w:pPr>
              <w:spacing w:after="120" w:line="240" w:lineRule="auto"/>
              <w:jc w:val="center"/>
            </w:pPr>
            <w:r>
              <w:rPr>
                <w:rFonts w:ascii="Calibri" w:hAnsi="Calibri"/>
                <w:color w:val="000000"/>
              </w:rPr>
              <w:t>20</w:t>
            </w:r>
          </w:p>
        </w:tc>
        <w:tc>
          <w:tcPr>
            <w:tcW w:w="3976" w:type="dxa"/>
            <w:shd w:val="clear" w:color="auto" w:fill="auto"/>
          </w:tcPr>
          <w:p w14:paraId="238A7E38" w14:textId="58B1085A" w:rsidR="0093221A" w:rsidRDefault="0093221A" w:rsidP="00CE7C36">
            <w:pPr>
              <w:spacing w:after="120" w:line="240" w:lineRule="auto"/>
            </w:pPr>
            <w:r>
              <w:rPr>
                <w:rFonts w:ascii="Calibri" w:hAnsi="Calibri"/>
                <w:color w:val="000000"/>
              </w:rPr>
              <w:t>Wholesale trade, except of motor vehicles and motorcycles</w:t>
            </w:r>
          </w:p>
        </w:tc>
        <w:tc>
          <w:tcPr>
            <w:tcW w:w="2076" w:type="dxa"/>
            <w:shd w:val="clear" w:color="auto" w:fill="auto"/>
          </w:tcPr>
          <w:p w14:paraId="1318E311" w14:textId="1A9A432F" w:rsidR="0093221A" w:rsidRDefault="0093221A" w:rsidP="00CE7C36">
            <w:pPr>
              <w:spacing w:after="120" w:line="240" w:lineRule="auto"/>
            </w:pPr>
            <w:r>
              <w:rPr>
                <w:rFonts w:ascii="Calibri" w:hAnsi="Calibri"/>
                <w:color w:val="000000"/>
              </w:rPr>
              <w:t>Wholesale trade</w:t>
            </w:r>
          </w:p>
        </w:tc>
        <w:tc>
          <w:tcPr>
            <w:tcW w:w="708" w:type="dxa"/>
            <w:shd w:val="clear" w:color="auto" w:fill="auto"/>
          </w:tcPr>
          <w:p w14:paraId="3CCBC9E9" w14:textId="2B10176D" w:rsidR="0093221A" w:rsidRDefault="0093221A" w:rsidP="00CE7C36">
            <w:pPr>
              <w:spacing w:after="120" w:line="240" w:lineRule="auto"/>
              <w:jc w:val="center"/>
            </w:pPr>
            <w:r>
              <w:rPr>
                <w:rFonts w:ascii="Calibri" w:hAnsi="Calibri"/>
                <w:color w:val="000000"/>
              </w:rPr>
              <w:t>WST</w:t>
            </w:r>
          </w:p>
        </w:tc>
        <w:tc>
          <w:tcPr>
            <w:tcW w:w="1727" w:type="dxa"/>
            <w:shd w:val="clear" w:color="auto" w:fill="auto"/>
          </w:tcPr>
          <w:p w14:paraId="710DB51A" w14:textId="6C510228" w:rsidR="0093221A" w:rsidRDefault="008B6832" w:rsidP="00CE7C36">
            <w:pPr>
              <w:spacing w:after="120" w:line="240" w:lineRule="auto"/>
              <w:jc w:val="center"/>
            </w:pPr>
            <w:r>
              <w:t>G51</w:t>
            </w:r>
          </w:p>
        </w:tc>
      </w:tr>
      <w:tr w:rsidR="00DE56CF" w14:paraId="5AAC7BA7" w14:textId="77777777" w:rsidTr="00DE56CF">
        <w:tc>
          <w:tcPr>
            <w:tcW w:w="529" w:type="dxa"/>
            <w:shd w:val="clear" w:color="auto" w:fill="auto"/>
          </w:tcPr>
          <w:p w14:paraId="4B63C34E" w14:textId="235F70AA" w:rsidR="0093221A" w:rsidRDefault="0093221A" w:rsidP="00CE7C36">
            <w:pPr>
              <w:spacing w:after="120" w:line="240" w:lineRule="auto"/>
              <w:jc w:val="center"/>
            </w:pPr>
            <w:r>
              <w:rPr>
                <w:rFonts w:ascii="Calibri" w:hAnsi="Calibri"/>
                <w:color w:val="000000"/>
              </w:rPr>
              <w:t>21</w:t>
            </w:r>
          </w:p>
        </w:tc>
        <w:tc>
          <w:tcPr>
            <w:tcW w:w="3976" w:type="dxa"/>
            <w:shd w:val="clear" w:color="auto" w:fill="auto"/>
          </w:tcPr>
          <w:p w14:paraId="4D4872B5" w14:textId="1F71E8DA" w:rsidR="0093221A" w:rsidRDefault="0093221A" w:rsidP="00CE7C36">
            <w:pPr>
              <w:spacing w:after="120" w:line="240" w:lineRule="auto"/>
            </w:pPr>
            <w:r>
              <w:rPr>
                <w:rFonts w:ascii="Calibri" w:hAnsi="Calibri"/>
                <w:color w:val="000000"/>
              </w:rPr>
              <w:t>Retail trade and repair, except of motor vehicles and motorcycles</w:t>
            </w:r>
          </w:p>
        </w:tc>
        <w:tc>
          <w:tcPr>
            <w:tcW w:w="2076" w:type="dxa"/>
            <w:shd w:val="clear" w:color="auto" w:fill="auto"/>
          </w:tcPr>
          <w:p w14:paraId="6F656EC1" w14:textId="6FFEA46C" w:rsidR="0093221A" w:rsidRDefault="0093221A" w:rsidP="00CE7C36">
            <w:pPr>
              <w:spacing w:after="120" w:line="240" w:lineRule="auto"/>
            </w:pPr>
            <w:r>
              <w:rPr>
                <w:rFonts w:ascii="Calibri" w:hAnsi="Calibri"/>
                <w:color w:val="000000"/>
              </w:rPr>
              <w:t>Retail trade &amp; repair</w:t>
            </w:r>
          </w:p>
        </w:tc>
        <w:tc>
          <w:tcPr>
            <w:tcW w:w="708" w:type="dxa"/>
            <w:shd w:val="clear" w:color="auto" w:fill="auto"/>
          </w:tcPr>
          <w:p w14:paraId="2156DCA0" w14:textId="16F6AA0A" w:rsidR="0093221A" w:rsidRDefault="0093221A" w:rsidP="00CE7C36">
            <w:pPr>
              <w:spacing w:after="120" w:line="240" w:lineRule="auto"/>
              <w:jc w:val="center"/>
            </w:pPr>
            <w:r>
              <w:rPr>
                <w:rFonts w:ascii="Calibri" w:hAnsi="Calibri"/>
                <w:color w:val="000000"/>
              </w:rPr>
              <w:t>RTR</w:t>
            </w:r>
          </w:p>
        </w:tc>
        <w:tc>
          <w:tcPr>
            <w:tcW w:w="1727" w:type="dxa"/>
            <w:shd w:val="clear" w:color="auto" w:fill="auto"/>
          </w:tcPr>
          <w:p w14:paraId="1C5A9901" w14:textId="3439A18D" w:rsidR="0093221A" w:rsidRDefault="008B6832" w:rsidP="00CE7C36">
            <w:pPr>
              <w:spacing w:after="120" w:line="240" w:lineRule="auto"/>
              <w:jc w:val="center"/>
            </w:pPr>
            <w:r>
              <w:t>G52</w:t>
            </w:r>
          </w:p>
        </w:tc>
      </w:tr>
      <w:tr w:rsidR="00DE56CF" w14:paraId="595AEEFC" w14:textId="77777777" w:rsidTr="00DE56CF">
        <w:tc>
          <w:tcPr>
            <w:tcW w:w="529" w:type="dxa"/>
            <w:shd w:val="clear" w:color="auto" w:fill="auto"/>
          </w:tcPr>
          <w:p w14:paraId="414DA565" w14:textId="0FE5FD34" w:rsidR="0093221A" w:rsidRDefault="0093221A" w:rsidP="00CE7C36">
            <w:pPr>
              <w:spacing w:after="120" w:line="240" w:lineRule="auto"/>
              <w:jc w:val="center"/>
            </w:pPr>
            <w:r>
              <w:rPr>
                <w:rFonts w:ascii="Calibri" w:hAnsi="Calibri"/>
                <w:color w:val="000000"/>
              </w:rPr>
              <w:t>22</w:t>
            </w:r>
          </w:p>
        </w:tc>
        <w:tc>
          <w:tcPr>
            <w:tcW w:w="3976" w:type="dxa"/>
            <w:shd w:val="clear" w:color="auto" w:fill="auto"/>
          </w:tcPr>
          <w:p w14:paraId="5ACEF3AC" w14:textId="052F76E1" w:rsidR="0093221A" w:rsidRDefault="0093221A" w:rsidP="00CE7C36">
            <w:pPr>
              <w:spacing w:after="120" w:line="240" w:lineRule="auto"/>
            </w:pPr>
            <w:r>
              <w:rPr>
                <w:rFonts w:ascii="Calibri" w:hAnsi="Calibri"/>
                <w:color w:val="000000"/>
              </w:rPr>
              <w:t>Hotels and restaurants</w:t>
            </w:r>
          </w:p>
        </w:tc>
        <w:tc>
          <w:tcPr>
            <w:tcW w:w="2076" w:type="dxa"/>
            <w:shd w:val="clear" w:color="auto" w:fill="auto"/>
          </w:tcPr>
          <w:p w14:paraId="50670179" w14:textId="08F0580E" w:rsidR="0093221A" w:rsidRDefault="0093221A" w:rsidP="00CE7C36">
            <w:pPr>
              <w:spacing w:after="120" w:line="240" w:lineRule="auto"/>
            </w:pPr>
            <w:r>
              <w:rPr>
                <w:rFonts w:ascii="Calibri" w:hAnsi="Calibri"/>
                <w:color w:val="000000"/>
              </w:rPr>
              <w:t>Hotels &amp; restaurants</w:t>
            </w:r>
          </w:p>
        </w:tc>
        <w:tc>
          <w:tcPr>
            <w:tcW w:w="708" w:type="dxa"/>
            <w:shd w:val="clear" w:color="auto" w:fill="auto"/>
          </w:tcPr>
          <w:p w14:paraId="1AB05FB1" w14:textId="076EBB0D" w:rsidR="0093221A" w:rsidRDefault="0093221A" w:rsidP="00CE7C36">
            <w:pPr>
              <w:spacing w:after="120" w:line="240" w:lineRule="auto"/>
              <w:jc w:val="center"/>
            </w:pPr>
            <w:r>
              <w:rPr>
                <w:rFonts w:ascii="Calibri" w:hAnsi="Calibri"/>
                <w:color w:val="000000"/>
              </w:rPr>
              <w:t>HRS</w:t>
            </w:r>
          </w:p>
        </w:tc>
        <w:tc>
          <w:tcPr>
            <w:tcW w:w="1727" w:type="dxa"/>
            <w:shd w:val="clear" w:color="auto" w:fill="auto"/>
          </w:tcPr>
          <w:p w14:paraId="7B53CFE1" w14:textId="21F768B4" w:rsidR="0093221A" w:rsidRDefault="008B6832" w:rsidP="00CE7C36">
            <w:pPr>
              <w:spacing w:after="120" w:line="240" w:lineRule="auto"/>
              <w:jc w:val="center"/>
            </w:pPr>
            <w:r>
              <w:t>H</w:t>
            </w:r>
          </w:p>
        </w:tc>
      </w:tr>
      <w:tr w:rsidR="00DE56CF" w14:paraId="6247DE4D" w14:textId="77777777" w:rsidTr="00DE56CF">
        <w:tc>
          <w:tcPr>
            <w:tcW w:w="529" w:type="dxa"/>
            <w:shd w:val="clear" w:color="auto" w:fill="auto"/>
          </w:tcPr>
          <w:p w14:paraId="1E93951B" w14:textId="3E0A8A69" w:rsidR="0093221A" w:rsidRDefault="0093221A" w:rsidP="00CE7C36">
            <w:pPr>
              <w:spacing w:after="120" w:line="240" w:lineRule="auto"/>
              <w:jc w:val="center"/>
            </w:pPr>
            <w:r>
              <w:rPr>
                <w:rFonts w:ascii="Calibri" w:hAnsi="Calibri"/>
                <w:color w:val="000000"/>
              </w:rPr>
              <w:t>23</w:t>
            </w:r>
          </w:p>
        </w:tc>
        <w:tc>
          <w:tcPr>
            <w:tcW w:w="3976" w:type="dxa"/>
            <w:shd w:val="clear" w:color="auto" w:fill="auto"/>
          </w:tcPr>
          <w:p w14:paraId="1ECBEC0D" w14:textId="356CA9D3" w:rsidR="0093221A" w:rsidRDefault="0093221A" w:rsidP="00CE7C36">
            <w:pPr>
              <w:spacing w:after="120" w:line="240" w:lineRule="auto"/>
            </w:pPr>
            <w:r>
              <w:rPr>
                <w:rFonts w:ascii="Calibri" w:hAnsi="Calibri"/>
                <w:color w:val="000000"/>
              </w:rPr>
              <w:t>Inland transport</w:t>
            </w:r>
          </w:p>
        </w:tc>
        <w:tc>
          <w:tcPr>
            <w:tcW w:w="2076" w:type="dxa"/>
            <w:shd w:val="clear" w:color="auto" w:fill="auto"/>
          </w:tcPr>
          <w:p w14:paraId="102B6DE4" w14:textId="24BBC8AA" w:rsidR="0093221A" w:rsidRDefault="0093221A" w:rsidP="00CE7C36">
            <w:pPr>
              <w:spacing w:after="120" w:line="240" w:lineRule="auto"/>
            </w:pPr>
            <w:r>
              <w:rPr>
                <w:rFonts w:ascii="Calibri" w:hAnsi="Calibri"/>
                <w:color w:val="000000"/>
              </w:rPr>
              <w:t>Inland transport</w:t>
            </w:r>
          </w:p>
        </w:tc>
        <w:tc>
          <w:tcPr>
            <w:tcW w:w="708" w:type="dxa"/>
            <w:shd w:val="clear" w:color="auto" w:fill="auto"/>
          </w:tcPr>
          <w:p w14:paraId="6D237C06" w14:textId="530DE066" w:rsidR="0093221A" w:rsidRDefault="0093221A" w:rsidP="00CE7C36">
            <w:pPr>
              <w:spacing w:after="120" w:line="240" w:lineRule="auto"/>
              <w:jc w:val="center"/>
            </w:pPr>
            <w:r>
              <w:rPr>
                <w:rFonts w:ascii="Calibri" w:hAnsi="Calibri"/>
                <w:color w:val="000000"/>
              </w:rPr>
              <w:t>ITR</w:t>
            </w:r>
          </w:p>
        </w:tc>
        <w:tc>
          <w:tcPr>
            <w:tcW w:w="1727" w:type="dxa"/>
            <w:shd w:val="clear" w:color="auto" w:fill="auto"/>
          </w:tcPr>
          <w:p w14:paraId="0559D4DD" w14:textId="66E2DA58" w:rsidR="0093221A" w:rsidRDefault="008B6832" w:rsidP="00CE7C36">
            <w:pPr>
              <w:spacing w:after="120" w:line="240" w:lineRule="auto"/>
              <w:jc w:val="center"/>
            </w:pPr>
            <w:r>
              <w:t>I60</w:t>
            </w:r>
          </w:p>
        </w:tc>
      </w:tr>
      <w:tr w:rsidR="000E5E8A" w14:paraId="3B269499" w14:textId="77777777" w:rsidTr="00DE56CF">
        <w:tc>
          <w:tcPr>
            <w:tcW w:w="529" w:type="dxa"/>
            <w:shd w:val="clear" w:color="auto" w:fill="auto"/>
          </w:tcPr>
          <w:p w14:paraId="08941DAF" w14:textId="060E8F2A" w:rsidR="000E5E8A" w:rsidRDefault="000E5E8A" w:rsidP="00CE7C36">
            <w:pPr>
              <w:spacing w:after="120" w:line="240" w:lineRule="auto"/>
              <w:jc w:val="center"/>
              <w:rPr>
                <w:rFonts w:ascii="Calibri" w:hAnsi="Calibri"/>
                <w:color w:val="000000"/>
              </w:rPr>
            </w:pPr>
            <w:r>
              <w:rPr>
                <w:rFonts w:ascii="Calibri" w:hAnsi="Calibri"/>
                <w:color w:val="000000"/>
              </w:rPr>
              <w:t>24</w:t>
            </w:r>
          </w:p>
        </w:tc>
        <w:tc>
          <w:tcPr>
            <w:tcW w:w="3976" w:type="dxa"/>
            <w:shd w:val="clear" w:color="auto" w:fill="auto"/>
          </w:tcPr>
          <w:p w14:paraId="35436784" w14:textId="779702D0" w:rsidR="000E5E8A" w:rsidRDefault="000E5E8A" w:rsidP="00CE7C36">
            <w:pPr>
              <w:spacing w:after="120" w:line="240" w:lineRule="auto"/>
              <w:rPr>
                <w:rFonts w:ascii="Calibri" w:hAnsi="Calibri"/>
                <w:color w:val="000000"/>
              </w:rPr>
            </w:pPr>
            <w:r>
              <w:rPr>
                <w:rFonts w:ascii="Calibri" w:hAnsi="Calibri"/>
                <w:color w:val="000000"/>
              </w:rPr>
              <w:t>Water transport</w:t>
            </w:r>
          </w:p>
        </w:tc>
        <w:tc>
          <w:tcPr>
            <w:tcW w:w="2076" w:type="dxa"/>
            <w:shd w:val="clear" w:color="auto" w:fill="auto"/>
          </w:tcPr>
          <w:p w14:paraId="75E6FB7B" w14:textId="7753ED7B" w:rsidR="000E5E8A" w:rsidRDefault="000E5E8A" w:rsidP="00CE7C36">
            <w:pPr>
              <w:spacing w:after="120" w:line="240" w:lineRule="auto"/>
              <w:rPr>
                <w:rFonts w:ascii="Calibri" w:hAnsi="Calibri"/>
                <w:color w:val="000000"/>
              </w:rPr>
            </w:pPr>
            <w:r>
              <w:rPr>
                <w:rFonts w:ascii="Calibri" w:hAnsi="Calibri"/>
                <w:color w:val="000000"/>
              </w:rPr>
              <w:t>Water transport</w:t>
            </w:r>
          </w:p>
        </w:tc>
        <w:tc>
          <w:tcPr>
            <w:tcW w:w="708" w:type="dxa"/>
            <w:shd w:val="clear" w:color="auto" w:fill="auto"/>
          </w:tcPr>
          <w:p w14:paraId="394A974B" w14:textId="69CA74B4" w:rsidR="000E5E8A" w:rsidRDefault="000E5E8A" w:rsidP="00CE7C36">
            <w:pPr>
              <w:spacing w:after="120" w:line="240" w:lineRule="auto"/>
              <w:jc w:val="center"/>
              <w:rPr>
                <w:rFonts w:ascii="Calibri" w:hAnsi="Calibri"/>
                <w:color w:val="000000"/>
              </w:rPr>
            </w:pPr>
            <w:r>
              <w:rPr>
                <w:rFonts w:ascii="Calibri" w:hAnsi="Calibri"/>
                <w:color w:val="000000"/>
              </w:rPr>
              <w:t>WTR</w:t>
            </w:r>
          </w:p>
        </w:tc>
        <w:tc>
          <w:tcPr>
            <w:tcW w:w="1727" w:type="dxa"/>
            <w:shd w:val="clear" w:color="auto" w:fill="auto"/>
          </w:tcPr>
          <w:p w14:paraId="7D9AEA97" w14:textId="1F3CE226" w:rsidR="000E5E8A" w:rsidRDefault="008B6832" w:rsidP="00CE7C36">
            <w:pPr>
              <w:spacing w:after="120" w:line="240" w:lineRule="auto"/>
              <w:jc w:val="center"/>
            </w:pPr>
            <w:r>
              <w:t>I61</w:t>
            </w:r>
          </w:p>
        </w:tc>
      </w:tr>
      <w:tr w:rsidR="000E5E8A" w14:paraId="62709494" w14:textId="77777777" w:rsidTr="00DE56CF">
        <w:tc>
          <w:tcPr>
            <w:tcW w:w="529" w:type="dxa"/>
            <w:shd w:val="clear" w:color="auto" w:fill="auto"/>
          </w:tcPr>
          <w:p w14:paraId="683CC607" w14:textId="16EC0252" w:rsidR="000E5E8A" w:rsidRDefault="000E5E8A" w:rsidP="00CE7C36">
            <w:pPr>
              <w:spacing w:after="120" w:line="240" w:lineRule="auto"/>
              <w:jc w:val="center"/>
              <w:rPr>
                <w:rFonts w:ascii="Calibri" w:hAnsi="Calibri"/>
                <w:color w:val="000000"/>
              </w:rPr>
            </w:pPr>
            <w:r>
              <w:rPr>
                <w:rFonts w:ascii="Calibri" w:hAnsi="Calibri"/>
                <w:color w:val="000000"/>
              </w:rPr>
              <w:t>25</w:t>
            </w:r>
          </w:p>
        </w:tc>
        <w:tc>
          <w:tcPr>
            <w:tcW w:w="3976" w:type="dxa"/>
            <w:shd w:val="clear" w:color="auto" w:fill="auto"/>
          </w:tcPr>
          <w:p w14:paraId="7E85F0A0" w14:textId="7721D0F6" w:rsidR="000E5E8A" w:rsidRDefault="000E5E8A" w:rsidP="00CE7C36">
            <w:pPr>
              <w:spacing w:after="120" w:line="240" w:lineRule="auto"/>
              <w:rPr>
                <w:rFonts w:ascii="Calibri" w:hAnsi="Calibri"/>
                <w:color w:val="000000"/>
              </w:rPr>
            </w:pPr>
            <w:r>
              <w:rPr>
                <w:rFonts w:ascii="Calibri" w:hAnsi="Calibri"/>
                <w:color w:val="000000"/>
              </w:rPr>
              <w:t>Air transport</w:t>
            </w:r>
          </w:p>
        </w:tc>
        <w:tc>
          <w:tcPr>
            <w:tcW w:w="2076" w:type="dxa"/>
            <w:shd w:val="clear" w:color="auto" w:fill="auto"/>
          </w:tcPr>
          <w:p w14:paraId="736D3484" w14:textId="675A7104" w:rsidR="000E5E8A" w:rsidRDefault="000E5E8A" w:rsidP="00CE7C36">
            <w:pPr>
              <w:spacing w:after="120" w:line="240" w:lineRule="auto"/>
              <w:rPr>
                <w:rFonts w:ascii="Calibri" w:hAnsi="Calibri"/>
                <w:color w:val="000000"/>
              </w:rPr>
            </w:pPr>
            <w:r>
              <w:rPr>
                <w:rFonts w:ascii="Calibri" w:hAnsi="Calibri"/>
                <w:color w:val="000000"/>
              </w:rPr>
              <w:t>Air transport</w:t>
            </w:r>
          </w:p>
        </w:tc>
        <w:tc>
          <w:tcPr>
            <w:tcW w:w="708" w:type="dxa"/>
            <w:shd w:val="clear" w:color="auto" w:fill="auto"/>
          </w:tcPr>
          <w:p w14:paraId="3F8498AD" w14:textId="13AE85D7" w:rsidR="000E5E8A" w:rsidRDefault="000E5E8A" w:rsidP="00CE7C36">
            <w:pPr>
              <w:spacing w:after="120" w:line="240" w:lineRule="auto"/>
              <w:jc w:val="center"/>
              <w:rPr>
                <w:rFonts w:ascii="Calibri" w:hAnsi="Calibri"/>
                <w:color w:val="000000"/>
              </w:rPr>
            </w:pPr>
            <w:r>
              <w:rPr>
                <w:rFonts w:ascii="Calibri" w:hAnsi="Calibri"/>
                <w:color w:val="000000"/>
              </w:rPr>
              <w:t>ATR</w:t>
            </w:r>
          </w:p>
        </w:tc>
        <w:tc>
          <w:tcPr>
            <w:tcW w:w="1727" w:type="dxa"/>
            <w:shd w:val="clear" w:color="auto" w:fill="auto"/>
          </w:tcPr>
          <w:p w14:paraId="5CE1EDE7" w14:textId="40EAB72E" w:rsidR="000E5E8A" w:rsidRDefault="008B6832" w:rsidP="00CE7C36">
            <w:pPr>
              <w:spacing w:after="120" w:line="240" w:lineRule="auto"/>
              <w:jc w:val="center"/>
            </w:pPr>
            <w:r>
              <w:t>I62</w:t>
            </w:r>
          </w:p>
        </w:tc>
      </w:tr>
      <w:tr w:rsidR="000E5E8A" w14:paraId="25C6952C" w14:textId="77777777" w:rsidTr="00DE56CF">
        <w:tc>
          <w:tcPr>
            <w:tcW w:w="529" w:type="dxa"/>
            <w:shd w:val="clear" w:color="auto" w:fill="auto"/>
          </w:tcPr>
          <w:p w14:paraId="4807CCB7" w14:textId="29514559" w:rsidR="000E5E8A" w:rsidRDefault="000E5E8A" w:rsidP="00CE7C36">
            <w:pPr>
              <w:spacing w:after="120" w:line="240" w:lineRule="auto"/>
              <w:jc w:val="center"/>
              <w:rPr>
                <w:rFonts w:ascii="Calibri" w:hAnsi="Calibri"/>
                <w:color w:val="000000"/>
              </w:rPr>
            </w:pPr>
            <w:r>
              <w:rPr>
                <w:rFonts w:ascii="Calibri" w:hAnsi="Calibri"/>
                <w:color w:val="000000"/>
              </w:rPr>
              <w:t>26</w:t>
            </w:r>
          </w:p>
        </w:tc>
        <w:tc>
          <w:tcPr>
            <w:tcW w:w="3976" w:type="dxa"/>
            <w:shd w:val="clear" w:color="auto" w:fill="auto"/>
          </w:tcPr>
          <w:p w14:paraId="6E4550C9" w14:textId="2DDE42AC" w:rsidR="000E5E8A" w:rsidRDefault="000E5E8A" w:rsidP="00CE7C36">
            <w:pPr>
              <w:spacing w:after="120" w:line="240" w:lineRule="auto"/>
              <w:rPr>
                <w:rFonts w:ascii="Calibri" w:hAnsi="Calibri"/>
                <w:color w:val="000000"/>
              </w:rPr>
            </w:pPr>
            <w:r>
              <w:rPr>
                <w:rFonts w:ascii="Calibri" w:hAnsi="Calibri"/>
                <w:color w:val="000000"/>
              </w:rPr>
              <w:t>Other supporting transport activities</w:t>
            </w:r>
          </w:p>
        </w:tc>
        <w:tc>
          <w:tcPr>
            <w:tcW w:w="2076" w:type="dxa"/>
            <w:shd w:val="clear" w:color="auto" w:fill="auto"/>
          </w:tcPr>
          <w:p w14:paraId="743913B8" w14:textId="42B08412" w:rsidR="000E5E8A" w:rsidRDefault="000E5E8A" w:rsidP="00CE7C36">
            <w:pPr>
              <w:spacing w:after="120" w:line="240" w:lineRule="auto"/>
              <w:rPr>
                <w:rFonts w:ascii="Calibri" w:hAnsi="Calibri"/>
                <w:color w:val="000000"/>
              </w:rPr>
            </w:pPr>
            <w:r>
              <w:rPr>
                <w:rFonts w:ascii="Calibri" w:hAnsi="Calibri"/>
                <w:color w:val="000000"/>
              </w:rPr>
              <w:t>Other transport services</w:t>
            </w:r>
          </w:p>
        </w:tc>
        <w:tc>
          <w:tcPr>
            <w:tcW w:w="708" w:type="dxa"/>
            <w:shd w:val="clear" w:color="auto" w:fill="auto"/>
          </w:tcPr>
          <w:p w14:paraId="4CB67ED7" w14:textId="08C77A3D" w:rsidR="000E5E8A" w:rsidRDefault="000E5E8A" w:rsidP="00CE7C36">
            <w:pPr>
              <w:spacing w:after="120" w:line="240" w:lineRule="auto"/>
              <w:jc w:val="center"/>
              <w:rPr>
                <w:rFonts w:ascii="Calibri" w:hAnsi="Calibri"/>
                <w:color w:val="000000"/>
              </w:rPr>
            </w:pPr>
            <w:r>
              <w:rPr>
                <w:rFonts w:ascii="Calibri" w:hAnsi="Calibri"/>
                <w:color w:val="000000"/>
              </w:rPr>
              <w:t>OTR</w:t>
            </w:r>
          </w:p>
        </w:tc>
        <w:tc>
          <w:tcPr>
            <w:tcW w:w="1727" w:type="dxa"/>
            <w:shd w:val="clear" w:color="auto" w:fill="auto"/>
          </w:tcPr>
          <w:p w14:paraId="102CE7D5" w14:textId="3A490550" w:rsidR="000E5E8A" w:rsidRDefault="008B6832" w:rsidP="00CE7C36">
            <w:pPr>
              <w:spacing w:after="120" w:line="240" w:lineRule="auto"/>
              <w:jc w:val="center"/>
            </w:pPr>
            <w:r>
              <w:t>I63</w:t>
            </w:r>
          </w:p>
        </w:tc>
      </w:tr>
      <w:tr w:rsidR="00DE56CF" w14:paraId="12F6A777" w14:textId="77777777" w:rsidTr="00DE56CF">
        <w:tc>
          <w:tcPr>
            <w:tcW w:w="529" w:type="dxa"/>
            <w:shd w:val="clear" w:color="auto" w:fill="auto"/>
          </w:tcPr>
          <w:p w14:paraId="6B482762" w14:textId="67A92583" w:rsidR="000E5E8A" w:rsidRDefault="000E5E8A" w:rsidP="00CE7C36">
            <w:pPr>
              <w:spacing w:after="120" w:line="240" w:lineRule="auto"/>
              <w:jc w:val="center"/>
              <w:rPr>
                <w:rFonts w:ascii="Calibri" w:hAnsi="Calibri"/>
                <w:color w:val="000000"/>
              </w:rPr>
            </w:pPr>
            <w:r>
              <w:rPr>
                <w:rFonts w:ascii="Calibri" w:hAnsi="Calibri"/>
                <w:color w:val="000000"/>
              </w:rPr>
              <w:t>27</w:t>
            </w:r>
          </w:p>
        </w:tc>
        <w:tc>
          <w:tcPr>
            <w:tcW w:w="3976" w:type="dxa"/>
            <w:shd w:val="clear" w:color="auto" w:fill="auto"/>
          </w:tcPr>
          <w:p w14:paraId="4A1BB9FC" w14:textId="5F110AFF" w:rsidR="000E5E8A" w:rsidRDefault="000E5E8A" w:rsidP="00CE7C36">
            <w:pPr>
              <w:spacing w:after="120" w:line="240" w:lineRule="auto"/>
              <w:rPr>
                <w:rFonts w:ascii="Calibri" w:hAnsi="Calibri"/>
                <w:color w:val="000000"/>
              </w:rPr>
            </w:pPr>
            <w:r>
              <w:rPr>
                <w:rFonts w:ascii="Calibri" w:hAnsi="Calibri"/>
                <w:color w:val="000000"/>
              </w:rPr>
              <w:t>Post and telecommunications</w:t>
            </w:r>
          </w:p>
        </w:tc>
        <w:tc>
          <w:tcPr>
            <w:tcW w:w="2076" w:type="dxa"/>
            <w:shd w:val="clear" w:color="auto" w:fill="auto"/>
          </w:tcPr>
          <w:p w14:paraId="24BADB3B" w14:textId="2BDFD4DF" w:rsidR="000E5E8A" w:rsidRDefault="000E5E8A" w:rsidP="00CE7C36">
            <w:pPr>
              <w:spacing w:after="120" w:line="240" w:lineRule="auto"/>
              <w:rPr>
                <w:rFonts w:ascii="Calibri" w:hAnsi="Calibri"/>
                <w:color w:val="000000"/>
              </w:rPr>
            </w:pPr>
            <w:r>
              <w:rPr>
                <w:rFonts w:ascii="Calibri" w:hAnsi="Calibri"/>
                <w:color w:val="000000"/>
              </w:rPr>
              <w:t>Telecommunications</w:t>
            </w:r>
          </w:p>
        </w:tc>
        <w:tc>
          <w:tcPr>
            <w:tcW w:w="708" w:type="dxa"/>
            <w:shd w:val="clear" w:color="auto" w:fill="auto"/>
          </w:tcPr>
          <w:p w14:paraId="2F792261" w14:textId="44F628A2" w:rsidR="000E5E8A" w:rsidRDefault="000E5E8A" w:rsidP="00CE7C36">
            <w:pPr>
              <w:spacing w:after="120" w:line="240" w:lineRule="auto"/>
              <w:jc w:val="center"/>
              <w:rPr>
                <w:rFonts w:ascii="Calibri" w:hAnsi="Calibri"/>
                <w:color w:val="000000"/>
              </w:rPr>
            </w:pPr>
            <w:r>
              <w:rPr>
                <w:rFonts w:ascii="Calibri" w:hAnsi="Calibri"/>
                <w:color w:val="000000"/>
              </w:rPr>
              <w:t>TEL</w:t>
            </w:r>
          </w:p>
        </w:tc>
        <w:tc>
          <w:tcPr>
            <w:tcW w:w="1727" w:type="dxa"/>
            <w:shd w:val="clear" w:color="auto" w:fill="auto"/>
          </w:tcPr>
          <w:p w14:paraId="5528A2B4" w14:textId="327785DE" w:rsidR="000E5E8A" w:rsidRDefault="008B6832" w:rsidP="00CE7C36">
            <w:pPr>
              <w:spacing w:after="120" w:line="240" w:lineRule="auto"/>
              <w:jc w:val="center"/>
            </w:pPr>
            <w:r>
              <w:t>I64</w:t>
            </w:r>
          </w:p>
        </w:tc>
      </w:tr>
      <w:tr w:rsidR="00DE56CF" w14:paraId="7118D6DA" w14:textId="77777777" w:rsidTr="00DE56CF">
        <w:tc>
          <w:tcPr>
            <w:tcW w:w="529" w:type="dxa"/>
            <w:shd w:val="clear" w:color="auto" w:fill="auto"/>
          </w:tcPr>
          <w:p w14:paraId="1B832C11" w14:textId="32819C7A" w:rsidR="000E5E8A" w:rsidRDefault="000E5E8A" w:rsidP="00CE7C36">
            <w:pPr>
              <w:spacing w:after="120" w:line="240" w:lineRule="auto"/>
              <w:jc w:val="center"/>
              <w:rPr>
                <w:rFonts w:ascii="Calibri" w:hAnsi="Calibri"/>
                <w:color w:val="000000"/>
              </w:rPr>
            </w:pPr>
            <w:r>
              <w:rPr>
                <w:rFonts w:ascii="Calibri" w:hAnsi="Calibri"/>
                <w:color w:val="000000"/>
              </w:rPr>
              <w:t>28</w:t>
            </w:r>
          </w:p>
        </w:tc>
        <w:tc>
          <w:tcPr>
            <w:tcW w:w="3976" w:type="dxa"/>
            <w:shd w:val="clear" w:color="auto" w:fill="auto"/>
          </w:tcPr>
          <w:p w14:paraId="123E459F" w14:textId="315CD50E" w:rsidR="000E5E8A" w:rsidRDefault="000E5E8A" w:rsidP="00CE7C36">
            <w:pPr>
              <w:spacing w:after="120" w:line="240" w:lineRule="auto"/>
              <w:rPr>
                <w:rFonts w:ascii="Calibri" w:hAnsi="Calibri"/>
                <w:color w:val="000000"/>
              </w:rPr>
            </w:pPr>
            <w:r>
              <w:rPr>
                <w:rFonts w:ascii="Calibri" w:hAnsi="Calibri"/>
                <w:color w:val="000000"/>
              </w:rPr>
              <w:t>Financial intermediation</w:t>
            </w:r>
          </w:p>
        </w:tc>
        <w:tc>
          <w:tcPr>
            <w:tcW w:w="2076" w:type="dxa"/>
            <w:shd w:val="clear" w:color="auto" w:fill="auto"/>
          </w:tcPr>
          <w:p w14:paraId="7A019623" w14:textId="516640AB" w:rsidR="000E5E8A" w:rsidRDefault="000E5E8A" w:rsidP="00CE7C36">
            <w:pPr>
              <w:spacing w:after="120" w:line="240" w:lineRule="auto"/>
              <w:rPr>
                <w:rFonts w:ascii="Calibri" w:hAnsi="Calibri"/>
                <w:color w:val="000000"/>
              </w:rPr>
            </w:pPr>
            <w:r>
              <w:rPr>
                <w:rFonts w:ascii="Calibri" w:hAnsi="Calibri"/>
                <w:color w:val="000000"/>
              </w:rPr>
              <w:t>Finance</w:t>
            </w:r>
          </w:p>
        </w:tc>
        <w:tc>
          <w:tcPr>
            <w:tcW w:w="708" w:type="dxa"/>
            <w:shd w:val="clear" w:color="auto" w:fill="auto"/>
          </w:tcPr>
          <w:p w14:paraId="29E9B174" w14:textId="5ACBBE01" w:rsidR="000E5E8A" w:rsidRDefault="000E5E8A" w:rsidP="00CE7C36">
            <w:pPr>
              <w:spacing w:after="120" w:line="240" w:lineRule="auto"/>
              <w:jc w:val="center"/>
              <w:rPr>
                <w:rFonts w:ascii="Calibri" w:hAnsi="Calibri"/>
                <w:color w:val="000000"/>
              </w:rPr>
            </w:pPr>
            <w:r>
              <w:rPr>
                <w:rFonts w:ascii="Calibri" w:hAnsi="Calibri"/>
                <w:color w:val="000000"/>
              </w:rPr>
              <w:t>FIN</w:t>
            </w:r>
          </w:p>
        </w:tc>
        <w:tc>
          <w:tcPr>
            <w:tcW w:w="1727" w:type="dxa"/>
            <w:shd w:val="clear" w:color="auto" w:fill="auto"/>
          </w:tcPr>
          <w:p w14:paraId="054988FC" w14:textId="04FC467F" w:rsidR="000E5E8A" w:rsidRDefault="008B6832" w:rsidP="00CE7C36">
            <w:pPr>
              <w:spacing w:after="120" w:line="240" w:lineRule="auto"/>
              <w:jc w:val="center"/>
            </w:pPr>
            <w:r>
              <w:t>J65–67</w:t>
            </w:r>
          </w:p>
        </w:tc>
      </w:tr>
      <w:tr w:rsidR="00DE56CF" w14:paraId="315EB65E" w14:textId="77777777" w:rsidTr="00DE56CF">
        <w:tc>
          <w:tcPr>
            <w:tcW w:w="529" w:type="dxa"/>
            <w:shd w:val="clear" w:color="auto" w:fill="auto"/>
          </w:tcPr>
          <w:p w14:paraId="60F768F2" w14:textId="55451D0E" w:rsidR="000E5E8A" w:rsidRDefault="000E5E8A" w:rsidP="00CE7C36">
            <w:pPr>
              <w:spacing w:after="120" w:line="240" w:lineRule="auto"/>
              <w:jc w:val="center"/>
              <w:rPr>
                <w:rFonts w:ascii="Calibri" w:hAnsi="Calibri"/>
                <w:color w:val="000000"/>
              </w:rPr>
            </w:pPr>
            <w:r>
              <w:rPr>
                <w:rFonts w:ascii="Calibri" w:hAnsi="Calibri"/>
                <w:color w:val="000000"/>
              </w:rPr>
              <w:t>29</w:t>
            </w:r>
          </w:p>
        </w:tc>
        <w:tc>
          <w:tcPr>
            <w:tcW w:w="3976" w:type="dxa"/>
            <w:shd w:val="clear" w:color="auto" w:fill="auto"/>
          </w:tcPr>
          <w:p w14:paraId="0E820095" w14:textId="5778831E" w:rsidR="000E5E8A" w:rsidRDefault="000E5E8A" w:rsidP="00CE7C36">
            <w:pPr>
              <w:spacing w:after="120" w:line="240" w:lineRule="auto"/>
              <w:rPr>
                <w:rFonts w:ascii="Calibri" w:hAnsi="Calibri"/>
                <w:color w:val="000000"/>
              </w:rPr>
            </w:pPr>
            <w:r>
              <w:rPr>
                <w:rFonts w:ascii="Calibri" w:hAnsi="Calibri"/>
                <w:color w:val="000000"/>
              </w:rPr>
              <w:t>Real estate activities</w:t>
            </w:r>
          </w:p>
        </w:tc>
        <w:tc>
          <w:tcPr>
            <w:tcW w:w="2076" w:type="dxa"/>
            <w:shd w:val="clear" w:color="auto" w:fill="auto"/>
          </w:tcPr>
          <w:p w14:paraId="2C5D007D" w14:textId="454AF85B" w:rsidR="000E5E8A" w:rsidRDefault="000E5E8A" w:rsidP="00CE7C36">
            <w:pPr>
              <w:spacing w:after="120" w:line="240" w:lineRule="auto"/>
              <w:rPr>
                <w:rFonts w:ascii="Calibri" w:hAnsi="Calibri"/>
                <w:color w:val="000000"/>
              </w:rPr>
            </w:pPr>
            <w:r>
              <w:rPr>
                <w:rFonts w:ascii="Calibri" w:hAnsi="Calibri"/>
                <w:color w:val="000000"/>
              </w:rPr>
              <w:t>Real estate</w:t>
            </w:r>
          </w:p>
        </w:tc>
        <w:tc>
          <w:tcPr>
            <w:tcW w:w="708" w:type="dxa"/>
            <w:shd w:val="clear" w:color="auto" w:fill="auto"/>
          </w:tcPr>
          <w:p w14:paraId="06E88345" w14:textId="68268875" w:rsidR="000E5E8A" w:rsidRDefault="000E5E8A" w:rsidP="00CE7C36">
            <w:pPr>
              <w:spacing w:after="120" w:line="240" w:lineRule="auto"/>
              <w:jc w:val="center"/>
              <w:rPr>
                <w:rFonts w:ascii="Calibri" w:hAnsi="Calibri"/>
                <w:color w:val="000000"/>
              </w:rPr>
            </w:pPr>
            <w:r>
              <w:rPr>
                <w:rFonts w:ascii="Calibri" w:hAnsi="Calibri"/>
                <w:color w:val="000000"/>
              </w:rPr>
              <w:t>REA</w:t>
            </w:r>
          </w:p>
        </w:tc>
        <w:tc>
          <w:tcPr>
            <w:tcW w:w="1727" w:type="dxa"/>
            <w:shd w:val="clear" w:color="auto" w:fill="auto"/>
          </w:tcPr>
          <w:p w14:paraId="2100A8F6" w14:textId="586FD8D1" w:rsidR="000E5E8A" w:rsidRDefault="008B6832" w:rsidP="00CE7C36">
            <w:pPr>
              <w:spacing w:after="120" w:line="240" w:lineRule="auto"/>
              <w:jc w:val="center"/>
            </w:pPr>
            <w:r>
              <w:t>K70</w:t>
            </w:r>
          </w:p>
        </w:tc>
      </w:tr>
      <w:tr w:rsidR="00DE56CF" w14:paraId="50673232" w14:textId="77777777" w:rsidTr="00DE56CF">
        <w:tc>
          <w:tcPr>
            <w:tcW w:w="529" w:type="dxa"/>
            <w:shd w:val="clear" w:color="auto" w:fill="auto"/>
          </w:tcPr>
          <w:p w14:paraId="1986F530" w14:textId="294DE2B2" w:rsidR="000E5E8A" w:rsidRDefault="000E5E8A" w:rsidP="00CE7C36">
            <w:pPr>
              <w:spacing w:after="120" w:line="240" w:lineRule="auto"/>
              <w:jc w:val="center"/>
              <w:rPr>
                <w:rFonts w:ascii="Calibri" w:hAnsi="Calibri"/>
                <w:color w:val="000000"/>
              </w:rPr>
            </w:pPr>
            <w:r>
              <w:rPr>
                <w:rFonts w:ascii="Calibri" w:hAnsi="Calibri"/>
                <w:color w:val="000000"/>
              </w:rPr>
              <w:lastRenderedPageBreak/>
              <w:t>30</w:t>
            </w:r>
          </w:p>
        </w:tc>
        <w:tc>
          <w:tcPr>
            <w:tcW w:w="3976" w:type="dxa"/>
            <w:shd w:val="clear" w:color="auto" w:fill="auto"/>
          </w:tcPr>
          <w:p w14:paraId="6978FF63" w14:textId="2BFE999C" w:rsidR="000E5E8A" w:rsidRDefault="000E5E8A" w:rsidP="00CE7C36">
            <w:pPr>
              <w:spacing w:after="120" w:line="240" w:lineRule="auto"/>
              <w:rPr>
                <w:rFonts w:ascii="Calibri" w:hAnsi="Calibri"/>
                <w:color w:val="000000"/>
              </w:rPr>
            </w:pPr>
            <w:r>
              <w:rPr>
                <w:rFonts w:ascii="Calibri" w:hAnsi="Calibri"/>
                <w:color w:val="000000"/>
              </w:rPr>
              <w:t>Renting of machinery &amp; equipment and other business activities</w:t>
            </w:r>
          </w:p>
        </w:tc>
        <w:tc>
          <w:tcPr>
            <w:tcW w:w="2076" w:type="dxa"/>
            <w:shd w:val="clear" w:color="auto" w:fill="auto"/>
          </w:tcPr>
          <w:p w14:paraId="61EA67B5" w14:textId="6157D26E" w:rsidR="000E5E8A" w:rsidRDefault="000E5E8A" w:rsidP="00CE7C36">
            <w:pPr>
              <w:spacing w:after="120" w:line="240" w:lineRule="auto"/>
              <w:rPr>
                <w:rFonts w:ascii="Calibri" w:hAnsi="Calibri"/>
                <w:color w:val="000000"/>
              </w:rPr>
            </w:pPr>
            <w:r>
              <w:rPr>
                <w:rFonts w:ascii="Calibri" w:hAnsi="Calibri"/>
                <w:color w:val="000000"/>
              </w:rPr>
              <w:t>Other business services</w:t>
            </w:r>
          </w:p>
        </w:tc>
        <w:tc>
          <w:tcPr>
            <w:tcW w:w="708" w:type="dxa"/>
            <w:shd w:val="clear" w:color="auto" w:fill="auto"/>
          </w:tcPr>
          <w:p w14:paraId="7899766C" w14:textId="0130C139" w:rsidR="000E5E8A" w:rsidRDefault="000E5E8A" w:rsidP="00CE7C36">
            <w:pPr>
              <w:spacing w:after="120" w:line="240" w:lineRule="auto"/>
              <w:jc w:val="center"/>
              <w:rPr>
                <w:rFonts w:ascii="Calibri" w:hAnsi="Calibri"/>
                <w:color w:val="000000"/>
              </w:rPr>
            </w:pPr>
            <w:r>
              <w:rPr>
                <w:rFonts w:ascii="Calibri" w:hAnsi="Calibri"/>
                <w:color w:val="000000"/>
              </w:rPr>
              <w:t>OBA</w:t>
            </w:r>
          </w:p>
        </w:tc>
        <w:tc>
          <w:tcPr>
            <w:tcW w:w="1727" w:type="dxa"/>
            <w:shd w:val="clear" w:color="auto" w:fill="auto"/>
          </w:tcPr>
          <w:p w14:paraId="32610E1D" w14:textId="65797D5A" w:rsidR="000E5E8A" w:rsidRDefault="003B2F32" w:rsidP="00CE7C36">
            <w:pPr>
              <w:spacing w:after="120" w:line="240" w:lineRule="auto"/>
              <w:jc w:val="center"/>
            </w:pPr>
            <w:r>
              <w:t>K71–74</w:t>
            </w:r>
          </w:p>
        </w:tc>
      </w:tr>
      <w:tr w:rsidR="00DE56CF" w14:paraId="3A9BCBC6" w14:textId="77777777" w:rsidTr="00DE56CF">
        <w:tc>
          <w:tcPr>
            <w:tcW w:w="529" w:type="dxa"/>
            <w:shd w:val="clear" w:color="auto" w:fill="auto"/>
          </w:tcPr>
          <w:p w14:paraId="21FD82D4" w14:textId="46715377" w:rsidR="000E5E8A" w:rsidRDefault="000E5E8A" w:rsidP="00CE7C36">
            <w:pPr>
              <w:spacing w:after="120" w:line="240" w:lineRule="auto"/>
              <w:jc w:val="center"/>
              <w:rPr>
                <w:rFonts w:ascii="Calibri" w:hAnsi="Calibri"/>
                <w:color w:val="000000"/>
              </w:rPr>
            </w:pPr>
            <w:r>
              <w:rPr>
                <w:rFonts w:ascii="Calibri" w:hAnsi="Calibri"/>
                <w:color w:val="000000"/>
              </w:rPr>
              <w:t>31</w:t>
            </w:r>
          </w:p>
        </w:tc>
        <w:tc>
          <w:tcPr>
            <w:tcW w:w="3976" w:type="dxa"/>
            <w:shd w:val="clear" w:color="auto" w:fill="auto"/>
          </w:tcPr>
          <w:p w14:paraId="1590D09E" w14:textId="049BD912" w:rsidR="000E5E8A" w:rsidRDefault="000E5E8A" w:rsidP="00CE7C36">
            <w:pPr>
              <w:spacing w:after="120" w:line="240" w:lineRule="auto"/>
              <w:rPr>
                <w:rFonts w:ascii="Calibri" w:hAnsi="Calibri"/>
                <w:color w:val="000000"/>
              </w:rPr>
            </w:pPr>
            <w:r>
              <w:rPr>
                <w:rFonts w:ascii="Calibri" w:hAnsi="Calibri"/>
                <w:color w:val="000000"/>
              </w:rPr>
              <w:t xml:space="preserve">Public administration and </w:t>
            </w:r>
            <w:proofErr w:type="spellStart"/>
            <w:r>
              <w:rPr>
                <w:rFonts w:ascii="Calibri" w:hAnsi="Calibri"/>
                <w:color w:val="000000"/>
              </w:rPr>
              <w:t>defence</w:t>
            </w:r>
            <w:proofErr w:type="spellEnd"/>
            <w:r>
              <w:rPr>
                <w:rFonts w:ascii="Calibri" w:hAnsi="Calibri"/>
                <w:color w:val="000000"/>
              </w:rPr>
              <w:t>; compulsory social security</w:t>
            </w:r>
          </w:p>
        </w:tc>
        <w:tc>
          <w:tcPr>
            <w:tcW w:w="2076" w:type="dxa"/>
            <w:shd w:val="clear" w:color="auto" w:fill="auto"/>
          </w:tcPr>
          <w:p w14:paraId="6F9FE974" w14:textId="69E34880" w:rsidR="000E5E8A" w:rsidRDefault="000E5E8A" w:rsidP="00CE7C36">
            <w:pPr>
              <w:spacing w:after="120" w:line="240" w:lineRule="auto"/>
              <w:rPr>
                <w:rFonts w:ascii="Calibri" w:hAnsi="Calibri"/>
                <w:color w:val="000000"/>
              </w:rPr>
            </w:pPr>
            <w:r>
              <w:rPr>
                <w:rFonts w:ascii="Calibri" w:hAnsi="Calibri"/>
                <w:color w:val="000000"/>
              </w:rPr>
              <w:t>Public administration</w:t>
            </w:r>
          </w:p>
        </w:tc>
        <w:tc>
          <w:tcPr>
            <w:tcW w:w="708" w:type="dxa"/>
            <w:shd w:val="clear" w:color="auto" w:fill="auto"/>
          </w:tcPr>
          <w:p w14:paraId="64CBFFD9" w14:textId="4F6142D8" w:rsidR="000E5E8A" w:rsidRDefault="000E5E8A" w:rsidP="00CE7C36">
            <w:pPr>
              <w:spacing w:after="120" w:line="240" w:lineRule="auto"/>
              <w:jc w:val="center"/>
              <w:rPr>
                <w:rFonts w:ascii="Calibri" w:hAnsi="Calibri"/>
                <w:color w:val="000000"/>
              </w:rPr>
            </w:pPr>
            <w:r>
              <w:rPr>
                <w:rFonts w:ascii="Calibri" w:hAnsi="Calibri"/>
                <w:color w:val="000000"/>
              </w:rPr>
              <w:t>PAD</w:t>
            </w:r>
          </w:p>
        </w:tc>
        <w:tc>
          <w:tcPr>
            <w:tcW w:w="1727" w:type="dxa"/>
            <w:shd w:val="clear" w:color="auto" w:fill="auto"/>
          </w:tcPr>
          <w:p w14:paraId="012319A7" w14:textId="00CAD8DD" w:rsidR="000E5E8A" w:rsidRDefault="003B2F32" w:rsidP="00CE7C36">
            <w:pPr>
              <w:spacing w:after="120" w:line="240" w:lineRule="auto"/>
              <w:jc w:val="center"/>
            </w:pPr>
            <w:r>
              <w:t>L</w:t>
            </w:r>
          </w:p>
        </w:tc>
      </w:tr>
      <w:tr w:rsidR="00DE56CF" w14:paraId="6B0C435D" w14:textId="77777777" w:rsidTr="00DE56CF">
        <w:tc>
          <w:tcPr>
            <w:tcW w:w="529" w:type="dxa"/>
            <w:shd w:val="clear" w:color="auto" w:fill="auto"/>
          </w:tcPr>
          <w:p w14:paraId="05E535F0" w14:textId="614E4B55" w:rsidR="000E5E8A" w:rsidRDefault="000E5E8A" w:rsidP="00CE7C36">
            <w:pPr>
              <w:spacing w:after="120" w:line="240" w:lineRule="auto"/>
              <w:jc w:val="center"/>
              <w:rPr>
                <w:rFonts w:ascii="Calibri" w:hAnsi="Calibri"/>
                <w:color w:val="000000"/>
              </w:rPr>
            </w:pPr>
            <w:r>
              <w:rPr>
                <w:rFonts w:ascii="Calibri" w:hAnsi="Calibri"/>
                <w:color w:val="000000"/>
              </w:rPr>
              <w:t>32</w:t>
            </w:r>
          </w:p>
        </w:tc>
        <w:tc>
          <w:tcPr>
            <w:tcW w:w="3976" w:type="dxa"/>
            <w:shd w:val="clear" w:color="auto" w:fill="auto"/>
          </w:tcPr>
          <w:p w14:paraId="4552F04F" w14:textId="13ACE72E" w:rsidR="000E5E8A" w:rsidRDefault="000E5E8A" w:rsidP="00CE7C36">
            <w:pPr>
              <w:spacing w:after="120" w:line="240" w:lineRule="auto"/>
              <w:rPr>
                <w:rFonts w:ascii="Calibri" w:hAnsi="Calibri"/>
                <w:color w:val="000000"/>
              </w:rPr>
            </w:pPr>
            <w:r>
              <w:rPr>
                <w:rFonts w:ascii="Calibri" w:hAnsi="Calibri"/>
                <w:color w:val="000000"/>
              </w:rPr>
              <w:t>Education</w:t>
            </w:r>
          </w:p>
        </w:tc>
        <w:tc>
          <w:tcPr>
            <w:tcW w:w="2076" w:type="dxa"/>
            <w:shd w:val="clear" w:color="auto" w:fill="auto"/>
          </w:tcPr>
          <w:p w14:paraId="19D9E26A" w14:textId="6B2D8761" w:rsidR="000E5E8A" w:rsidRDefault="000E5E8A" w:rsidP="00CE7C36">
            <w:pPr>
              <w:spacing w:after="120" w:line="240" w:lineRule="auto"/>
              <w:rPr>
                <w:rFonts w:ascii="Calibri" w:hAnsi="Calibri"/>
                <w:color w:val="000000"/>
              </w:rPr>
            </w:pPr>
            <w:r>
              <w:rPr>
                <w:rFonts w:ascii="Calibri" w:hAnsi="Calibri"/>
                <w:color w:val="000000"/>
              </w:rPr>
              <w:t>Education</w:t>
            </w:r>
          </w:p>
        </w:tc>
        <w:tc>
          <w:tcPr>
            <w:tcW w:w="708" w:type="dxa"/>
            <w:shd w:val="clear" w:color="auto" w:fill="auto"/>
          </w:tcPr>
          <w:p w14:paraId="56CFBC92" w14:textId="4CAF92DE" w:rsidR="000E5E8A" w:rsidRDefault="000E5E8A" w:rsidP="00CE7C36">
            <w:pPr>
              <w:spacing w:after="120" w:line="240" w:lineRule="auto"/>
              <w:jc w:val="center"/>
              <w:rPr>
                <w:rFonts w:ascii="Calibri" w:hAnsi="Calibri"/>
                <w:color w:val="000000"/>
              </w:rPr>
            </w:pPr>
            <w:r>
              <w:rPr>
                <w:rFonts w:ascii="Calibri" w:hAnsi="Calibri"/>
                <w:color w:val="000000"/>
              </w:rPr>
              <w:t>EDU</w:t>
            </w:r>
          </w:p>
        </w:tc>
        <w:tc>
          <w:tcPr>
            <w:tcW w:w="1727" w:type="dxa"/>
            <w:shd w:val="clear" w:color="auto" w:fill="auto"/>
          </w:tcPr>
          <w:p w14:paraId="7A82127D" w14:textId="00EE50BC" w:rsidR="000E5E8A" w:rsidRDefault="003B2F32" w:rsidP="00CE7C36">
            <w:pPr>
              <w:spacing w:after="120" w:line="240" w:lineRule="auto"/>
              <w:jc w:val="center"/>
            </w:pPr>
            <w:r>
              <w:t>M</w:t>
            </w:r>
          </w:p>
        </w:tc>
      </w:tr>
      <w:tr w:rsidR="000E5E8A" w14:paraId="55D86FDC" w14:textId="77777777" w:rsidTr="00DE56CF">
        <w:tc>
          <w:tcPr>
            <w:tcW w:w="529" w:type="dxa"/>
            <w:shd w:val="clear" w:color="auto" w:fill="auto"/>
          </w:tcPr>
          <w:p w14:paraId="19B898A4" w14:textId="06A22798" w:rsidR="000E5E8A" w:rsidRDefault="000E5E8A" w:rsidP="00CE7C36">
            <w:pPr>
              <w:spacing w:after="120" w:line="240" w:lineRule="auto"/>
              <w:jc w:val="center"/>
              <w:rPr>
                <w:rFonts w:ascii="Calibri" w:hAnsi="Calibri"/>
                <w:color w:val="000000"/>
              </w:rPr>
            </w:pPr>
            <w:r>
              <w:rPr>
                <w:rFonts w:ascii="Calibri" w:hAnsi="Calibri"/>
                <w:color w:val="000000"/>
              </w:rPr>
              <w:t>33</w:t>
            </w:r>
          </w:p>
        </w:tc>
        <w:tc>
          <w:tcPr>
            <w:tcW w:w="3976" w:type="dxa"/>
            <w:shd w:val="clear" w:color="auto" w:fill="auto"/>
          </w:tcPr>
          <w:p w14:paraId="59C49DD9" w14:textId="15D596A3" w:rsidR="000E5E8A" w:rsidRDefault="000E5E8A" w:rsidP="00CE7C36">
            <w:pPr>
              <w:spacing w:after="120" w:line="240" w:lineRule="auto"/>
              <w:rPr>
                <w:rFonts w:ascii="Calibri" w:hAnsi="Calibri"/>
                <w:color w:val="000000"/>
              </w:rPr>
            </w:pPr>
            <w:r>
              <w:rPr>
                <w:rFonts w:ascii="Calibri" w:hAnsi="Calibri"/>
                <w:color w:val="000000"/>
              </w:rPr>
              <w:t>Health and social work</w:t>
            </w:r>
          </w:p>
        </w:tc>
        <w:tc>
          <w:tcPr>
            <w:tcW w:w="2076" w:type="dxa"/>
            <w:shd w:val="clear" w:color="auto" w:fill="auto"/>
          </w:tcPr>
          <w:p w14:paraId="66E8789A" w14:textId="3E00A955" w:rsidR="000E5E8A" w:rsidRDefault="000E5E8A" w:rsidP="00CE7C36">
            <w:pPr>
              <w:spacing w:after="120" w:line="240" w:lineRule="auto"/>
              <w:rPr>
                <w:rFonts w:ascii="Calibri" w:hAnsi="Calibri"/>
                <w:color w:val="000000"/>
              </w:rPr>
            </w:pPr>
            <w:r>
              <w:rPr>
                <w:rFonts w:ascii="Calibri" w:hAnsi="Calibri"/>
                <w:color w:val="000000"/>
              </w:rPr>
              <w:t>Social work</w:t>
            </w:r>
          </w:p>
        </w:tc>
        <w:tc>
          <w:tcPr>
            <w:tcW w:w="708" w:type="dxa"/>
            <w:shd w:val="clear" w:color="auto" w:fill="auto"/>
          </w:tcPr>
          <w:p w14:paraId="7F67A5ED" w14:textId="3A6CEB9C" w:rsidR="000E5E8A" w:rsidRDefault="000E5E8A" w:rsidP="00CE7C36">
            <w:pPr>
              <w:spacing w:after="120" w:line="240" w:lineRule="auto"/>
              <w:jc w:val="center"/>
              <w:rPr>
                <w:rFonts w:ascii="Calibri" w:hAnsi="Calibri"/>
                <w:color w:val="000000"/>
              </w:rPr>
            </w:pPr>
            <w:r>
              <w:rPr>
                <w:rFonts w:ascii="Calibri" w:hAnsi="Calibri"/>
                <w:color w:val="000000"/>
              </w:rPr>
              <w:t>HSW</w:t>
            </w:r>
          </w:p>
        </w:tc>
        <w:tc>
          <w:tcPr>
            <w:tcW w:w="1727" w:type="dxa"/>
            <w:shd w:val="clear" w:color="auto" w:fill="auto"/>
          </w:tcPr>
          <w:p w14:paraId="46556A36" w14:textId="519BE37C" w:rsidR="000E5E8A" w:rsidRDefault="003B2F32" w:rsidP="00CE7C36">
            <w:pPr>
              <w:spacing w:after="120" w:line="240" w:lineRule="auto"/>
              <w:jc w:val="center"/>
            </w:pPr>
            <w:r>
              <w:t>N</w:t>
            </w:r>
          </w:p>
        </w:tc>
      </w:tr>
      <w:tr w:rsidR="000E5E8A" w14:paraId="35275A7C" w14:textId="77777777" w:rsidTr="00DE56CF">
        <w:tc>
          <w:tcPr>
            <w:tcW w:w="529" w:type="dxa"/>
            <w:shd w:val="clear" w:color="auto" w:fill="auto"/>
          </w:tcPr>
          <w:p w14:paraId="29BA924C" w14:textId="4E3094F4" w:rsidR="000E5E8A" w:rsidRDefault="000E5E8A" w:rsidP="00CE7C36">
            <w:pPr>
              <w:spacing w:after="120" w:line="240" w:lineRule="auto"/>
              <w:jc w:val="center"/>
              <w:rPr>
                <w:rFonts w:ascii="Calibri" w:hAnsi="Calibri"/>
                <w:color w:val="000000"/>
              </w:rPr>
            </w:pPr>
            <w:r>
              <w:rPr>
                <w:rFonts w:ascii="Calibri" w:hAnsi="Calibri"/>
                <w:color w:val="000000"/>
              </w:rPr>
              <w:t>34</w:t>
            </w:r>
          </w:p>
        </w:tc>
        <w:tc>
          <w:tcPr>
            <w:tcW w:w="3976" w:type="dxa"/>
            <w:shd w:val="clear" w:color="auto" w:fill="auto"/>
          </w:tcPr>
          <w:p w14:paraId="758B3DEE" w14:textId="38CF3A05" w:rsidR="000E5E8A" w:rsidRDefault="000E5E8A" w:rsidP="00CE7C36">
            <w:pPr>
              <w:spacing w:after="120" w:line="240" w:lineRule="auto"/>
              <w:rPr>
                <w:rFonts w:ascii="Calibri" w:hAnsi="Calibri"/>
                <w:color w:val="000000"/>
              </w:rPr>
            </w:pPr>
            <w:r>
              <w:rPr>
                <w:rFonts w:ascii="Calibri" w:hAnsi="Calibri"/>
                <w:color w:val="000000"/>
              </w:rPr>
              <w:t>Other community, social and personal services</w:t>
            </w:r>
          </w:p>
        </w:tc>
        <w:tc>
          <w:tcPr>
            <w:tcW w:w="2076" w:type="dxa"/>
            <w:shd w:val="clear" w:color="auto" w:fill="auto"/>
          </w:tcPr>
          <w:p w14:paraId="79D3C8DF" w14:textId="00F1A272" w:rsidR="000E5E8A" w:rsidRDefault="000E5E8A" w:rsidP="00CE7C36">
            <w:pPr>
              <w:spacing w:after="120" w:line="240" w:lineRule="auto"/>
              <w:rPr>
                <w:rFonts w:ascii="Calibri" w:hAnsi="Calibri"/>
                <w:color w:val="000000"/>
              </w:rPr>
            </w:pPr>
            <w:r>
              <w:rPr>
                <w:rFonts w:ascii="Calibri" w:hAnsi="Calibri"/>
                <w:color w:val="000000"/>
              </w:rPr>
              <w:t>Other personal services</w:t>
            </w:r>
          </w:p>
        </w:tc>
        <w:tc>
          <w:tcPr>
            <w:tcW w:w="708" w:type="dxa"/>
            <w:shd w:val="clear" w:color="auto" w:fill="auto"/>
          </w:tcPr>
          <w:p w14:paraId="4CCE0521" w14:textId="50F18D9C" w:rsidR="000E5E8A" w:rsidRDefault="000E5E8A" w:rsidP="00CE7C36">
            <w:pPr>
              <w:spacing w:after="120" w:line="240" w:lineRule="auto"/>
              <w:jc w:val="center"/>
              <w:rPr>
                <w:rFonts w:ascii="Calibri" w:hAnsi="Calibri"/>
                <w:color w:val="000000"/>
              </w:rPr>
            </w:pPr>
            <w:r>
              <w:rPr>
                <w:rFonts w:ascii="Calibri" w:hAnsi="Calibri"/>
                <w:color w:val="000000"/>
              </w:rPr>
              <w:t>OSV</w:t>
            </w:r>
          </w:p>
        </w:tc>
        <w:tc>
          <w:tcPr>
            <w:tcW w:w="1727" w:type="dxa"/>
            <w:shd w:val="clear" w:color="auto" w:fill="auto"/>
          </w:tcPr>
          <w:p w14:paraId="16A78F0B" w14:textId="6472F14F" w:rsidR="000E5E8A" w:rsidRDefault="003B2F32" w:rsidP="00CE7C36">
            <w:pPr>
              <w:spacing w:after="120" w:line="240" w:lineRule="auto"/>
              <w:jc w:val="center"/>
            </w:pPr>
            <w:r>
              <w:t>O</w:t>
            </w:r>
          </w:p>
        </w:tc>
      </w:tr>
      <w:tr w:rsidR="000E5E8A" w14:paraId="06E78A69" w14:textId="77777777" w:rsidTr="00DE56CF">
        <w:tc>
          <w:tcPr>
            <w:tcW w:w="529" w:type="dxa"/>
            <w:shd w:val="clear" w:color="auto" w:fill="auto"/>
          </w:tcPr>
          <w:p w14:paraId="6A09A62C" w14:textId="5DD27B3A" w:rsidR="000E5E8A" w:rsidRDefault="000E5E8A" w:rsidP="00CE7C36">
            <w:pPr>
              <w:spacing w:after="120" w:line="240" w:lineRule="auto"/>
              <w:jc w:val="center"/>
              <w:rPr>
                <w:rFonts w:ascii="Calibri" w:hAnsi="Calibri"/>
                <w:color w:val="000000"/>
              </w:rPr>
            </w:pPr>
            <w:r>
              <w:rPr>
                <w:rFonts w:ascii="Calibri" w:hAnsi="Calibri"/>
                <w:color w:val="000000"/>
              </w:rPr>
              <w:t>35</w:t>
            </w:r>
          </w:p>
        </w:tc>
        <w:tc>
          <w:tcPr>
            <w:tcW w:w="3976" w:type="dxa"/>
            <w:shd w:val="clear" w:color="auto" w:fill="auto"/>
          </w:tcPr>
          <w:p w14:paraId="0F38C9DE" w14:textId="6ECE5867" w:rsidR="000E5E8A" w:rsidRDefault="000E5E8A" w:rsidP="00CE7C36">
            <w:pPr>
              <w:spacing w:after="120" w:line="240" w:lineRule="auto"/>
              <w:rPr>
                <w:rFonts w:ascii="Calibri" w:hAnsi="Calibri"/>
                <w:color w:val="000000"/>
              </w:rPr>
            </w:pPr>
            <w:r>
              <w:rPr>
                <w:rFonts w:ascii="Calibri" w:hAnsi="Calibri"/>
                <w:color w:val="000000"/>
              </w:rPr>
              <w:t>Private households with employed persons</w:t>
            </w:r>
          </w:p>
        </w:tc>
        <w:tc>
          <w:tcPr>
            <w:tcW w:w="2076" w:type="dxa"/>
            <w:shd w:val="clear" w:color="auto" w:fill="auto"/>
          </w:tcPr>
          <w:p w14:paraId="10A501FF" w14:textId="7D225CAD" w:rsidR="000E5E8A" w:rsidRDefault="000E5E8A" w:rsidP="00CE7C36">
            <w:pPr>
              <w:spacing w:after="120" w:line="240" w:lineRule="auto"/>
              <w:rPr>
                <w:rFonts w:ascii="Calibri" w:hAnsi="Calibri"/>
                <w:color w:val="000000"/>
              </w:rPr>
            </w:pPr>
            <w:r>
              <w:rPr>
                <w:rFonts w:ascii="Calibri" w:hAnsi="Calibri"/>
                <w:color w:val="000000"/>
              </w:rPr>
              <w:t>Private households</w:t>
            </w:r>
          </w:p>
        </w:tc>
        <w:tc>
          <w:tcPr>
            <w:tcW w:w="708" w:type="dxa"/>
            <w:shd w:val="clear" w:color="auto" w:fill="auto"/>
          </w:tcPr>
          <w:p w14:paraId="254A5DE5" w14:textId="2A4A6364" w:rsidR="000E5E8A" w:rsidRDefault="000E5E8A" w:rsidP="00CE7C36">
            <w:pPr>
              <w:spacing w:after="120" w:line="240" w:lineRule="auto"/>
              <w:jc w:val="center"/>
              <w:rPr>
                <w:rFonts w:ascii="Calibri" w:hAnsi="Calibri"/>
                <w:color w:val="000000"/>
              </w:rPr>
            </w:pPr>
            <w:r>
              <w:rPr>
                <w:rFonts w:ascii="Calibri" w:hAnsi="Calibri"/>
                <w:color w:val="000000"/>
              </w:rPr>
              <w:t>PHE</w:t>
            </w:r>
          </w:p>
        </w:tc>
        <w:tc>
          <w:tcPr>
            <w:tcW w:w="1727" w:type="dxa"/>
            <w:shd w:val="clear" w:color="auto" w:fill="auto"/>
          </w:tcPr>
          <w:p w14:paraId="3100CDE5" w14:textId="28A04C73" w:rsidR="000E5E8A" w:rsidRDefault="003B2F32" w:rsidP="00CE7C36">
            <w:pPr>
              <w:spacing w:after="120" w:line="240" w:lineRule="auto"/>
              <w:jc w:val="center"/>
            </w:pPr>
            <w:r>
              <w:t>P</w:t>
            </w:r>
          </w:p>
        </w:tc>
      </w:tr>
    </w:tbl>
    <w:p w14:paraId="64A30773" w14:textId="2EB54FFD" w:rsidR="00AD00A7" w:rsidRDefault="00AD00A7" w:rsidP="00AD00A7">
      <w:pPr>
        <w:pStyle w:val="NotesAbbreviations"/>
      </w:pPr>
      <w:r>
        <w:t>ADB = Asian Development Bank</w:t>
      </w:r>
      <w:r w:rsidR="001D3CF5">
        <w:t xml:space="preserve">. </w:t>
      </w:r>
    </w:p>
    <w:p w14:paraId="5D61C315" w14:textId="26129D00" w:rsidR="00AD00A7" w:rsidRDefault="00AD00A7" w:rsidP="00AD00A7">
      <w:pPr>
        <w:pStyle w:val="NotesBottom"/>
      </w:pPr>
      <w:r>
        <w:t xml:space="preserve">Source: </w:t>
      </w:r>
      <w:r>
        <w:tab/>
        <w:t xml:space="preserve">Asian Development Bank. Multiregional Input–Output Database. </w:t>
      </w:r>
      <w:r w:rsidRPr="0004229A">
        <w:t>https://mrio.adbx.online</w:t>
      </w:r>
      <w:r>
        <w:t xml:space="preserve"> (accessed 1 August 2021)</w:t>
      </w:r>
      <w:r w:rsidR="009467D7">
        <w:t>.</w:t>
      </w:r>
    </w:p>
    <w:sectPr w:rsidR="00AD00A7" w:rsidSect="00A63B35">
      <w:footerReference w:type="even" r:id="rId37"/>
      <w:footerReference w:type="default" r:id="rId3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53837" w14:textId="77777777" w:rsidR="006D1A9E" w:rsidRDefault="006D1A9E" w:rsidP="000A7ABA">
      <w:r>
        <w:separator/>
      </w:r>
    </w:p>
  </w:endnote>
  <w:endnote w:type="continuationSeparator" w:id="0">
    <w:p w14:paraId="5F651313" w14:textId="77777777" w:rsidR="006D1A9E" w:rsidRDefault="006D1A9E" w:rsidP="000A7ABA">
      <w:r>
        <w:continuationSeparator/>
      </w:r>
    </w:p>
  </w:endnote>
  <w:endnote w:type="continuationNotice" w:id="1">
    <w:p w14:paraId="78BCC7E5" w14:textId="77777777" w:rsidR="006D1A9E" w:rsidRDefault="006D1A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Ideal Sans Light">
    <w:altName w:val="Calibri"/>
    <w:panose1 w:val="020B0604020202020204"/>
    <w:charset w:val="00"/>
    <w:family w:val="modern"/>
    <w:notTrueType/>
    <w:pitch w:val="variable"/>
    <w:sig w:usb0="A10000FF" w:usb1="5000005B" w:usb2="00000000" w:usb3="00000000" w:csb0="0000009B"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0447322"/>
      <w:docPartObj>
        <w:docPartGallery w:val="Page Numbers (Bottom of Page)"/>
        <w:docPartUnique/>
      </w:docPartObj>
    </w:sdtPr>
    <w:sdtContent>
      <w:p w14:paraId="2746F20B" w14:textId="77777777" w:rsidR="00A30642" w:rsidRDefault="00A30642" w:rsidP="00DC58E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C04977" w14:textId="77777777" w:rsidR="00A30642" w:rsidRDefault="00A306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1408618"/>
      <w:docPartObj>
        <w:docPartGallery w:val="Page Numbers (Bottom of Page)"/>
        <w:docPartUnique/>
      </w:docPartObj>
    </w:sdtPr>
    <w:sdtContent>
      <w:p w14:paraId="67E1F321" w14:textId="77777777" w:rsidR="00A30642" w:rsidRDefault="00A30642" w:rsidP="00DC58E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39252F" w14:textId="77777777" w:rsidR="00A30642" w:rsidRDefault="00A306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20408" w14:textId="77777777" w:rsidR="006D1A9E" w:rsidRDefault="006D1A9E" w:rsidP="000A7ABA">
      <w:r>
        <w:separator/>
      </w:r>
    </w:p>
  </w:footnote>
  <w:footnote w:type="continuationSeparator" w:id="0">
    <w:p w14:paraId="4EE18EA8" w14:textId="77777777" w:rsidR="006D1A9E" w:rsidRDefault="006D1A9E" w:rsidP="000A7ABA">
      <w:r>
        <w:continuationSeparator/>
      </w:r>
    </w:p>
  </w:footnote>
  <w:footnote w:type="continuationNotice" w:id="1">
    <w:p w14:paraId="063258BC" w14:textId="77777777" w:rsidR="006D1A9E" w:rsidRDefault="006D1A9E"/>
  </w:footnote>
  <w:footnote w:id="2">
    <w:p w14:paraId="04C944E5" w14:textId="77777777" w:rsidR="00C30027" w:rsidRDefault="00C30027" w:rsidP="00C30027">
      <w:pPr>
        <w:pStyle w:val="FootnoteText"/>
      </w:pPr>
      <w:r>
        <w:rPr>
          <w:rStyle w:val="FootnoteReference"/>
        </w:rPr>
        <w:footnoteRef/>
      </w:r>
      <w:r>
        <w:t xml:space="preserve"> World Bank. </w:t>
      </w:r>
      <w:r w:rsidRPr="0069584D">
        <w:t>https://datahelpdesk.worldbank.org/knowledgebase/articles/906519-world-bank-country-and-lending-groups</w:t>
      </w:r>
      <w:r>
        <w:t xml:space="preserve"> (accessed 19 June 2023).</w:t>
      </w:r>
    </w:p>
  </w:footnote>
  <w:footnote w:id="3">
    <w:p w14:paraId="3864AE07" w14:textId="77777777" w:rsidR="00C30027" w:rsidRDefault="00C30027" w:rsidP="00C30027">
      <w:pPr>
        <w:pStyle w:val="FootnoteText"/>
      </w:pPr>
      <w:r>
        <w:rPr>
          <w:rStyle w:val="FootnoteReference"/>
        </w:rPr>
        <w:footnoteRef/>
      </w:r>
      <w:r>
        <w:t xml:space="preserve"> United Nations. Human Development Index. </w:t>
      </w:r>
      <w:r w:rsidRPr="00B1011E">
        <w:t>https://hdr.undp.org/data-center/human-development-index#/indicies/HDI</w:t>
      </w:r>
      <w:r>
        <w:t xml:space="preserve"> (accessed 22 June 2023).</w:t>
      </w:r>
    </w:p>
  </w:footnote>
  <w:footnote w:id="4">
    <w:p w14:paraId="3D0D2D06" w14:textId="77777777" w:rsidR="00C30027" w:rsidRDefault="00C30027" w:rsidP="00C30027">
      <w:pPr>
        <w:pStyle w:val="FootnoteText"/>
      </w:pPr>
      <w:r>
        <w:rPr>
          <w:rStyle w:val="FootnoteReference"/>
        </w:rPr>
        <w:footnoteRef/>
      </w:r>
      <w:r>
        <w:t xml:space="preserve"> BP. </w:t>
      </w:r>
      <w:r w:rsidRPr="003435C3">
        <w:rPr>
          <w:i/>
          <w:iCs/>
        </w:rPr>
        <w:t>Statistical Review of World Energy</w:t>
      </w:r>
      <w:r>
        <w:t xml:space="preserve"> </w:t>
      </w:r>
      <w:r w:rsidRPr="002F176A">
        <w:rPr>
          <w:i/>
          <w:iCs/>
        </w:rPr>
        <w:t>2022</w:t>
      </w:r>
      <w:r>
        <w:t xml:space="preserve">. </w:t>
      </w:r>
      <w:r w:rsidRPr="003435C3">
        <w:t>https://www.bp.com/en/global/corporate/energy-economics/statistical-review-of-world-energy/downloads.html</w:t>
      </w:r>
      <w:r>
        <w:t xml:space="preserve"> (accessed 21 June 2023).</w:t>
      </w:r>
    </w:p>
  </w:footnote>
  <w:footnote w:id="5">
    <w:p w14:paraId="3D8517AC" w14:textId="77777777" w:rsidR="00C30027" w:rsidRDefault="00C30027" w:rsidP="00C30027">
      <w:pPr>
        <w:pStyle w:val="FootnoteText"/>
      </w:pPr>
      <w:r>
        <w:rPr>
          <w:rStyle w:val="FootnoteReference"/>
        </w:rPr>
        <w:footnoteRef/>
      </w:r>
      <w:r>
        <w:t xml:space="preserve"> World Bank. World Development Indicators (May 2023). </w:t>
      </w:r>
      <w:r w:rsidRPr="002F176A">
        <w:t>https://data.worldbank.org/indicator/NY.GDP.MKTP.KN</w:t>
      </w:r>
      <w:r>
        <w:t xml:space="preserve"> (accessed 21 June 2023).</w:t>
      </w:r>
    </w:p>
  </w:footnote>
  <w:footnote w:id="6">
    <w:p w14:paraId="23135894" w14:textId="77777777" w:rsidR="00C30027" w:rsidRDefault="00C30027" w:rsidP="00C30027">
      <w:pPr>
        <w:pStyle w:val="FootnoteText"/>
      </w:pPr>
      <w:r>
        <w:rPr>
          <w:rStyle w:val="FootnoteReference"/>
        </w:rPr>
        <w:footnoteRef/>
      </w:r>
      <w:r>
        <w:t xml:space="preserve"> BP. </w:t>
      </w:r>
      <w:r w:rsidRPr="003435C3">
        <w:rPr>
          <w:i/>
          <w:iCs/>
        </w:rPr>
        <w:t>Statistical Review of World Energy</w:t>
      </w:r>
      <w:r>
        <w:t xml:space="preserve"> </w:t>
      </w:r>
      <w:r w:rsidRPr="002F176A">
        <w:rPr>
          <w:i/>
          <w:iCs/>
        </w:rPr>
        <w:t>2022</w:t>
      </w:r>
      <w:r>
        <w:t xml:space="preserve">. </w:t>
      </w:r>
      <w:r w:rsidRPr="003435C3">
        <w:t>https://www.bp.com/en/global/corporate/energy-economics/statistical-review-of-world-energy/downloads.html</w:t>
      </w:r>
      <w:r>
        <w:t xml:space="preserve"> (accessed 21 June 2023).</w:t>
      </w:r>
    </w:p>
  </w:footnote>
  <w:footnote w:id="7">
    <w:p w14:paraId="3839EC0D" w14:textId="77777777" w:rsidR="00C30027" w:rsidRDefault="00C30027" w:rsidP="00C30027">
      <w:pPr>
        <w:pStyle w:val="FootnoteText"/>
      </w:pPr>
      <w:r>
        <w:rPr>
          <w:rStyle w:val="FootnoteReference"/>
        </w:rPr>
        <w:footnoteRef/>
      </w:r>
      <w:r>
        <w:t xml:space="preserve"> BP. </w:t>
      </w:r>
      <w:r w:rsidRPr="003435C3">
        <w:rPr>
          <w:i/>
          <w:iCs/>
        </w:rPr>
        <w:t>Statistical Review of World Energy</w:t>
      </w:r>
      <w:r>
        <w:t xml:space="preserve"> </w:t>
      </w:r>
      <w:r w:rsidRPr="002F176A">
        <w:rPr>
          <w:i/>
          <w:iCs/>
        </w:rPr>
        <w:t>2022</w:t>
      </w:r>
      <w:r>
        <w:t xml:space="preserve">. </w:t>
      </w:r>
      <w:r w:rsidRPr="003435C3">
        <w:t>https://www.bp.com/en/global/corporate/energy-economics/statistical-review-of-world-energy/downloads.html</w:t>
      </w:r>
      <w:r>
        <w:t xml:space="preserve"> (accessed 21 June 2023).</w:t>
      </w:r>
    </w:p>
  </w:footnote>
  <w:footnote w:id="8">
    <w:p w14:paraId="28EC8F58" w14:textId="77777777" w:rsidR="00C30027" w:rsidRDefault="00C30027" w:rsidP="00C30027">
      <w:pPr>
        <w:pStyle w:val="FootnoteText"/>
      </w:pPr>
      <w:r>
        <w:rPr>
          <w:rStyle w:val="FootnoteReference"/>
        </w:rPr>
        <w:footnoteRef/>
      </w:r>
      <w:r>
        <w:t xml:space="preserve"> BP. </w:t>
      </w:r>
      <w:r w:rsidRPr="003435C3">
        <w:rPr>
          <w:i/>
          <w:iCs/>
        </w:rPr>
        <w:t>Statistical Review of World Energy</w:t>
      </w:r>
      <w:r>
        <w:t xml:space="preserve"> </w:t>
      </w:r>
      <w:r w:rsidRPr="002F176A">
        <w:rPr>
          <w:i/>
          <w:iCs/>
        </w:rPr>
        <w:t>2022</w:t>
      </w:r>
      <w:r>
        <w:t xml:space="preserve">. </w:t>
      </w:r>
      <w:r w:rsidRPr="003435C3">
        <w:t>https://www.bp.com/en/global/corporate/energy-economics/statistical-review-of-world-energy/downloads.html</w:t>
      </w:r>
      <w:r>
        <w:t xml:space="preserve"> (accessed 21 June 2023).</w:t>
      </w:r>
    </w:p>
  </w:footnote>
  <w:footnote w:id="9">
    <w:p w14:paraId="0C0B8AC3" w14:textId="548209AF" w:rsidR="00AB3605" w:rsidRDefault="00AB3605">
      <w:pPr>
        <w:pStyle w:val="FootnoteText"/>
      </w:pPr>
      <w:r>
        <w:rPr>
          <w:rStyle w:val="FootnoteReference"/>
        </w:rPr>
        <w:footnoteRef/>
      </w:r>
      <w:r>
        <w:t xml:space="preserve"> For an overview of the concept, see </w:t>
      </w:r>
      <w:r w:rsidR="001D7892">
        <w:t>Inomata</w:t>
      </w:r>
      <w:r>
        <w:t xml:space="preserve"> (2017).</w:t>
      </w:r>
    </w:p>
  </w:footnote>
  <w:footnote w:id="10">
    <w:p w14:paraId="1F4D070F" w14:textId="51417498" w:rsidR="007E7E47" w:rsidRDefault="007E7E47">
      <w:pPr>
        <w:pStyle w:val="FootnoteText"/>
      </w:pPr>
      <w:r>
        <w:rPr>
          <w:rStyle w:val="FootnoteReference"/>
        </w:rPr>
        <w:footnoteRef/>
      </w:r>
      <w:r>
        <w:t xml:space="preserve"> World Bank. Tcdata360. </w:t>
      </w:r>
      <w:r w:rsidRPr="007E7E47">
        <w:t xml:space="preserve">https://tcdata360.worldbank.org/indicators/TM.TAX.MRCH.WM.AR.ZS </w:t>
      </w:r>
      <w:r>
        <w:t>(accessed 29 September 2021).</w:t>
      </w:r>
    </w:p>
  </w:footnote>
  <w:footnote w:id="11">
    <w:p w14:paraId="75C3441D" w14:textId="6D843566" w:rsidR="002D6DDE" w:rsidRDefault="002D6DDE">
      <w:pPr>
        <w:pStyle w:val="FootnoteText"/>
      </w:pPr>
      <w:r>
        <w:rPr>
          <w:rStyle w:val="FootnoteReference"/>
        </w:rPr>
        <w:footnoteRef/>
      </w:r>
      <w:r>
        <w:t xml:space="preserve"> Chapter 3 discusses the difference between direct and indirect trading in greater detail.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35125042"/>
    <w:lvl w:ilvl="0">
      <w:start w:val="1"/>
      <w:numFmt w:val="decimal"/>
      <w:pStyle w:val="ListNumber"/>
      <w:lvlText w:val="%1."/>
      <w:lvlJc w:val="left"/>
      <w:pPr>
        <w:tabs>
          <w:tab w:val="num" w:pos="360"/>
        </w:tabs>
        <w:ind w:left="360" w:hanging="360"/>
      </w:pPr>
    </w:lvl>
  </w:abstractNum>
  <w:abstractNum w:abstractNumId="1" w15:restartNumberingAfterBreak="0">
    <w:nsid w:val="027C0998"/>
    <w:multiLevelType w:val="hybridMultilevel"/>
    <w:tmpl w:val="76F40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F03B5"/>
    <w:multiLevelType w:val="hybridMultilevel"/>
    <w:tmpl w:val="B75A6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9115E"/>
    <w:multiLevelType w:val="hybridMultilevel"/>
    <w:tmpl w:val="6FCE8FCE"/>
    <w:lvl w:ilvl="0" w:tplc="34090001">
      <w:start w:val="1"/>
      <w:numFmt w:val="bullet"/>
      <w:lvlText w:val=""/>
      <w:lvlJc w:val="left"/>
      <w:pPr>
        <w:ind w:left="720" w:hanging="360"/>
      </w:pPr>
      <w:rPr>
        <w:rFonts w:ascii="Symbol" w:hAnsi="Symbol" w:hint="default"/>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7CC4EC1"/>
    <w:multiLevelType w:val="hybridMultilevel"/>
    <w:tmpl w:val="F2A0AF68"/>
    <w:lvl w:ilvl="0" w:tplc="F0E8944E">
      <w:start w:val="1"/>
      <w:numFmt w:val="decimal"/>
      <w:lvlText w:val="%1"/>
      <w:lvlJc w:val="left"/>
      <w:pPr>
        <w:ind w:left="1220" w:hanging="8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F0724B"/>
    <w:multiLevelType w:val="hybridMultilevel"/>
    <w:tmpl w:val="FD3CA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DF1E97"/>
    <w:multiLevelType w:val="hybridMultilevel"/>
    <w:tmpl w:val="573E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92464"/>
    <w:multiLevelType w:val="hybridMultilevel"/>
    <w:tmpl w:val="BDA27C0E"/>
    <w:lvl w:ilvl="0" w:tplc="4314C77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4B5594"/>
    <w:multiLevelType w:val="hybridMultilevel"/>
    <w:tmpl w:val="3118B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AC6768"/>
    <w:multiLevelType w:val="multilevel"/>
    <w:tmpl w:val="3FFE5F8A"/>
    <w:styleLink w:val="CurrentList1"/>
    <w:lvl w:ilvl="0">
      <w:start w:val="1"/>
      <w:numFmt w:val="decimal"/>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3E54D3"/>
    <w:multiLevelType w:val="hybridMultilevel"/>
    <w:tmpl w:val="A402481A"/>
    <w:lvl w:ilvl="0" w:tplc="34090001">
      <w:start w:val="1"/>
      <w:numFmt w:val="bullet"/>
      <w:lvlText w:val=""/>
      <w:lvlJc w:val="left"/>
      <w:pPr>
        <w:ind w:left="720" w:hanging="360"/>
      </w:pPr>
      <w:rPr>
        <w:rFonts w:ascii="Symbol" w:hAnsi="Symbol" w:hint="default"/>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7757DEB"/>
    <w:multiLevelType w:val="multilevel"/>
    <w:tmpl w:val="573E50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C237432"/>
    <w:multiLevelType w:val="hybridMultilevel"/>
    <w:tmpl w:val="DBE8D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14A73"/>
    <w:multiLevelType w:val="hybridMultilevel"/>
    <w:tmpl w:val="D66CA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4D6A74"/>
    <w:multiLevelType w:val="hybridMultilevel"/>
    <w:tmpl w:val="C85E5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A2624A"/>
    <w:multiLevelType w:val="hybridMultilevel"/>
    <w:tmpl w:val="DCE49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C020E7"/>
    <w:multiLevelType w:val="multilevel"/>
    <w:tmpl w:val="58B6A8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1FF0B2C"/>
    <w:multiLevelType w:val="hybridMultilevel"/>
    <w:tmpl w:val="823CC6F8"/>
    <w:lvl w:ilvl="0" w:tplc="34090015">
      <w:start w:val="1"/>
      <w:numFmt w:val="upperLetter"/>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8" w15:restartNumberingAfterBreak="0">
    <w:nsid w:val="4B443016"/>
    <w:multiLevelType w:val="multilevel"/>
    <w:tmpl w:val="B0227708"/>
    <w:lvl w:ilvl="0">
      <w:start w:val="1"/>
      <w:numFmt w:val="decimal"/>
      <w:pStyle w:val="Heading1"/>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1AB5A8B"/>
    <w:multiLevelType w:val="hybridMultilevel"/>
    <w:tmpl w:val="3DA2C5B4"/>
    <w:lvl w:ilvl="0" w:tplc="434C41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D76862"/>
    <w:multiLevelType w:val="multilevel"/>
    <w:tmpl w:val="0A1C20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2423E95"/>
    <w:multiLevelType w:val="hybridMultilevel"/>
    <w:tmpl w:val="2C2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AF6C48"/>
    <w:multiLevelType w:val="hybridMultilevel"/>
    <w:tmpl w:val="1D8A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0A6A5B"/>
    <w:multiLevelType w:val="hybridMultilevel"/>
    <w:tmpl w:val="3B209CA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6E2C45"/>
    <w:multiLevelType w:val="hybridMultilevel"/>
    <w:tmpl w:val="0AD4A5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6CBD4D6B"/>
    <w:multiLevelType w:val="multilevel"/>
    <w:tmpl w:val="1B88AC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E97953"/>
    <w:multiLevelType w:val="hybridMultilevel"/>
    <w:tmpl w:val="8D8A9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10318E"/>
    <w:multiLevelType w:val="hybridMultilevel"/>
    <w:tmpl w:val="B83E9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14075A"/>
    <w:multiLevelType w:val="multilevel"/>
    <w:tmpl w:val="8FA41C24"/>
    <w:styleLink w:val="CurrentList2"/>
    <w:lvl w:ilvl="0">
      <w:start w:val="1"/>
      <w:numFmt w:val="decimal"/>
      <w:lvlText w:val="%1"/>
      <w:lvlJc w:val="left"/>
      <w:pPr>
        <w:tabs>
          <w:tab w:val="num" w:pos="851"/>
        </w:tabs>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90347FE"/>
    <w:multiLevelType w:val="hybridMultilevel"/>
    <w:tmpl w:val="D8365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0D676D"/>
    <w:multiLevelType w:val="hybridMultilevel"/>
    <w:tmpl w:val="60A62354"/>
    <w:lvl w:ilvl="0" w:tplc="D02EFAC6">
      <w:start w:val="1"/>
      <w:numFmt w:val="decimal"/>
      <w:lvlText w:val="%1."/>
      <w:lvlJc w:val="left"/>
      <w:pPr>
        <w:ind w:left="720" w:hanging="360"/>
      </w:pPr>
      <w:rPr>
        <w:rFonts w:ascii="Calibri" w:hAnsi="Calibri" w:cs="Calibri"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4427D3"/>
    <w:multiLevelType w:val="hybridMultilevel"/>
    <w:tmpl w:val="ECD2F28A"/>
    <w:lvl w:ilvl="0" w:tplc="0409000F">
      <w:start w:val="1"/>
      <w:numFmt w:val="decimal"/>
      <w:lvlText w:val="%1."/>
      <w:lvlJc w:val="left"/>
      <w:pPr>
        <w:ind w:left="3659" w:hanging="360"/>
      </w:pPr>
    </w:lvl>
    <w:lvl w:ilvl="1" w:tplc="04090019" w:tentative="1">
      <w:start w:val="1"/>
      <w:numFmt w:val="lowerLetter"/>
      <w:lvlText w:val="%2."/>
      <w:lvlJc w:val="left"/>
      <w:pPr>
        <w:ind w:left="4379" w:hanging="360"/>
      </w:pPr>
    </w:lvl>
    <w:lvl w:ilvl="2" w:tplc="0409001B" w:tentative="1">
      <w:start w:val="1"/>
      <w:numFmt w:val="lowerRoman"/>
      <w:lvlText w:val="%3."/>
      <w:lvlJc w:val="right"/>
      <w:pPr>
        <w:ind w:left="5099" w:hanging="180"/>
      </w:pPr>
    </w:lvl>
    <w:lvl w:ilvl="3" w:tplc="0409000F" w:tentative="1">
      <w:start w:val="1"/>
      <w:numFmt w:val="decimal"/>
      <w:lvlText w:val="%4."/>
      <w:lvlJc w:val="left"/>
      <w:pPr>
        <w:ind w:left="5819" w:hanging="360"/>
      </w:pPr>
    </w:lvl>
    <w:lvl w:ilvl="4" w:tplc="04090019" w:tentative="1">
      <w:start w:val="1"/>
      <w:numFmt w:val="lowerLetter"/>
      <w:lvlText w:val="%5."/>
      <w:lvlJc w:val="left"/>
      <w:pPr>
        <w:ind w:left="6539" w:hanging="360"/>
      </w:pPr>
    </w:lvl>
    <w:lvl w:ilvl="5" w:tplc="0409001B" w:tentative="1">
      <w:start w:val="1"/>
      <w:numFmt w:val="lowerRoman"/>
      <w:lvlText w:val="%6."/>
      <w:lvlJc w:val="right"/>
      <w:pPr>
        <w:ind w:left="7259" w:hanging="180"/>
      </w:pPr>
    </w:lvl>
    <w:lvl w:ilvl="6" w:tplc="0409000F" w:tentative="1">
      <w:start w:val="1"/>
      <w:numFmt w:val="decimal"/>
      <w:lvlText w:val="%7."/>
      <w:lvlJc w:val="left"/>
      <w:pPr>
        <w:ind w:left="7979" w:hanging="360"/>
      </w:pPr>
    </w:lvl>
    <w:lvl w:ilvl="7" w:tplc="04090019" w:tentative="1">
      <w:start w:val="1"/>
      <w:numFmt w:val="lowerLetter"/>
      <w:lvlText w:val="%8."/>
      <w:lvlJc w:val="left"/>
      <w:pPr>
        <w:ind w:left="8699" w:hanging="360"/>
      </w:pPr>
    </w:lvl>
    <w:lvl w:ilvl="8" w:tplc="0409001B" w:tentative="1">
      <w:start w:val="1"/>
      <w:numFmt w:val="lowerRoman"/>
      <w:lvlText w:val="%9."/>
      <w:lvlJc w:val="right"/>
      <w:pPr>
        <w:ind w:left="9419" w:hanging="180"/>
      </w:pPr>
    </w:lvl>
  </w:abstractNum>
  <w:num w:numId="1" w16cid:durableId="285935868">
    <w:abstractNumId w:val="19"/>
  </w:num>
  <w:num w:numId="2" w16cid:durableId="939095939">
    <w:abstractNumId w:val="3"/>
  </w:num>
  <w:num w:numId="3" w16cid:durableId="1553808499">
    <w:abstractNumId w:val="10"/>
  </w:num>
  <w:num w:numId="4" w16cid:durableId="1948388785">
    <w:abstractNumId w:val="17"/>
  </w:num>
  <w:num w:numId="5" w16cid:durableId="1505826104">
    <w:abstractNumId w:val="5"/>
  </w:num>
  <w:num w:numId="6" w16cid:durableId="1602029842">
    <w:abstractNumId w:val="25"/>
  </w:num>
  <w:num w:numId="7" w16cid:durableId="201675666">
    <w:abstractNumId w:val="20"/>
  </w:num>
  <w:num w:numId="8" w16cid:durableId="1230655949">
    <w:abstractNumId w:val="24"/>
  </w:num>
  <w:num w:numId="9" w16cid:durableId="1243485774">
    <w:abstractNumId w:val="27"/>
  </w:num>
  <w:num w:numId="10" w16cid:durableId="1922834334">
    <w:abstractNumId w:val="8"/>
  </w:num>
  <w:num w:numId="11" w16cid:durableId="1784348784">
    <w:abstractNumId w:val="14"/>
  </w:num>
  <w:num w:numId="12" w16cid:durableId="561136826">
    <w:abstractNumId w:val="16"/>
  </w:num>
  <w:num w:numId="13" w16cid:durableId="1784349119">
    <w:abstractNumId w:val="29"/>
  </w:num>
  <w:num w:numId="14" w16cid:durableId="1144394356">
    <w:abstractNumId w:val="7"/>
  </w:num>
  <w:num w:numId="15" w16cid:durableId="1881093268">
    <w:abstractNumId w:val="21"/>
  </w:num>
  <w:num w:numId="16" w16cid:durableId="948390451">
    <w:abstractNumId w:val="4"/>
  </w:num>
  <w:num w:numId="17" w16cid:durableId="443965785">
    <w:abstractNumId w:val="23"/>
  </w:num>
  <w:num w:numId="18" w16cid:durableId="625626212">
    <w:abstractNumId w:val="6"/>
  </w:num>
  <w:num w:numId="19" w16cid:durableId="1079181474">
    <w:abstractNumId w:val="12"/>
  </w:num>
  <w:num w:numId="20" w16cid:durableId="2028553475">
    <w:abstractNumId w:val="26"/>
  </w:num>
  <w:num w:numId="21" w16cid:durableId="135101269">
    <w:abstractNumId w:val="11"/>
  </w:num>
  <w:num w:numId="22" w16cid:durableId="2088304920">
    <w:abstractNumId w:val="15"/>
  </w:num>
  <w:num w:numId="23" w16cid:durableId="226502642">
    <w:abstractNumId w:val="2"/>
  </w:num>
  <w:num w:numId="24" w16cid:durableId="1790393881">
    <w:abstractNumId w:val="18"/>
  </w:num>
  <w:num w:numId="25" w16cid:durableId="679820359">
    <w:abstractNumId w:val="1"/>
  </w:num>
  <w:num w:numId="26" w16cid:durableId="1577283120">
    <w:abstractNumId w:val="9"/>
  </w:num>
  <w:num w:numId="27" w16cid:durableId="142701676">
    <w:abstractNumId w:val="28"/>
  </w:num>
  <w:num w:numId="28" w16cid:durableId="954210363">
    <w:abstractNumId w:val="13"/>
  </w:num>
  <w:num w:numId="29" w16cid:durableId="493421567">
    <w:abstractNumId w:val="31"/>
  </w:num>
  <w:num w:numId="30" w16cid:durableId="1730806031">
    <w:abstractNumId w:val="30"/>
  </w:num>
  <w:num w:numId="31" w16cid:durableId="1533958630">
    <w:abstractNumId w:val="0"/>
  </w:num>
  <w:num w:numId="32" w16cid:durableId="158676545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67A"/>
    <w:rsid w:val="000000F5"/>
    <w:rsid w:val="00000196"/>
    <w:rsid w:val="000004D7"/>
    <w:rsid w:val="000005A8"/>
    <w:rsid w:val="000005F2"/>
    <w:rsid w:val="00000DAC"/>
    <w:rsid w:val="00000DCD"/>
    <w:rsid w:val="00000E00"/>
    <w:rsid w:val="00001050"/>
    <w:rsid w:val="000013EA"/>
    <w:rsid w:val="000017F2"/>
    <w:rsid w:val="00002AAD"/>
    <w:rsid w:val="00002ADC"/>
    <w:rsid w:val="00002B93"/>
    <w:rsid w:val="00002CE1"/>
    <w:rsid w:val="0000397F"/>
    <w:rsid w:val="00003FC4"/>
    <w:rsid w:val="0000608E"/>
    <w:rsid w:val="0000766B"/>
    <w:rsid w:val="0000796E"/>
    <w:rsid w:val="00007BAF"/>
    <w:rsid w:val="00007D5C"/>
    <w:rsid w:val="00007ED2"/>
    <w:rsid w:val="000101F4"/>
    <w:rsid w:val="00010AEE"/>
    <w:rsid w:val="00010CAE"/>
    <w:rsid w:val="00010D4C"/>
    <w:rsid w:val="00010D98"/>
    <w:rsid w:val="000110DA"/>
    <w:rsid w:val="00011203"/>
    <w:rsid w:val="0001134B"/>
    <w:rsid w:val="0001193B"/>
    <w:rsid w:val="00011BEC"/>
    <w:rsid w:val="000131B6"/>
    <w:rsid w:val="00013F74"/>
    <w:rsid w:val="0001540C"/>
    <w:rsid w:val="000160F3"/>
    <w:rsid w:val="0001677E"/>
    <w:rsid w:val="0001728D"/>
    <w:rsid w:val="00017557"/>
    <w:rsid w:val="000177AD"/>
    <w:rsid w:val="00017DB6"/>
    <w:rsid w:val="00017EDF"/>
    <w:rsid w:val="00020686"/>
    <w:rsid w:val="00020C57"/>
    <w:rsid w:val="00021141"/>
    <w:rsid w:val="0002125D"/>
    <w:rsid w:val="000217B1"/>
    <w:rsid w:val="00021866"/>
    <w:rsid w:val="0002189C"/>
    <w:rsid w:val="00021B40"/>
    <w:rsid w:val="0002331E"/>
    <w:rsid w:val="0002345A"/>
    <w:rsid w:val="00023C21"/>
    <w:rsid w:val="00023FB5"/>
    <w:rsid w:val="000243D1"/>
    <w:rsid w:val="000247A3"/>
    <w:rsid w:val="00024C31"/>
    <w:rsid w:val="00024E4D"/>
    <w:rsid w:val="000250BF"/>
    <w:rsid w:val="00025118"/>
    <w:rsid w:val="00025187"/>
    <w:rsid w:val="00025264"/>
    <w:rsid w:val="000254D0"/>
    <w:rsid w:val="0002553E"/>
    <w:rsid w:val="00025F26"/>
    <w:rsid w:val="00026248"/>
    <w:rsid w:val="000262BD"/>
    <w:rsid w:val="00027431"/>
    <w:rsid w:val="00027486"/>
    <w:rsid w:val="00027622"/>
    <w:rsid w:val="00027846"/>
    <w:rsid w:val="000304F5"/>
    <w:rsid w:val="0003083A"/>
    <w:rsid w:val="000309EA"/>
    <w:rsid w:val="00030B5C"/>
    <w:rsid w:val="00030EFA"/>
    <w:rsid w:val="0003188A"/>
    <w:rsid w:val="00031B87"/>
    <w:rsid w:val="00031EA7"/>
    <w:rsid w:val="00032004"/>
    <w:rsid w:val="0003387E"/>
    <w:rsid w:val="00033FEA"/>
    <w:rsid w:val="00034079"/>
    <w:rsid w:val="000341E1"/>
    <w:rsid w:val="00034F98"/>
    <w:rsid w:val="000350BD"/>
    <w:rsid w:val="000350CE"/>
    <w:rsid w:val="000353D2"/>
    <w:rsid w:val="00036339"/>
    <w:rsid w:val="00036524"/>
    <w:rsid w:val="00036543"/>
    <w:rsid w:val="0003665A"/>
    <w:rsid w:val="00036A8C"/>
    <w:rsid w:val="0003717F"/>
    <w:rsid w:val="00037742"/>
    <w:rsid w:val="00037A11"/>
    <w:rsid w:val="00037BFD"/>
    <w:rsid w:val="0004043F"/>
    <w:rsid w:val="0004050E"/>
    <w:rsid w:val="0004079F"/>
    <w:rsid w:val="000408E3"/>
    <w:rsid w:val="00040971"/>
    <w:rsid w:val="00041076"/>
    <w:rsid w:val="00041D3F"/>
    <w:rsid w:val="0004227A"/>
    <w:rsid w:val="0004229A"/>
    <w:rsid w:val="0004299D"/>
    <w:rsid w:val="00043CA9"/>
    <w:rsid w:val="00043DF2"/>
    <w:rsid w:val="00044141"/>
    <w:rsid w:val="0004435B"/>
    <w:rsid w:val="000444B4"/>
    <w:rsid w:val="00044F8C"/>
    <w:rsid w:val="00046A9A"/>
    <w:rsid w:val="00046B0E"/>
    <w:rsid w:val="00047374"/>
    <w:rsid w:val="0004750C"/>
    <w:rsid w:val="00047B0C"/>
    <w:rsid w:val="00047B44"/>
    <w:rsid w:val="00051419"/>
    <w:rsid w:val="000514DD"/>
    <w:rsid w:val="00051658"/>
    <w:rsid w:val="00052A9C"/>
    <w:rsid w:val="000534D7"/>
    <w:rsid w:val="00053812"/>
    <w:rsid w:val="000539A9"/>
    <w:rsid w:val="000539C6"/>
    <w:rsid w:val="00053BD2"/>
    <w:rsid w:val="00054551"/>
    <w:rsid w:val="00054572"/>
    <w:rsid w:val="00054A1A"/>
    <w:rsid w:val="0005564D"/>
    <w:rsid w:val="00055CC1"/>
    <w:rsid w:val="0005626B"/>
    <w:rsid w:val="00056690"/>
    <w:rsid w:val="00056F95"/>
    <w:rsid w:val="00057296"/>
    <w:rsid w:val="0005757A"/>
    <w:rsid w:val="00060952"/>
    <w:rsid w:val="00060B95"/>
    <w:rsid w:val="00060E24"/>
    <w:rsid w:val="00060F0C"/>
    <w:rsid w:val="0006145D"/>
    <w:rsid w:val="00061E17"/>
    <w:rsid w:val="00062A98"/>
    <w:rsid w:val="00063182"/>
    <w:rsid w:val="00063602"/>
    <w:rsid w:val="0006393C"/>
    <w:rsid w:val="00063D73"/>
    <w:rsid w:val="00063F7D"/>
    <w:rsid w:val="0006472C"/>
    <w:rsid w:val="00064C79"/>
    <w:rsid w:val="00064E13"/>
    <w:rsid w:val="00067091"/>
    <w:rsid w:val="00067456"/>
    <w:rsid w:val="00067C43"/>
    <w:rsid w:val="000713D7"/>
    <w:rsid w:val="00071542"/>
    <w:rsid w:val="00071D72"/>
    <w:rsid w:val="00072A58"/>
    <w:rsid w:val="00072F3F"/>
    <w:rsid w:val="0007311A"/>
    <w:rsid w:val="00073285"/>
    <w:rsid w:val="000734C2"/>
    <w:rsid w:val="00073564"/>
    <w:rsid w:val="000750EA"/>
    <w:rsid w:val="00075CC4"/>
    <w:rsid w:val="00076330"/>
    <w:rsid w:val="00076620"/>
    <w:rsid w:val="00076BAB"/>
    <w:rsid w:val="00076CB8"/>
    <w:rsid w:val="00076E5C"/>
    <w:rsid w:val="0007704B"/>
    <w:rsid w:val="00077604"/>
    <w:rsid w:val="000779E8"/>
    <w:rsid w:val="00077F0A"/>
    <w:rsid w:val="000807A4"/>
    <w:rsid w:val="00080D88"/>
    <w:rsid w:val="000811CF"/>
    <w:rsid w:val="000814AB"/>
    <w:rsid w:val="00082183"/>
    <w:rsid w:val="00083AC8"/>
    <w:rsid w:val="00084453"/>
    <w:rsid w:val="000850CB"/>
    <w:rsid w:val="00085266"/>
    <w:rsid w:val="000853A4"/>
    <w:rsid w:val="00085541"/>
    <w:rsid w:val="000855D6"/>
    <w:rsid w:val="00085886"/>
    <w:rsid w:val="00085CAB"/>
    <w:rsid w:val="000864A9"/>
    <w:rsid w:val="00086D94"/>
    <w:rsid w:val="0008717E"/>
    <w:rsid w:val="0009024D"/>
    <w:rsid w:val="0009054A"/>
    <w:rsid w:val="000907BE"/>
    <w:rsid w:val="0009141D"/>
    <w:rsid w:val="00091E82"/>
    <w:rsid w:val="00092111"/>
    <w:rsid w:val="00092569"/>
    <w:rsid w:val="000928DE"/>
    <w:rsid w:val="00093232"/>
    <w:rsid w:val="00093686"/>
    <w:rsid w:val="00094052"/>
    <w:rsid w:val="000948CC"/>
    <w:rsid w:val="000948FC"/>
    <w:rsid w:val="00094E44"/>
    <w:rsid w:val="00095783"/>
    <w:rsid w:val="00096161"/>
    <w:rsid w:val="000965FD"/>
    <w:rsid w:val="000975DF"/>
    <w:rsid w:val="00097608"/>
    <w:rsid w:val="000A0298"/>
    <w:rsid w:val="000A047C"/>
    <w:rsid w:val="000A0F65"/>
    <w:rsid w:val="000A153F"/>
    <w:rsid w:val="000A17ED"/>
    <w:rsid w:val="000A1A52"/>
    <w:rsid w:val="000A1F24"/>
    <w:rsid w:val="000A25BD"/>
    <w:rsid w:val="000A27AF"/>
    <w:rsid w:val="000A27CA"/>
    <w:rsid w:val="000A2845"/>
    <w:rsid w:val="000A316E"/>
    <w:rsid w:val="000A46E1"/>
    <w:rsid w:val="000A4EC3"/>
    <w:rsid w:val="000A542A"/>
    <w:rsid w:val="000A5477"/>
    <w:rsid w:val="000A55B9"/>
    <w:rsid w:val="000A59C9"/>
    <w:rsid w:val="000A6315"/>
    <w:rsid w:val="000A631C"/>
    <w:rsid w:val="000A6545"/>
    <w:rsid w:val="000A739C"/>
    <w:rsid w:val="000A7981"/>
    <w:rsid w:val="000A7ABA"/>
    <w:rsid w:val="000A7CF7"/>
    <w:rsid w:val="000B090C"/>
    <w:rsid w:val="000B1030"/>
    <w:rsid w:val="000B15AA"/>
    <w:rsid w:val="000B1AD5"/>
    <w:rsid w:val="000B2115"/>
    <w:rsid w:val="000B2301"/>
    <w:rsid w:val="000B26CA"/>
    <w:rsid w:val="000B2C23"/>
    <w:rsid w:val="000B321F"/>
    <w:rsid w:val="000B3972"/>
    <w:rsid w:val="000B39BC"/>
    <w:rsid w:val="000B3A08"/>
    <w:rsid w:val="000B4079"/>
    <w:rsid w:val="000B431A"/>
    <w:rsid w:val="000B46E5"/>
    <w:rsid w:val="000B4D19"/>
    <w:rsid w:val="000B584C"/>
    <w:rsid w:val="000B5FC9"/>
    <w:rsid w:val="000B6159"/>
    <w:rsid w:val="000B61ED"/>
    <w:rsid w:val="000B768B"/>
    <w:rsid w:val="000C02ED"/>
    <w:rsid w:val="000C058E"/>
    <w:rsid w:val="000C0FA8"/>
    <w:rsid w:val="000C10DF"/>
    <w:rsid w:val="000C142A"/>
    <w:rsid w:val="000C142F"/>
    <w:rsid w:val="000C1664"/>
    <w:rsid w:val="000C1CEC"/>
    <w:rsid w:val="000C23AB"/>
    <w:rsid w:val="000C2430"/>
    <w:rsid w:val="000C28EE"/>
    <w:rsid w:val="000C2D84"/>
    <w:rsid w:val="000C3264"/>
    <w:rsid w:val="000C383A"/>
    <w:rsid w:val="000C3A45"/>
    <w:rsid w:val="000C40D7"/>
    <w:rsid w:val="000C4C95"/>
    <w:rsid w:val="000C5C0B"/>
    <w:rsid w:val="000C5C28"/>
    <w:rsid w:val="000C5E1F"/>
    <w:rsid w:val="000C61C2"/>
    <w:rsid w:val="000C6414"/>
    <w:rsid w:val="000C7739"/>
    <w:rsid w:val="000C7FA0"/>
    <w:rsid w:val="000D0313"/>
    <w:rsid w:val="000D055C"/>
    <w:rsid w:val="000D0664"/>
    <w:rsid w:val="000D0D3C"/>
    <w:rsid w:val="000D0FEC"/>
    <w:rsid w:val="000D1163"/>
    <w:rsid w:val="000D1507"/>
    <w:rsid w:val="000D1661"/>
    <w:rsid w:val="000D16DA"/>
    <w:rsid w:val="000D17C9"/>
    <w:rsid w:val="000D1894"/>
    <w:rsid w:val="000D29C7"/>
    <w:rsid w:val="000D389F"/>
    <w:rsid w:val="000D3BAF"/>
    <w:rsid w:val="000D3F27"/>
    <w:rsid w:val="000D491C"/>
    <w:rsid w:val="000D4991"/>
    <w:rsid w:val="000D51DC"/>
    <w:rsid w:val="000D5426"/>
    <w:rsid w:val="000D5438"/>
    <w:rsid w:val="000D5BD1"/>
    <w:rsid w:val="000D5E2C"/>
    <w:rsid w:val="000D61DB"/>
    <w:rsid w:val="000D6320"/>
    <w:rsid w:val="000D632F"/>
    <w:rsid w:val="000D6816"/>
    <w:rsid w:val="000D6DAB"/>
    <w:rsid w:val="000D7B68"/>
    <w:rsid w:val="000D7DC0"/>
    <w:rsid w:val="000E008A"/>
    <w:rsid w:val="000E0CBB"/>
    <w:rsid w:val="000E0EDF"/>
    <w:rsid w:val="000E0F2F"/>
    <w:rsid w:val="000E125A"/>
    <w:rsid w:val="000E1B14"/>
    <w:rsid w:val="000E1BA6"/>
    <w:rsid w:val="000E1CCD"/>
    <w:rsid w:val="000E2552"/>
    <w:rsid w:val="000E29FC"/>
    <w:rsid w:val="000E3350"/>
    <w:rsid w:val="000E36BA"/>
    <w:rsid w:val="000E384D"/>
    <w:rsid w:val="000E4A38"/>
    <w:rsid w:val="000E4B78"/>
    <w:rsid w:val="000E51D4"/>
    <w:rsid w:val="000E527C"/>
    <w:rsid w:val="000E57C7"/>
    <w:rsid w:val="000E5D17"/>
    <w:rsid w:val="000E5E8A"/>
    <w:rsid w:val="000E5F81"/>
    <w:rsid w:val="000E667B"/>
    <w:rsid w:val="000E670E"/>
    <w:rsid w:val="000E6CEF"/>
    <w:rsid w:val="000E6F29"/>
    <w:rsid w:val="000E78DE"/>
    <w:rsid w:val="000E7A76"/>
    <w:rsid w:val="000E7BC1"/>
    <w:rsid w:val="000F0701"/>
    <w:rsid w:val="000F0E56"/>
    <w:rsid w:val="000F1159"/>
    <w:rsid w:val="000F11FC"/>
    <w:rsid w:val="000F1841"/>
    <w:rsid w:val="000F18E3"/>
    <w:rsid w:val="000F1A92"/>
    <w:rsid w:val="000F2654"/>
    <w:rsid w:val="000F26DB"/>
    <w:rsid w:val="000F2FE3"/>
    <w:rsid w:val="000F324F"/>
    <w:rsid w:val="000F3637"/>
    <w:rsid w:val="000F3B4A"/>
    <w:rsid w:val="000F4BCD"/>
    <w:rsid w:val="000F4D32"/>
    <w:rsid w:val="000F5408"/>
    <w:rsid w:val="000F5C64"/>
    <w:rsid w:val="000F6076"/>
    <w:rsid w:val="000F62BB"/>
    <w:rsid w:val="000F65A0"/>
    <w:rsid w:val="000F69DD"/>
    <w:rsid w:val="000F6C8D"/>
    <w:rsid w:val="000F72C2"/>
    <w:rsid w:val="000F7377"/>
    <w:rsid w:val="000F74FB"/>
    <w:rsid w:val="000F7920"/>
    <w:rsid w:val="000F7C72"/>
    <w:rsid w:val="001005DA"/>
    <w:rsid w:val="00100678"/>
    <w:rsid w:val="0010069F"/>
    <w:rsid w:val="0010077B"/>
    <w:rsid w:val="001014A4"/>
    <w:rsid w:val="001014CA"/>
    <w:rsid w:val="001018A3"/>
    <w:rsid w:val="00101F69"/>
    <w:rsid w:val="00102808"/>
    <w:rsid w:val="00103454"/>
    <w:rsid w:val="00103C0F"/>
    <w:rsid w:val="001062EF"/>
    <w:rsid w:val="0010631B"/>
    <w:rsid w:val="001066C5"/>
    <w:rsid w:val="00106B34"/>
    <w:rsid w:val="00106D98"/>
    <w:rsid w:val="00106FD5"/>
    <w:rsid w:val="00107006"/>
    <w:rsid w:val="001078A4"/>
    <w:rsid w:val="00107BD0"/>
    <w:rsid w:val="00107FBC"/>
    <w:rsid w:val="0011123B"/>
    <w:rsid w:val="001117CC"/>
    <w:rsid w:val="0011269A"/>
    <w:rsid w:val="00113299"/>
    <w:rsid w:val="00113EB1"/>
    <w:rsid w:val="00114171"/>
    <w:rsid w:val="00114763"/>
    <w:rsid w:val="001149FC"/>
    <w:rsid w:val="00114DC2"/>
    <w:rsid w:val="00114EA2"/>
    <w:rsid w:val="0011512A"/>
    <w:rsid w:val="00115676"/>
    <w:rsid w:val="001158B8"/>
    <w:rsid w:val="00115C3B"/>
    <w:rsid w:val="00115D74"/>
    <w:rsid w:val="00116209"/>
    <w:rsid w:val="00116553"/>
    <w:rsid w:val="0011665E"/>
    <w:rsid w:val="001168D8"/>
    <w:rsid w:val="00116B4C"/>
    <w:rsid w:val="00116F12"/>
    <w:rsid w:val="0011776B"/>
    <w:rsid w:val="00120064"/>
    <w:rsid w:val="00120274"/>
    <w:rsid w:val="00120932"/>
    <w:rsid w:val="001209FD"/>
    <w:rsid w:val="00120D6F"/>
    <w:rsid w:val="00121366"/>
    <w:rsid w:val="001214CC"/>
    <w:rsid w:val="00121953"/>
    <w:rsid w:val="00122593"/>
    <w:rsid w:val="00122985"/>
    <w:rsid w:val="00123110"/>
    <w:rsid w:val="001231C9"/>
    <w:rsid w:val="00123849"/>
    <w:rsid w:val="00123BFD"/>
    <w:rsid w:val="00123CD9"/>
    <w:rsid w:val="00123D7D"/>
    <w:rsid w:val="001241A4"/>
    <w:rsid w:val="001244D2"/>
    <w:rsid w:val="001249FA"/>
    <w:rsid w:val="00124DCD"/>
    <w:rsid w:val="00124E17"/>
    <w:rsid w:val="001256F0"/>
    <w:rsid w:val="00125763"/>
    <w:rsid w:val="00125897"/>
    <w:rsid w:val="00125E8F"/>
    <w:rsid w:val="00127799"/>
    <w:rsid w:val="00127ACB"/>
    <w:rsid w:val="00127BA7"/>
    <w:rsid w:val="001304E4"/>
    <w:rsid w:val="00131034"/>
    <w:rsid w:val="001317D7"/>
    <w:rsid w:val="0013195E"/>
    <w:rsid w:val="00131DFD"/>
    <w:rsid w:val="001320E5"/>
    <w:rsid w:val="001329BC"/>
    <w:rsid w:val="00132B7B"/>
    <w:rsid w:val="00132C24"/>
    <w:rsid w:val="00132C9D"/>
    <w:rsid w:val="0013345E"/>
    <w:rsid w:val="001337DF"/>
    <w:rsid w:val="00133A6B"/>
    <w:rsid w:val="00133B12"/>
    <w:rsid w:val="0013444D"/>
    <w:rsid w:val="001345C3"/>
    <w:rsid w:val="001350CC"/>
    <w:rsid w:val="00135197"/>
    <w:rsid w:val="001355E2"/>
    <w:rsid w:val="0013562D"/>
    <w:rsid w:val="00135E17"/>
    <w:rsid w:val="001364D8"/>
    <w:rsid w:val="0013667A"/>
    <w:rsid w:val="001367C5"/>
    <w:rsid w:val="00136800"/>
    <w:rsid w:val="00136B92"/>
    <w:rsid w:val="00137B20"/>
    <w:rsid w:val="00137E0F"/>
    <w:rsid w:val="00140FC3"/>
    <w:rsid w:val="00140FC4"/>
    <w:rsid w:val="00141347"/>
    <w:rsid w:val="00141B1B"/>
    <w:rsid w:val="001422B4"/>
    <w:rsid w:val="0014255D"/>
    <w:rsid w:val="00142870"/>
    <w:rsid w:val="00142BB8"/>
    <w:rsid w:val="00142E11"/>
    <w:rsid w:val="00143221"/>
    <w:rsid w:val="00143754"/>
    <w:rsid w:val="00143A11"/>
    <w:rsid w:val="00143AF4"/>
    <w:rsid w:val="00143D56"/>
    <w:rsid w:val="0014444C"/>
    <w:rsid w:val="00144529"/>
    <w:rsid w:val="001452ED"/>
    <w:rsid w:val="001457CC"/>
    <w:rsid w:val="00147EE8"/>
    <w:rsid w:val="001508A2"/>
    <w:rsid w:val="00150AB9"/>
    <w:rsid w:val="00151482"/>
    <w:rsid w:val="00151576"/>
    <w:rsid w:val="00152167"/>
    <w:rsid w:val="0015317A"/>
    <w:rsid w:val="00153631"/>
    <w:rsid w:val="00153867"/>
    <w:rsid w:val="00153DBD"/>
    <w:rsid w:val="00154985"/>
    <w:rsid w:val="00155017"/>
    <w:rsid w:val="001555F9"/>
    <w:rsid w:val="00156BF3"/>
    <w:rsid w:val="00156C7C"/>
    <w:rsid w:val="001571AD"/>
    <w:rsid w:val="00160488"/>
    <w:rsid w:val="00160639"/>
    <w:rsid w:val="001618EB"/>
    <w:rsid w:val="00161CEE"/>
    <w:rsid w:val="00161F19"/>
    <w:rsid w:val="001622DC"/>
    <w:rsid w:val="00162760"/>
    <w:rsid w:val="001628BD"/>
    <w:rsid w:val="0016364D"/>
    <w:rsid w:val="00163B8F"/>
    <w:rsid w:val="00163CDB"/>
    <w:rsid w:val="0016402C"/>
    <w:rsid w:val="001641B9"/>
    <w:rsid w:val="0016482A"/>
    <w:rsid w:val="00164871"/>
    <w:rsid w:val="001648C5"/>
    <w:rsid w:val="0016498C"/>
    <w:rsid w:val="00164A98"/>
    <w:rsid w:val="00164F5D"/>
    <w:rsid w:val="00165070"/>
    <w:rsid w:val="0016557D"/>
    <w:rsid w:val="001657F8"/>
    <w:rsid w:val="00165DCA"/>
    <w:rsid w:val="001660F8"/>
    <w:rsid w:val="00166137"/>
    <w:rsid w:val="0016621A"/>
    <w:rsid w:val="00166A73"/>
    <w:rsid w:val="001676AC"/>
    <w:rsid w:val="00167DDE"/>
    <w:rsid w:val="00170F36"/>
    <w:rsid w:val="00170FF9"/>
    <w:rsid w:val="00171221"/>
    <w:rsid w:val="0017133B"/>
    <w:rsid w:val="0017162C"/>
    <w:rsid w:val="00171C9E"/>
    <w:rsid w:val="0017312E"/>
    <w:rsid w:val="00173B1B"/>
    <w:rsid w:val="00174359"/>
    <w:rsid w:val="001743B3"/>
    <w:rsid w:val="0017488C"/>
    <w:rsid w:val="00174A4D"/>
    <w:rsid w:val="00174D25"/>
    <w:rsid w:val="001750FD"/>
    <w:rsid w:val="001751E4"/>
    <w:rsid w:val="00175418"/>
    <w:rsid w:val="001756AC"/>
    <w:rsid w:val="001757C8"/>
    <w:rsid w:val="00177262"/>
    <w:rsid w:val="00177557"/>
    <w:rsid w:val="00177A7D"/>
    <w:rsid w:val="00177EA4"/>
    <w:rsid w:val="00180C1F"/>
    <w:rsid w:val="00181763"/>
    <w:rsid w:val="00182871"/>
    <w:rsid w:val="00182929"/>
    <w:rsid w:val="00182C69"/>
    <w:rsid w:val="00182F6F"/>
    <w:rsid w:val="00183834"/>
    <w:rsid w:val="00183CD3"/>
    <w:rsid w:val="00183EF4"/>
    <w:rsid w:val="00183FD7"/>
    <w:rsid w:val="00183FE0"/>
    <w:rsid w:val="001843A8"/>
    <w:rsid w:val="0018462B"/>
    <w:rsid w:val="00184A41"/>
    <w:rsid w:val="00184B0B"/>
    <w:rsid w:val="00184C3C"/>
    <w:rsid w:val="001851A4"/>
    <w:rsid w:val="0018532E"/>
    <w:rsid w:val="00186A8B"/>
    <w:rsid w:val="00187395"/>
    <w:rsid w:val="00187454"/>
    <w:rsid w:val="00187730"/>
    <w:rsid w:val="00187E72"/>
    <w:rsid w:val="001901F9"/>
    <w:rsid w:val="00191134"/>
    <w:rsid w:val="00191512"/>
    <w:rsid w:val="00191B21"/>
    <w:rsid w:val="00191DEA"/>
    <w:rsid w:val="00191F42"/>
    <w:rsid w:val="0019253A"/>
    <w:rsid w:val="0019283B"/>
    <w:rsid w:val="00192920"/>
    <w:rsid w:val="00192E74"/>
    <w:rsid w:val="00193407"/>
    <w:rsid w:val="001934C3"/>
    <w:rsid w:val="00194002"/>
    <w:rsid w:val="0019426D"/>
    <w:rsid w:val="0019429F"/>
    <w:rsid w:val="001942E8"/>
    <w:rsid w:val="00194671"/>
    <w:rsid w:val="00194918"/>
    <w:rsid w:val="00194D1B"/>
    <w:rsid w:val="00195236"/>
    <w:rsid w:val="001952FB"/>
    <w:rsid w:val="0019534D"/>
    <w:rsid w:val="001953B9"/>
    <w:rsid w:val="0019553A"/>
    <w:rsid w:val="00195FE9"/>
    <w:rsid w:val="00197462"/>
    <w:rsid w:val="001979E0"/>
    <w:rsid w:val="001A01A8"/>
    <w:rsid w:val="001A1058"/>
    <w:rsid w:val="001A1AD8"/>
    <w:rsid w:val="001A274B"/>
    <w:rsid w:val="001A28E3"/>
    <w:rsid w:val="001A2958"/>
    <w:rsid w:val="001A2F65"/>
    <w:rsid w:val="001A305E"/>
    <w:rsid w:val="001A42E5"/>
    <w:rsid w:val="001A439B"/>
    <w:rsid w:val="001A46DA"/>
    <w:rsid w:val="001A4D35"/>
    <w:rsid w:val="001A4D54"/>
    <w:rsid w:val="001A5303"/>
    <w:rsid w:val="001A54FC"/>
    <w:rsid w:val="001A551B"/>
    <w:rsid w:val="001A5E64"/>
    <w:rsid w:val="001A6433"/>
    <w:rsid w:val="001A67CE"/>
    <w:rsid w:val="001A6DD9"/>
    <w:rsid w:val="001A70B4"/>
    <w:rsid w:val="001B0220"/>
    <w:rsid w:val="001B02CE"/>
    <w:rsid w:val="001B0371"/>
    <w:rsid w:val="001B03C6"/>
    <w:rsid w:val="001B0442"/>
    <w:rsid w:val="001B06B4"/>
    <w:rsid w:val="001B06B6"/>
    <w:rsid w:val="001B0994"/>
    <w:rsid w:val="001B0D06"/>
    <w:rsid w:val="001B0DCD"/>
    <w:rsid w:val="001B12C0"/>
    <w:rsid w:val="001B1322"/>
    <w:rsid w:val="001B198A"/>
    <w:rsid w:val="001B1E45"/>
    <w:rsid w:val="001B2312"/>
    <w:rsid w:val="001B273C"/>
    <w:rsid w:val="001B27A9"/>
    <w:rsid w:val="001B36CC"/>
    <w:rsid w:val="001B3D0D"/>
    <w:rsid w:val="001B473C"/>
    <w:rsid w:val="001B590A"/>
    <w:rsid w:val="001B5EBD"/>
    <w:rsid w:val="001B6B22"/>
    <w:rsid w:val="001B7B32"/>
    <w:rsid w:val="001C0630"/>
    <w:rsid w:val="001C0DA4"/>
    <w:rsid w:val="001C10D2"/>
    <w:rsid w:val="001C170D"/>
    <w:rsid w:val="001C171D"/>
    <w:rsid w:val="001C1C4E"/>
    <w:rsid w:val="001C1FE5"/>
    <w:rsid w:val="001C231D"/>
    <w:rsid w:val="001C26F9"/>
    <w:rsid w:val="001C296E"/>
    <w:rsid w:val="001C2FEB"/>
    <w:rsid w:val="001C3369"/>
    <w:rsid w:val="001C3703"/>
    <w:rsid w:val="001C37B1"/>
    <w:rsid w:val="001C3DF9"/>
    <w:rsid w:val="001C41D7"/>
    <w:rsid w:val="001C429E"/>
    <w:rsid w:val="001C42DE"/>
    <w:rsid w:val="001C474A"/>
    <w:rsid w:val="001C477C"/>
    <w:rsid w:val="001C49C3"/>
    <w:rsid w:val="001C4E60"/>
    <w:rsid w:val="001C52C9"/>
    <w:rsid w:val="001C5605"/>
    <w:rsid w:val="001C58AA"/>
    <w:rsid w:val="001C5A7A"/>
    <w:rsid w:val="001C5EC0"/>
    <w:rsid w:val="001C62DD"/>
    <w:rsid w:val="001C63FF"/>
    <w:rsid w:val="001C657D"/>
    <w:rsid w:val="001C7197"/>
    <w:rsid w:val="001C72CF"/>
    <w:rsid w:val="001C7870"/>
    <w:rsid w:val="001C7DB6"/>
    <w:rsid w:val="001D0A8D"/>
    <w:rsid w:val="001D1853"/>
    <w:rsid w:val="001D1BB8"/>
    <w:rsid w:val="001D1F89"/>
    <w:rsid w:val="001D205C"/>
    <w:rsid w:val="001D2062"/>
    <w:rsid w:val="001D2CF7"/>
    <w:rsid w:val="001D34F4"/>
    <w:rsid w:val="001D3824"/>
    <w:rsid w:val="001D38E4"/>
    <w:rsid w:val="001D3CF5"/>
    <w:rsid w:val="001D42B6"/>
    <w:rsid w:val="001D45D1"/>
    <w:rsid w:val="001D49BC"/>
    <w:rsid w:val="001D4AC1"/>
    <w:rsid w:val="001D4BFB"/>
    <w:rsid w:val="001D4EF6"/>
    <w:rsid w:val="001D551C"/>
    <w:rsid w:val="001D581B"/>
    <w:rsid w:val="001D5A3D"/>
    <w:rsid w:val="001D6092"/>
    <w:rsid w:val="001D66E0"/>
    <w:rsid w:val="001D7892"/>
    <w:rsid w:val="001D7B13"/>
    <w:rsid w:val="001E0C0D"/>
    <w:rsid w:val="001E1F24"/>
    <w:rsid w:val="001E2074"/>
    <w:rsid w:val="001E23F3"/>
    <w:rsid w:val="001E2C3B"/>
    <w:rsid w:val="001E2F36"/>
    <w:rsid w:val="001E2FC3"/>
    <w:rsid w:val="001E37B8"/>
    <w:rsid w:val="001E3F16"/>
    <w:rsid w:val="001E3F32"/>
    <w:rsid w:val="001E407B"/>
    <w:rsid w:val="001E494F"/>
    <w:rsid w:val="001E5442"/>
    <w:rsid w:val="001E594F"/>
    <w:rsid w:val="001E5DEC"/>
    <w:rsid w:val="001E67E2"/>
    <w:rsid w:val="001E6864"/>
    <w:rsid w:val="001E6F0F"/>
    <w:rsid w:val="001E6F34"/>
    <w:rsid w:val="001E7035"/>
    <w:rsid w:val="001F1EBA"/>
    <w:rsid w:val="001F23EB"/>
    <w:rsid w:val="001F26EA"/>
    <w:rsid w:val="001F286B"/>
    <w:rsid w:val="001F29E6"/>
    <w:rsid w:val="001F33D4"/>
    <w:rsid w:val="001F3AAE"/>
    <w:rsid w:val="001F479C"/>
    <w:rsid w:val="001F4DA9"/>
    <w:rsid w:val="001F53E4"/>
    <w:rsid w:val="001F5500"/>
    <w:rsid w:val="001F55B2"/>
    <w:rsid w:val="001F5FA6"/>
    <w:rsid w:val="001F6BC7"/>
    <w:rsid w:val="001F75D5"/>
    <w:rsid w:val="001F77F3"/>
    <w:rsid w:val="001F7AE3"/>
    <w:rsid w:val="001F7C15"/>
    <w:rsid w:val="001F7C32"/>
    <w:rsid w:val="00200427"/>
    <w:rsid w:val="00202276"/>
    <w:rsid w:val="00202356"/>
    <w:rsid w:val="0020271B"/>
    <w:rsid w:val="00202BA1"/>
    <w:rsid w:val="00202CC2"/>
    <w:rsid w:val="00203E7A"/>
    <w:rsid w:val="002047C0"/>
    <w:rsid w:val="0020532E"/>
    <w:rsid w:val="00205A78"/>
    <w:rsid w:val="00205C8B"/>
    <w:rsid w:val="0020674B"/>
    <w:rsid w:val="0020742D"/>
    <w:rsid w:val="0020744D"/>
    <w:rsid w:val="002077AA"/>
    <w:rsid w:val="00207C09"/>
    <w:rsid w:val="0021042D"/>
    <w:rsid w:val="00210509"/>
    <w:rsid w:val="00210C7C"/>
    <w:rsid w:val="00211400"/>
    <w:rsid w:val="0021162C"/>
    <w:rsid w:val="00211A8B"/>
    <w:rsid w:val="00211F7E"/>
    <w:rsid w:val="002126EC"/>
    <w:rsid w:val="00213305"/>
    <w:rsid w:val="00213EE8"/>
    <w:rsid w:val="00214B68"/>
    <w:rsid w:val="00215454"/>
    <w:rsid w:val="0021553D"/>
    <w:rsid w:val="002155CD"/>
    <w:rsid w:val="00216168"/>
    <w:rsid w:val="00216398"/>
    <w:rsid w:val="00216598"/>
    <w:rsid w:val="00216632"/>
    <w:rsid w:val="00216891"/>
    <w:rsid w:val="00216D2C"/>
    <w:rsid w:val="002170B8"/>
    <w:rsid w:val="0022034E"/>
    <w:rsid w:val="0022036F"/>
    <w:rsid w:val="00220707"/>
    <w:rsid w:val="00220D63"/>
    <w:rsid w:val="002213D0"/>
    <w:rsid w:val="00221F3A"/>
    <w:rsid w:val="00222194"/>
    <w:rsid w:val="00222589"/>
    <w:rsid w:val="00223119"/>
    <w:rsid w:val="00224211"/>
    <w:rsid w:val="00224CB3"/>
    <w:rsid w:val="00224D46"/>
    <w:rsid w:val="00224DEC"/>
    <w:rsid w:val="00225410"/>
    <w:rsid w:val="00225A18"/>
    <w:rsid w:val="002261E9"/>
    <w:rsid w:val="0022636C"/>
    <w:rsid w:val="00226A27"/>
    <w:rsid w:val="00226D6F"/>
    <w:rsid w:val="002270D8"/>
    <w:rsid w:val="00227EC7"/>
    <w:rsid w:val="002302CA"/>
    <w:rsid w:val="00230F01"/>
    <w:rsid w:val="00231283"/>
    <w:rsid w:val="002317E6"/>
    <w:rsid w:val="0023209E"/>
    <w:rsid w:val="002320B7"/>
    <w:rsid w:val="00232240"/>
    <w:rsid w:val="002325C1"/>
    <w:rsid w:val="0023273B"/>
    <w:rsid w:val="00232CCA"/>
    <w:rsid w:val="00234072"/>
    <w:rsid w:val="002343F6"/>
    <w:rsid w:val="002348FC"/>
    <w:rsid w:val="00234B4A"/>
    <w:rsid w:val="00234CC7"/>
    <w:rsid w:val="00234F9A"/>
    <w:rsid w:val="00235130"/>
    <w:rsid w:val="00235349"/>
    <w:rsid w:val="00235878"/>
    <w:rsid w:val="00235E41"/>
    <w:rsid w:val="00235E68"/>
    <w:rsid w:val="00236492"/>
    <w:rsid w:val="00236540"/>
    <w:rsid w:val="002365BD"/>
    <w:rsid w:val="002368A9"/>
    <w:rsid w:val="00236999"/>
    <w:rsid w:val="002371CC"/>
    <w:rsid w:val="00237BBC"/>
    <w:rsid w:val="002401D9"/>
    <w:rsid w:val="002401DF"/>
    <w:rsid w:val="002405E4"/>
    <w:rsid w:val="00240853"/>
    <w:rsid w:val="00240EBD"/>
    <w:rsid w:val="00241332"/>
    <w:rsid w:val="002413A0"/>
    <w:rsid w:val="00241431"/>
    <w:rsid w:val="002420E5"/>
    <w:rsid w:val="002424D0"/>
    <w:rsid w:val="00242805"/>
    <w:rsid w:val="00242B3E"/>
    <w:rsid w:val="00244887"/>
    <w:rsid w:val="002449F5"/>
    <w:rsid w:val="00244B6C"/>
    <w:rsid w:val="002450AE"/>
    <w:rsid w:val="00245115"/>
    <w:rsid w:val="00245346"/>
    <w:rsid w:val="002454C6"/>
    <w:rsid w:val="002455F3"/>
    <w:rsid w:val="0024593A"/>
    <w:rsid w:val="00245A5C"/>
    <w:rsid w:val="00245C56"/>
    <w:rsid w:val="00245E58"/>
    <w:rsid w:val="00245FE7"/>
    <w:rsid w:val="00246801"/>
    <w:rsid w:val="002469C6"/>
    <w:rsid w:val="00246A0B"/>
    <w:rsid w:val="002471EF"/>
    <w:rsid w:val="00247426"/>
    <w:rsid w:val="002478E6"/>
    <w:rsid w:val="00247E58"/>
    <w:rsid w:val="00250E30"/>
    <w:rsid w:val="00251777"/>
    <w:rsid w:val="00251AC4"/>
    <w:rsid w:val="00251D91"/>
    <w:rsid w:val="00251F54"/>
    <w:rsid w:val="0025274F"/>
    <w:rsid w:val="002531FE"/>
    <w:rsid w:val="00253391"/>
    <w:rsid w:val="00253F04"/>
    <w:rsid w:val="00253F8D"/>
    <w:rsid w:val="00254055"/>
    <w:rsid w:val="00254258"/>
    <w:rsid w:val="00254426"/>
    <w:rsid w:val="00254468"/>
    <w:rsid w:val="00254F2F"/>
    <w:rsid w:val="0025554B"/>
    <w:rsid w:val="00255677"/>
    <w:rsid w:val="00256295"/>
    <w:rsid w:val="00256506"/>
    <w:rsid w:val="00256E5B"/>
    <w:rsid w:val="00256F74"/>
    <w:rsid w:val="00256F89"/>
    <w:rsid w:val="00257414"/>
    <w:rsid w:val="0025782E"/>
    <w:rsid w:val="00257BE5"/>
    <w:rsid w:val="0026006D"/>
    <w:rsid w:val="0026067B"/>
    <w:rsid w:val="0026095E"/>
    <w:rsid w:val="00261FE5"/>
    <w:rsid w:val="0026213F"/>
    <w:rsid w:val="00262336"/>
    <w:rsid w:val="00262417"/>
    <w:rsid w:val="0026253C"/>
    <w:rsid w:val="002629C6"/>
    <w:rsid w:val="00263293"/>
    <w:rsid w:val="00264610"/>
    <w:rsid w:val="00264686"/>
    <w:rsid w:val="00265054"/>
    <w:rsid w:val="0026516B"/>
    <w:rsid w:val="00265820"/>
    <w:rsid w:val="0026598A"/>
    <w:rsid w:val="00265AC3"/>
    <w:rsid w:val="00265C9E"/>
    <w:rsid w:val="00265D1B"/>
    <w:rsid w:val="00265F51"/>
    <w:rsid w:val="002672AD"/>
    <w:rsid w:val="0026CD9F"/>
    <w:rsid w:val="00270095"/>
    <w:rsid w:val="002708E7"/>
    <w:rsid w:val="002709F1"/>
    <w:rsid w:val="00270FA8"/>
    <w:rsid w:val="00271495"/>
    <w:rsid w:val="00271ADB"/>
    <w:rsid w:val="00271C77"/>
    <w:rsid w:val="00271EF3"/>
    <w:rsid w:val="002722DF"/>
    <w:rsid w:val="002728DE"/>
    <w:rsid w:val="00272B46"/>
    <w:rsid w:val="00272DAF"/>
    <w:rsid w:val="002730DA"/>
    <w:rsid w:val="00273C9C"/>
    <w:rsid w:val="00274409"/>
    <w:rsid w:val="00275331"/>
    <w:rsid w:val="00275E12"/>
    <w:rsid w:val="00275E32"/>
    <w:rsid w:val="002761B9"/>
    <w:rsid w:val="002762D0"/>
    <w:rsid w:val="0027644D"/>
    <w:rsid w:val="00276AF0"/>
    <w:rsid w:val="0027772F"/>
    <w:rsid w:val="00277910"/>
    <w:rsid w:val="00277DA5"/>
    <w:rsid w:val="00280642"/>
    <w:rsid w:val="00280FA6"/>
    <w:rsid w:val="0028153D"/>
    <w:rsid w:val="00281C94"/>
    <w:rsid w:val="00281D90"/>
    <w:rsid w:val="002820C8"/>
    <w:rsid w:val="002825C0"/>
    <w:rsid w:val="00283F1A"/>
    <w:rsid w:val="00283FD9"/>
    <w:rsid w:val="00284198"/>
    <w:rsid w:val="00284243"/>
    <w:rsid w:val="00284837"/>
    <w:rsid w:val="00285BA8"/>
    <w:rsid w:val="00285F7F"/>
    <w:rsid w:val="002862EA"/>
    <w:rsid w:val="00286666"/>
    <w:rsid w:val="002867C4"/>
    <w:rsid w:val="0028690C"/>
    <w:rsid w:val="00286B6C"/>
    <w:rsid w:val="00286CF5"/>
    <w:rsid w:val="00286DA0"/>
    <w:rsid w:val="00286DFD"/>
    <w:rsid w:val="0028796B"/>
    <w:rsid w:val="00287B52"/>
    <w:rsid w:val="00287EF1"/>
    <w:rsid w:val="0029084E"/>
    <w:rsid w:val="0029099C"/>
    <w:rsid w:val="00290D16"/>
    <w:rsid w:val="00290D8F"/>
    <w:rsid w:val="002914A1"/>
    <w:rsid w:val="00291DD4"/>
    <w:rsid w:val="0029259F"/>
    <w:rsid w:val="002929DA"/>
    <w:rsid w:val="00292D8C"/>
    <w:rsid w:val="00293D63"/>
    <w:rsid w:val="00293E47"/>
    <w:rsid w:val="00294036"/>
    <w:rsid w:val="002947D9"/>
    <w:rsid w:val="00294B81"/>
    <w:rsid w:val="00294CF0"/>
    <w:rsid w:val="00294EBD"/>
    <w:rsid w:val="00296246"/>
    <w:rsid w:val="002962C6"/>
    <w:rsid w:val="002962E8"/>
    <w:rsid w:val="00296364"/>
    <w:rsid w:val="00296B2E"/>
    <w:rsid w:val="00297C35"/>
    <w:rsid w:val="00297FC5"/>
    <w:rsid w:val="002A0070"/>
    <w:rsid w:val="002A0707"/>
    <w:rsid w:val="002A1109"/>
    <w:rsid w:val="002A11E2"/>
    <w:rsid w:val="002A20C1"/>
    <w:rsid w:val="002A2725"/>
    <w:rsid w:val="002A32B8"/>
    <w:rsid w:val="002A341E"/>
    <w:rsid w:val="002A3C53"/>
    <w:rsid w:val="002A3EC6"/>
    <w:rsid w:val="002A4303"/>
    <w:rsid w:val="002A444C"/>
    <w:rsid w:val="002A448B"/>
    <w:rsid w:val="002A5563"/>
    <w:rsid w:val="002A5E7C"/>
    <w:rsid w:val="002A606C"/>
    <w:rsid w:val="002A635A"/>
    <w:rsid w:val="002A688F"/>
    <w:rsid w:val="002A79EB"/>
    <w:rsid w:val="002A7CCE"/>
    <w:rsid w:val="002A7DD5"/>
    <w:rsid w:val="002B04D1"/>
    <w:rsid w:val="002B0828"/>
    <w:rsid w:val="002B0978"/>
    <w:rsid w:val="002B1018"/>
    <w:rsid w:val="002B11F3"/>
    <w:rsid w:val="002B3BD4"/>
    <w:rsid w:val="002B3E98"/>
    <w:rsid w:val="002B429F"/>
    <w:rsid w:val="002B47C5"/>
    <w:rsid w:val="002B5674"/>
    <w:rsid w:val="002B5A4E"/>
    <w:rsid w:val="002B5EB8"/>
    <w:rsid w:val="002B62F9"/>
    <w:rsid w:val="002B6E3B"/>
    <w:rsid w:val="002B74D0"/>
    <w:rsid w:val="002C01F3"/>
    <w:rsid w:val="002C0780"/>
    <w:rsid w:val="002C0CA8"/>
    <w:rsid w:val="002C11D7"/>
    <w:rsid w:val="002C1308"/>
    <w:rsid w:val="002C1CC4"/>
    <w:rsid w:val="002C2231"/>
    <w:rsid w:val="002C2360"/>
    <w:rsid w:val="002C2BAC"/>
    <w:rsid w:val="002C2D90"/>
    <w:rsid w:val="002C300D"/>
    <w:rsid w:val="002C36DC"/>
    <w:rsid w:val="002C3873"/>
    <w:rsid w:val="002C3D45"/>
    <w:rsid w:val="002C3DFD"/>
    <w:rsid w:val="002C40D9"/>
    <w:rsid w:val="002C533E"/>
    <w:rsid w:val="002C5A2D"/>
    <w:rsid w:val="002C5B8F"/>
    <w:rsid w:val="002C5C7E"/>
    <w:rsid w:val="002C5D98"/>
    <w:rsid w:val="002C657B"/>
    <w:rsid w:val="002C6B8A"/>
    <w:rsid w:val="002C713B"/>
    <w:rsid w:val="002C7D65"/>
    <w:rsid w:val="002D02FF"/>
    <w:rsid w:val="002D06A1"/>
    <w:rsid w:val="002D0B53"/>
    <w:rsid w:val="002D0F98"/>
    <w:rsid w:val="002D14B6"/>
    <w:rsid w:val="002D1771"/>
    <w:rsid w:val="002D2906"/>
    <w:rsid w:val="002D2C26"/>
    <w:rsid w:val="002D2F93"/>
    <w:rsid w:val="002D370D"/>
    <w:rsid w:val="002D3D87"/>
    <w:rsid w:val="002D3E16"/>
    <w:rsid w:val="002D4781"/>
    <w:rsid w:val="002D4A94"/>
    <w:rsid w:val="002D4B6C"/>
    <w:rsid w:val="002D4BB5"/>
    <w:rsid w:val="002D4CD6"/>
    <w:rsid w:val="002D506D"/>
    <w:rsid w:val="002D5B1D"/>
    <w:rsid w:val="002D5D77"/>
    <w:rsid w:val="002D612D"/>
    <w:rsid w:val="002D6257"/>
    <w:rsid w:val="002D659D"/>
    <w:rsid w:val="002D67D0"/>
    <w:rsid w:val="002D6BE3"/>
    <w:rsid w:val="002D6DDE"/>
    <w:rsid w:val="002D6FE7"/>
    <w:rsid w:val="002D7459"/>
    <w:rsid w:val="002D7CF2"/>
    <w:rsid w:val="002E0650"/>
    <w:rsid w:val="002E0A08"/>
    <w:rsid w:val="002E0CC5"/>
    <w:rsid w:val="002E101C"/>
    <w:rsid w:val="002E2283"/>
    <w:rsid w:val="002E2B17"/>
    <w:rsid w:val="002E2B93"/>
    <w:rsid w:val="002E32E4"/>
    <w:rsid w:val="002E349C"/>
    <w:rsid w:val="002E35A4"/>
    <w:rsid w:val="002E3AAC"/>
    <w:rsid w:val="002E466A"/>
    <w:rsid w:val="002E663F"/>
    <w:rsid w:val="002E6ABB"/>
    <w:rsid w:val="002E7010"/>
    <w:rsid w:val="002E7351"/>
    <w:rsid w:val="002F06AF"/>
    <w:rsid w:val="002F0D01"/>
    <w:rsid w:val="002F1106"/>
    <w:rsid w:val="002F1CE1"/>
    <w:rsid w:val="002F236B"/>
    <w:rsid w:val="002F2B39"/>
    <w:rsid w:val="002F2C8E"/>
    <w:rsid w:val="002F3938"/>
    <w:rsid w:val="002F3BC4"/>
    <w:rsid w:val="002F3E8B"/>
    <w:rsid w:val="002F409C"/>
    <w:rsid w:val="002F4B02"/>
    <w:rsid w:val="002F4F56"/>
    <w:rsid w:val="002F5108"/>
    <w:rsid w:val="002F6000"/>
    <w:rsid w:val="002F651D"/>
    <w:rsid w:val="002F65FF"/>
    <w:rsid w:val="002F6B76"/>
    <w:rsid w:val="002F6BD3"/>
    <w:rsid w:val="002F6D05"/>
    <w:rsid w:val="002F709D"/>
    <w:rsid w:val="002F77F7"/>
    <w:rsid w:val="002F7D1D"/>
    <w:rsid w:val="002F7FD7"/>
    <w:rsid w:val="00300AF4"/>
    <w:rsid w:val="003018E2"/>
    <w:rsid w:val="0030245D"/>
    <w:rsid w:val="00303028"/>
    <w:rsid w:val="003031AF"/>
    <w:rsid w:val="00303904"/>
    <w:rsid w:val="00303EAD"/>
    <w:rsid w:val="003043AC"/>
    <w:rsid w:val="00305190"/>
    <w:rsid w:val="00305354"/>
    <w:rsid w:val="00305760"/>
    <w:rsid w:val="003057B9"/>
    <w:rsid w:val="00305817"/>
    <w:rsid w:val="00305BC9"/>
    <w:rsid w:val="0030741B"/>
    <w:rsid w:val="0031019B"/>
    <w:rsid w:val="00310660"/>
    <w:rsid w:val="00310971"/>
    <w:rsid w:val="0031144C"/>
    <w:rsid w:val="00311753"/>
    <w:rsid w:val="0031180A"/>
    <w:rsid w:val="0031181A"/>
    <w:rsid w:val="00311D3C"/>
    <w:rsid w:val="003128C6"/>
    <w:rsid w:val="0031296C"/>
    <w:rsid w:val="00312FFE"/>
    <w:rsid w:val="003136D1"/>
    <w:rsid w:val="003137C2"/>
    <w:rsid w:val="003139C3"/>
    <w:rsid w:val="0031473A"/>
    <w:rsid w:val="00314C36"/>
    <w:rsid w:val="00316262"/>
    <w:rsid w:val="0031676C"/>
    <w:rsid w:val="0031698B"/>
    <w:rsid w:val="00316D82"/>
    <w:rsid w:val="003171C3"/>
    <w:rsid w:val="00317726"/>
    <w:rsid w:val="003177A0"/>
    <w:rsid w:val="0032148D"/>
    <w:rsid w:val="00321609"/>
    <w:rsid w:val="003225D5"/>
    <w:rsid w:val="00322802"/>
    <w:rsid w:val="003237A8"/>
    <w:rsid w:val="00324586"/>
    <w:rsid w:val="003248A2"/>
    <w:rsid w:val="00325114"/>
    <w:rsid w:val="003251C2"/>
    <w:rsid w:val="003253B5"/>
    <w:rsid w:val="00325CD3"/>
    <w:rsid w:val="0032627D"/>
    <w:rsid w:val="00326E96"/>
    <w:rsid w:val="00327F23"/>
    <w:rsid w:val="0033065E"/>
    <w:rsid w:val="003308FF"/>
    <w:rsid w:val="00330C15"/>
    <w:rsid w:val="00330C83"/>
    <w:rsid w:val="003312C1"/>
    <w:rsid w:val="00331582"/>
    <w:rsid w:val="0033168F"/>
    <w:rsid w:val="00331E12"/>
    <w:rsid w:val="00332017"/>
    <w:rsid w:val="003321BE"/>
    <w:rsid w:val="00332557"/>
    <w:rsid w:val="00332625"/>
    <w:rsid w:val="0033287E"/>
    <w:rsid w:val="0033296D"/>
    <w:rsid w:val="00332CF8"/>
    <w:rsid w:val="0033317D"/>
    <w:rsid w:val="0033384E"/>
    <w:rsid w:val="003339F6"/>
    <w:rsid w:val="003342A8"/>
    <w:rsid w:val="0033465A"/>
    <w:rsid w:val="00334832"/>
    <w:rsid w:val="00334B45"/>
    <w:rsid w:val="00334CC1"/>
    <w:rsid w:val="00335056"/>
    <w:rsid w:val="00335BEB"/>
    <w:rsid w:val="00335EF0"/>
    <w:rsid w:val="00336B48"/>
    <w:rsid w:val="003372FC"/>
    <w:rsid w:val="003372FF"/>
    <w:rsid w:val="003374AA"/>
    <w:rsid w:val="0033779B"/>
    <w:rsid w:val="003379BB"/>
    <w:rsid w:val="00337FAB"/>
    <w:rsid w:val="0034001D"/>
    <w:rsid w:val="00341254"/>
    <w:rsid w:val="00341853"/>
    <w:rsid w:val="00341C12"/>
    <w:rsid w:val="00341CA4"/>
    <w:rsid w:val="00342010"/>
    <w:rsid w:val="00342CDE"/>
    <w:rsid w:val="00343034"/>
    <w:rsid w:val="0034335A"/>
    <w:rsid w:val="0034394B"/>
    <w:rsid w:val="003457FB"/>
    <w:rsid w:val="003469ED"/>
    <w:rsid w:val="00346B3D"/>
    <w:rsid w:val="00346EE1"/>
    <w:rsid w:val="0034708F"/>
    <w:rsid w:val="003471B6"/>
    <w:rsid w:val="00350C7C"/>
    <w:rsid w:val="0035153F"/>
    <w:rsid w:val="00351586"/>
    <w:rsid w:val="0035208A"/>
    <w:rsid w:val="0035229C"/>
    <w:rsid w:val="00353B73"/>
    <w:rsid w:val="003542F5"/>
    <w:rsid w:val="00354BF9"/>
    <w:rsid w:val="00355136"/>
    <w:rsid w:val="003555A4"/>
    <w:rsid w:val="003558A7"/>
    <w:rsid w:val="003569D9"/>
    <w:rsid w:val="00356FE7"/>
    <w:rsid w:val="003571A7"/>
    <w:rsid w:val="00360805"/>
    <w:rsid w:val="00360868"/>
    <w:rsid w:val="003609E9"/>
    <w:rsid w:val="00361248"/>
    <w:rsid w:val="00361432"/>
    <w:rsid w:val="003628F0"/>
    <w:rsid w:val="003636ED"/>
    <w:rsid w:val="00363D01"/>
    <w:rsid w:val="00363F99"/>
    <w:rsid w:val="0036572C"/>
    <w:rsid w:val="003657D0"/>
    <w:rsid w:val="00365A48"/>
    <w:rsid w:val="00365B49"/>
    <w:rsid w:val="00366B3A"/>
    <w:rsid w:val="003678A3"/>
    <w:rsid w:val="0037014A"/>
    <w:rsid w:val="0037038B"/>
    <w:rsid w:val="00371566"/>
    <w:rsid w:val="003729AD"/>
    <w:rsid w:val="00372E0A"/>
    <w:rsid w:val="00373134"/>
    <w:rsid w:val="0037430F"/>
    <w:rsid w:val="00374666"/>
    <w:rsid w:val="00374C17"/>
    <w:rsid w:val="0037515D"/>
    <w:rsid w:val="003756A6"/>
    <w:rsid w:val="00375804"/>
    <w:rsid w:val="00375EE7"/>
    <w:rsid w:val="003763FD"/>
    <w:rsid w:val="0037659B"/>
    <w:rsid w:val="00376F3B"/>
    <w:rsid w:val="00377911"/>
    <w:rsid w:val="00377C00"/>
    <w:rsid w:val="003808F5"/>
    <w:rsid w:val="00380CA4"/>
    <w:rsid w:val="003812F9"/>
    <w:rsid w:val="00381B84"/>
    <w:rsid w:val="00382568"/>
    <w:rsid w:val="00382699"/>
    <w:rsid w:val="00382E6D"/>
    <w:rsid w:val="00383886"/>
    <w:rsid w:val="00383DBA"/>
    <w:rsid w:val="00384E0D"/>
    <w:rsid w:val="003852D4"/>
    <w:rsid w:val="0038568D"/>
    <w:rsid w:val="00385719"/>
    <w:rsid w:val="0038598E"/>
    <w:rsid w:val="00385B64"/>
    <w:rsid w:val="00386093"/>
    <w:rsid w:val="003867EE"/>
    <w:rsid w:val="00387023"/>
    <w:rsid w:val="003901F5"/>
    <w:rsid w:val="003924DC"/>
    <w:rsid w:val="003926DE"/>
    <w:rsid w:val="00392805"/>
    <w:rsid w:val="00392DC7"/>
    <w:rsid w:val="00392FBB"/>
    <w:rsid w:val="00393D68"/>
    <w:rsid w:val="00394040"/>
    <w:rsid w:val="00394543"/>
    <w:rsid w:val="003949AA"/>
    <w:rsid w:val="00394B28"/>
    <w:rsid w:val="00394F0C"/>
    <w:rsid w:val="0039582C"/>
    <w:rsid w:val="00396484"/>
    <w:rsid w:val="003964EE"/>
    <w:rsid w:val="00397CFF"/>
    <w:rsid w:val="00397FC7"/>
    <w:rsid w:val="003A000C"/>
    <w:rsid w:val="003A0300"/>
    <w:rsid w:val="003A08FD"/>
    <w:rsid w:val="003A0954"/>
    <w:rsid w:val="003A12BF"/>
    <w:rsid w:val="003A16ED"/>
    <w:rsid w:val="003A1712"/>
    <w:rsid w:val="003A1882"/>
    <w:rsid w:val="003A1D08"/>
    <w:rsid w:val="003A1EC2"/>
    <w:rsid w:val="003A3BA2"/>
    <w:rsid w:val="003A3D27"/>
    <w:rsid w:val="003A4177"/>
    <w:rsid w:val="003A432F"/>
    <w:rsid w:val="003A43AB"/>
    <w:rsid w:val="003A6091"/>
    <w:rsid w:val="003A615B"/>
    <w:rsid w:val="003A641C"/>
    <w:rsid w:val="003A64B8"/>
    <w:rsid w:val="003A68FD"/>
    <w:rsid w:val="003A6E48"/>
    <w:rsid w:val="003A7599"/>
    <w:rsid w:val="003A7929"/>
    <w:rsid w:val="003B073F"/>
    <w:rsid w:val="003B09F4"/>
    <w:rsid w:val="003B0E10"/>
    <w:rsid w:val="003B0EDF"/>
    <w:rsid w:val="003B17BE"/>
    <w:rsid w:val="003B1B51"/>
    <w:rsid w:val="003B1F44"/>
    <w:rsid w:val="003B1F52"/>
    <w:rsid w:val="003B28C6"/>
    <w:rsid w:val="003B2F12"/>
    <w:rsid w:val="003B2F32"/>
    <w:rsid w:val="003B3902"/>
    <w:rsid w:val="003B3AB3"/>
    <w:rsid w:val="003B4E90"/>
    <w:rsid w:val="003B56C4"/>
    <w:rsid w:val="003B66B3"/>
    <w:rsid w:val="003B68E0"/>
    <w:rsid w:val="003B6EDF"/>
    <w:rsid w:val="003B7660"/>
    <w:rsid w:val="003B76BC"/>
    <w:rsid w:val="003B76CF"/>
    <w:rsid w:val="003B7B32"/>
    <w:rsid w:val="003C144F"/>
    <w:rsid w:val="003C14CA"/>
    <w:rsid w:val="003C17A9"/>
    <w:rsid w:val="003C1B15"/>
    <w:rsid w:val="003C2A7D"/>
    <w:rsid w:val="003C3432"/>
    <w:rsid w:val="003C3A9D"/>
    <w:rsid w:val="003C3D91"/>
    <w:rsid w:val="003C41B5"/>
    <w:rsid w:val="003C4CE6"/>
    <w:rsid w:val="003C4D54"/>
    <w:rsid w:val="003C5130"/>
    <w:rsid w:val="003C51D4"/>
    <w:rsid w:val="003C53EF"/>
    <w:rsid w:val="003C5827"/>
    <w:rsid w:val="003C58C5"/>
    <w:rsid w:val="003C590B"/>
    <w:rsid w:val="003C5ECC"/>
    <w:rsid w:val="003C63ED"/>
    <w:rsid w:val="003C69CE"/>
    <w:rsid w:val="003C73B4"/>
    <w:rsid w:val="003C797D"/>
    <w:rsid w:val="003C7A1F"/>
    <w:rsid w:val="003D07AB"/>
    <w:rsid w:val="003D08AF"/>
    <w:rsid w:val="003D094C"/>
    <w:rsid w:val="003D0A30"/>
    <w:rsid w:val="003D0D1E"/>
    <w:rsid w:val="003D0D72"/>
    <w:rsid w:val="003D19E8"/>
    <w:rsid w:val="003D1A85"/>
    <w:rsid w:val="003D2C57"/>
    <w:rsid w:val="003D2D64"/>
    <w:rsid w:val="003D30AB"/>
    <w:rsid w:val="003D3155"/>
    <w:rsid w:val="003D335C"/>
    <w:rsid w:val="003D3CB3"/>
    <w:rsid w:val="003D4136"/>
    <w:rsid w:val="003D42A9"/>
    <w:rsid w:val="003D4E87"/>
    <w:rsid w:val="003D5F01"/>
    <w:rsid w:val="003D61E6"/>
    <w:rsid w:val="003D6DC7"/>
    <w:rsid w:val="003D73FB"/>
    <w:rsid w:val="003E02A9"/>
    <w:rsid w:val="003E087A"/>
    <w:rsid w:val="003E0E38"/>
    <w:rsid w:val="003E19F1"/>
    <w:rsid w:val="003E1BA1"/>
    <w:rsid w:val="003E1CED"/>
    <w:rsid w:val="003E1FB0"/>
    <w:rsid w:val="003E21B4"/>
    <w:rsid w:val="003E23B3"/>
    <w:rsid w:val="003E28C7"/>
    <w:rsid w:val="003E2B18"/>
    <w:rsid w:val="003E3DA2"/>
    <w:rsid w:val="003E3FE0"/>
    <w:rsid w:val="003E460F"/>
    <w:rsid w:val="003E4960"/>
    <w:rsid w:val="003E4A62"/>
    <w:rsid w:val="003E4D1C"/>
    <w:rsid w:val="003E5738"/>
    <w:rsid w:val="003E5A39"/>
    <w:rsid w:val="003E5CA3"/>
    <w:rsid w:val="003E61EB"/>
    <w:rsid w:val="003E6372"/>
    <w:rsid w:val="003E6808"/>
    <w:rsid w:val="003E6C4D"/>
    <w:rsid w:val="003E71A2"/>
    <w:rsid w:val="003F01EF"/>
    <w:rsid w:val="003F03E5"/>
    <w:rsid w:val="003F0645"/>
    <w:rsid w:val="003F0B40"/>
    <w:rsid w:val="003F1291"/>
    <w:rsid w:val="003F1302"/>
    <w:rsid w:val="003F13B5"/>
    <w:rsid w:val="003F162A"/>
    <w:rsid w:val="003F1635"/>
    <w:rsid w:val="003F1F59"/>
    <w:rsid w:val="003F23B7"/>
    <w:rsid w:val="003F26C2"/>
    <w:rsid w:val="003F2892"/>
    <w:rsid w:val="003F2988"/>
    <w:rsid w:val="003F37F1"/>
    <w:rsid w:val="003F428C"/>
    <w:rsid w:val="003F4745"/>
    <w:rsid w:val="003F4776"/>
    <w:rsid w:val="003F480A"/>
    <w:rsid w:val="003F48FB"/>
    <w:rsid w:val="003F490B"/>
    <w:rsid w:val="003F54DB"/>
    <w:rsid w:val="003F57A6"/>
    <w:rsid w:val="003F5D95"/>
    <w:rsid w:val="003F6156"/>
    <w:rsid w:val="003F6A6D"/>
    <w:rsid w:val="003F6B39"/>
    <w:rsid w:val="003F6C14"/>
    <w:rsid w:val="003F6E01"/>
    <w:rsid w:val="003F7098"/>
    <w:rsid w:val="003F7F9A"/>
    <w:rsid w:val="004000DA"/>
    <w:rsid w:val="00400160"/>
    <w:rsid w:val="0040022A"/>
    <w:rsid w:val="00400430"/>
    <w:rsid w:val="00400499"/>
    <w:rsid w:val="00400D9F"/>
    <w:rsid w:val="00400DE0"/>
    <w:rsid w:val="004010AD"/>
    <w:rsid w:val="00401812"/>
    <w:rsid w:val="00402074"/>
    <w:rsid w:val="004022BA"/>
    <w:rsid w:val="004032A4"/>
    <w:rsid w:val="004033B4"/>
    <w:rsid w:val="00403DB7"/>
    <w:rsid w:val="0040583C"/>
    <w:rsid w:val="00405BF9"/>
    <w:rsid w:val="00405CD9"/>
    <w:rsid w:val="00405E00"/>
    <w:rsid w:val="00406260"/>
    <w:rsid w:val="0041015C"/>
    <w:rsid w:val="00411125"/>
    <w:rsid w:val="00411745"/>
    <w:rsid w:val="00411CE2"/>
    <w:rsid w:val="00412007"/>
    <w:rsid w:val="004124DD"/>
    <w:rsid w:val="00412CF1"/>
    <w:rsid w:val="00412D1B"/>
    <w:rsid w:val="004137CB"/>
    <w:rsid w:val="00413E9B"/>
    <w:rsid w:val="004144F5"/>
    <w:rsid w:val="00414790"/>
    <w:rsid w:val="00414CE0"/>
    <w:rsid w:val="004150F4"/>
    <w:rsid w:val="0041544D"/>
    <w:rsid w:val="00415552"/>
    <w:rsid w:val="00415ABF"/>
    <w:rsid w:val="00416016"/>
    <w:rsid w:val="0041663B"/>
    <w:rsid w:val="0041683A"/>
    <w:rsid w:val="00417ADF"/>
    <w:rsid w:val="00417EEE"/>
    <w:rsid w:val="00417EF7"/>
    <w:rsid w:val="00420011"/>
    <w:rsid w:val="004201A5"/>
    <w:rsid w:val="004203B1"/>
    <w:rsid w:val="00420978"/>
    <w:rsid w:val="00421B92"/>
    <w:rsid w:val="00421F4F"/>
    <w:rsid w:val="004224B4"/>
    <w:rsid w:val="004229E9"/>
    <w:rsid w:val="00422DB9"/>
    <w:rsid w:val="0042329F"/>
    <w:rsid w:val="00423320"/>
    <w:rsid w:val="00423523"/>
    <w:rsid w:val="004238CE"/>
    <w:rsid w:val="00423A1E"/>
    <w:rsid w:val="00424ACA"/>
    <w:rsid w:val="00424D15"/>
    <w:rsid w:val="0042539F"/>
    <w:rsid w:val="004254C8"/>
    <w:rsid w:val="00425912"/>
    <w:rsid w:val="0042596B"/>
    <w:rsid w:val="00425B0E"/>
    <w:rsid w:val="00425D9D"/>
    <w:rsid w:val="00425FC6"/>
    <w:rsid w:val="004268FF"/>
    <w:rsid w:val="00426EE8"/>
    <w:rsid w:val="00426FB3"/>
    <w:rsid w:val="004276E9"/>
    <w:rsid w:val="0042782E"/>
    <w:rsid w:val="00427868"/>
    <w:rsid w:val="004279A5"/>
    <w:rsid w:val="00427F64"/>
    <w:rsid w:val="0043004A"/>
    <w:rsid w:val="004302A9"/>
    <w:rsid w:val="0043125D"/>
    <w:rsid w:val="00431FED"/>
    <w:rsid w:val="00432022"/>
    <w:rsid w:val="0043262B"/>
    <w:rsid w:val="00432897"/>
    <w:rsid w:val="004329D6"/>
    <w:rsid w:val="00432A29"/>
    <w:rsid w:val="00434593"/>
    <w:rsid w:val="0043461A"/>
    <w:rsid w:val="00434C91"/>
    <w:rsid w:val="00435A75"/>
    <w:rsid w:val="00435CCA"/>
    <w:rsid w:val="0043601C"/>
    <w:rsid w:val="0043609F"/>
    <w:rsid w:val="0043639D"/>
    <w:rsid w:val="00436467"/>
    <w:rsid w:val="004369AC"/>
    <w:rsid w:val="00436F7C"/>
    <w:rsid w:val="00437776"/>
    <w:rsid w:val="00437E7D"/>
    <w:rsid w:val="0044016F"/>
    <w:rsid w:val="004406B0"/>
    <w:rsid w:val="00440A36"/>
    <w:rsid w:val="00440B00"/>
    <w:rsid w:val="00440CAB"/>
    <w:rsid w:val="00440F1D"/>
    <w:rsid w:val="00441611"/>
    <w:rsid w:val="00441C9B"/>
    <w:rsid w:val="0044244E"/>
    <w:rsid w:val="00442792"/>
    <w:rsid w:val="00442B8B"/>
    <w:rsid w:val="004431C0"/>
    <w:rsid w:val="004435C2"/>
    <w:rsid w:val="004446F6"/>
    <w:rsid w:val="0044509C"/>
    <w:rsid w:val="004450DC"/>
    <w:rsid w:val="00445759"/>
    <w:rsid w:val="00445984"/>
    <w:rsid w:val="00445CE5"/>
    <w:rsid w:val="00446460"/>
    <w:rsid w:val="0044688D"/>
    <w:rsid w:val="00446F20"/>
    <w:rsid w:val="00446FAC"/>
    <w:rsid w:val="00447CD9"/>
    <w:rsid w:val="00447E68"/>
    <w:rsid w:val="00447E90"/>
    <w:rsid w:val="00447F32"/>
    <w:rsid w:val="004519B8"/>
    <w:rsid w:val="00451FDB"/>
    <w:rsid w:val="0045270B"/>
    <w:rsid w:val="00452AAA"/>
    <w:rsid w:val="00452AC6"/>
    <w:rsid w:val="00452E10"/>
    <w:rsid w:val="00452FC5"/>
    <w:rsid w:val="004533A2"/>
    <w:rsid w:val="00454241"/>
    <w:rsid w:val="004544BB"/>
    <w:rsid w:val="0045450F"/>
    <w:rsid w:val="00454821"/>
    <w:rsid w:val="00454C30"/>
    <w:rsid w:val="004553E8"/>
    <w:rsid w:val="00455C9E"/>
    <w:rsid w:val="00456103"/>
    <w:rsid w:val="004566B8"/>
    <w:rsid w:val="00456A1F"/>
    <w:rsid w:val="00456C4C"/>
    <w:rsid w:val="004570D6"/>
    <w:rsid w:val="0045710D"/>
    <w:rsid w:val="004601D5"/>
    <w:rsid w:val="00460436"/>
    <w:rsid w:val="00460A5A"/>
    <w:rsid w:val="00460EA2"/>
    <w:rsid w:val="004612D9"/>
    <w:rsid w:val="0046143C"/>
    <w:rsid w:val="00461986"/>
    <w:rsid w:val="00461EF4"/>
    <w:rsid w:val="004622BD"/>
    <w:rsid w:val="004628D7"/>
    <w:rsid w:val="0046409B"/>
    <w:rsid w:val="00464369"/>
    <w:rsid w:val="004643C3"/>
    <w:rsid w:val="00464A32"/>
    <w:rsid w:val="00464FF9"/>
    <w:rsid w:val="0046562B"/>
    <w:rsid w:val="004656A0"/>
    <w:rsid w:val="0046588A"/>
    <w:rsid w:val="004677AC"/>
    <w:rsid w:val="00467D51"/>
    <w:rsid w:val="0047008E"/>
    <w:rsid w:val="00470863"/>
    <w:rsid w:val="00470A86"/>
    <w:rsid w:val="004711C4"/>
    <w:rsid w:val="004713AC"/>
    <w:rsid w:val="00471649"/>
    <w:rsid w:val="004718AF"/>
    <w:rsid w:val="00471C68"/>
    <w:rsid w:val="004723C2"/>
    <w:rsid w:val="00472D37"/>
    <w:rsid w:val="00472E51"/>
    <w:rsid w:val="004730DF"/>
    <w:rsid w:val="004732BB"/>
    <w:rsid w:val="004738AB"/>
    <w:rsid w:val="00473AC4"/>
    <w:rsid w:val="004743F4"/>
    <w:rsid w:val="0047487D"/>
    <w:rsid w:val="00474F41"/>
    <w:rsid w:val="0047518B"/>
    <w:rsid w:val="00477024"/>
    <w:rsid w:val="00477223"/>
    <w:rsid w:val="00477699"/>
    <w:rsid w:val="00477E71"/>
    <w:rsid w:val="00480213"/>
    <w:rsid w:val="004805F3"/>
    <w:rsid w:val="00480D56"/>
    <w:rsid w:val="00481503"/>
    <w:rsid w:val="004816C1"/>
    <w:rsid w:val="0048276B"/>
    <w:rsid w:val="00482914"/>
    <w:rsid w:val="004829D8"/>
    <w:rsid w:val="00482D6A"/>
    <w:rsid w:val="00482F11"/>
    <w:rsid w:val="00483116"/>
    <w:rsid w:val="004834AB"/>
    <w:rsid w:val="0048370B"/>
    <w:rsid w:val="004838CB"/>
    <w:rsid w:val="004843B4"/>
    <w:rsid w:val="004846C2"/>
    <w:rsid w:val="00484875"/>
    <w:rsid w:val="00485257"/>
    <w:rsid w:val="00485388"/>
    <w:rsid w:val="00485C97"/>
    <w:rsid w:val="00485ED7"/>
    <w:rsid w:val="00487BBC"/>
    <w:rsid w:val="004904A4"/>
    <w:rsid w:val="0049051E"/>
    <w:rsid w:val="004905E0"/>
    <w:rsid w:val="00491974"/>
    <w:rsid w:val="00491FCB"/>
    <w:rsid w:val="00492659"/>
    <w:rsid w:val="004927B8"/>
    <w:rsid w:val="004927E8"/>
    <w:rsid w:val="00492BB4"/>
    <w:rsid w:val="00492C84"/>
    <w:rsid w:val="004930A9"/>
    <w:rsid w:val="00493A94"/>
    <w:rsid w:val="00493C5F"/>
    <w:rsid w:val="00493CB8"/>
    <w:rsid w:val="00494114"/>
    <w:rsid w:val="0049441C"/>
    <w:rsid w:val="0049476C"/>
    <w:rsid w:val="00494F2D"/>
    <w:rsid w:val="004967DC"/>
    <w:rsid w:val="00496966"/>
    <w:rsid w:val="00496EC2"/>
    <w:rsid w:val="00497CB5"/>
    <w:rsid w:val="00497E53"/>
    <w:rsid w:val="004A0758"/>
    <w:rsid w:val="004A07E1"/>
    <w:rsid w:val="004A1DC7"/>
    <w:rsid w:val="004A30D3"/>
    <w:rsid w:val="004A38A7"/>
    <w:rsid w:val="004A3C80"/>
    <w:rsid w:val="004A5242"/>
    <w:rsid w:val="004A539A"/>
    <w:rsid w:val="004A5732"/>
    <w:rsid w:val="004A63B3"/>
    <w:rsid w:val="004A6698"/>
    <w:rsid w:val="004A6D01"/>
    <w:rsid w:val="004A6FCB"/>
    <w:rsid w:val="004A7187"/>
    <w:rsid w:val="004A7369"/>
    <w:rsid w:val="004A7422"/>
    <w:rsid w:val="004A76B9"/>
    <w:rsid w:val="004A77B0"/>
    <w:rsid w:val="004A7990"/>
    <w:rsid w:val="004B002F"/>
    <w:rsid w:val="004B041B"/>
    <w:rsid w:val="004B05F9"/>
    <w:rsid w:val="004B1C60"/>
    <w:rsid w:val="004B1DA6"/>
    <w:rsid w:val="004B2236"/>
    <w:rsid w:val="004B2C93"/>
    <w:rsid w:val="004B3440"/>
    <w:rsid w:val="004B3E39"/>
    <w:rsid w:val="004B507C"/>
    <w:rsid w:val="004B68ED"/>
    <w:rsid w:val="004B6C2E"/>
    <w:rsid w:val="004B7B32"/>
    <w:rsid w:val="004B7F63"/>
    <w:rsid w:val="004C02A7"/>
    <w:rsid w:val="004C02DC"/>
    <w:rsid w:val="004C04DC"/>
    <w:rsid w:val="004C075C"/>
    <w:rsid w:val="004C08E3"/>
    <w:rsid w:val="004C1D1F"/>
    <w:rsid w:val="004C25A5"/>
    <w:rsid w:val="004C2662"/>
    <w:rsid w:val="004C35C1"/>
    <w:rsid w:val="004C3958"/>
    <w:rsid w:val="004C39E6"/>
    <w:rsid w:val="004C4107"/>
    <w:rsid w:val="004C4CB2"/>
    <w:rsid w:val="004C4DAB"/>
    <w:rsid w:val="004C61E8"/>
    <w:rsid w:val="004C6615"/>
    <w:rsid w:val="004C7B8A"/>
    <w:rsid w:val="004C7DD1"/>
    <w:rsid w:val="004C7F5E"/>
    <w:rsid w:val="004C7F73"/>
    <w:rsid w:val="004D1875"/>
    <w:rsid w:val="004D200A"/>
    <w:rsid w:val="004D22F7"/>
    <w:rsid w:val="004D2375"/>
    <w:rsid w:val="004D2BE6"/>
    <w:rsid w:val="004D324C"/>
    <w:rsid w:val="004D386B"/>
    <w:rsid w:val="004D443E"/>
    <w:rsid w:val="004D4AAE"/>
    <w:rsid w:val="004D50B1"/>
    <w:rsid w:val="004D5443"/>
    <w:rsid w:val="004D561D"/>
    <w:rsid w:val="004D5DE3"/>
    <w:rsid w:val="004D6178"/>
    <w:rsid w:val="004D617B"/>
    <w:rsid w:val="004D6424"/>
    <w:rsid w:val="004D6B85"/>
    <w:rsid w:val="004D6E11"/>
    <w:rsid w:val="004D6E25"/>
    <w:rsid w:val="004D79F2"/>
    <w:rsid w:val="004D7AF5"/>
    <w:rsid w:val="004E0341"/>
    <w:rsid w:val="004E0362"/>
    <w:rsid w:val="004E03E2"/>
    <w:rsid w:val="004E0AB5"/>
    <w:rsid w:val="004E0AED"/>
    <w:rsid w:val="004E1696"/>
    <w:rsid w:val="004E234F"/>
    <w:rsid w:val="004E240E"/>
    <w:rsid w:val="004E381B"/>
    <w:rsid w:val="004E3AD2"/>
    <w:rsid w:val="004E3D58"/>
    <w:rsid w:val="004E471B"/>
    <w:rsid w:val="004E4FAE"/>
    <w:rsid w:val="004E5745"/>
    <w:rsid w:val="004E5E5B"/>
    <w:rsid w:val="004E6335"/>
    <w:rsid w:val="004E6784"/>
    <w:rsid w:val="004E6C3F"/>
    <w:rsid w:val="004E7053"/>
    <w:rsid w:val="004E7652"/>
    <w:rsid w:val="004F02AD"/>
    <w:rsid w:val="004F05EE"/>
    <w:rsid w:val="004F0A8C"/>
    <w:rsid w:val="004F0AB3"/>
    <w:rsid w:val="004F0B97"/>
    <w:rsid w:val="004F0F64"/>
    <w:rsid w:val="004F1314"/>
    <w:rsid w:val="004F1C2A"/>
    <w:rsid w:val="004F237D"/>
    <w:rsid w:val="004F2F8C"/>
    <w:rsid w:val="004F301F"/>
    <w:rsid w:val="004F317C"/>
    <w:rsid w:val="004F32BF"/>
    <w:rsid w:val="004F3FDF"/>
    <w:rsid w:val="004F42FB"/>
    <w:rsid w:val="004F4815"/>
    <w:rsid w:val="004F488C"/>
    <w:rsid w:val="004F4B52"/>
    <w:rsid w:val="004F53F1"/>
    <w:rsid w:val="004F5CB8"/>
    <w:rsid w:val="004F6A79"/>
    <w:rsid w:val="004F7748"/>
    <w:rsid w:val="004F7DAF"/>
    <w:rsid w:val="004F7E9B"/>
    <w:rsid w:val="004F7F19"/>
    <w:rsid w:val="005007E9"/>
    <w:rsid w:val="0050125D"/>
    <w:rsid w:val="0050149D"/>
    <w:rsid w:val="00501DF1"/>
    <w:rsid w:val="00501E71"/>
    <w:rsid w:val="00502455"/>
    <w:rsid w:val="00502FD5"/>
    <w:rsid w:val="00503350"/>
    <w:rsid w:val="00503517"/>
    <w:rsid w:val="005035A7"/>
    <w:rsid w:val="00503A75"/>
    <w:rsid w:val="00505520"/>
    <w:rsid w:val="005059B4"/>
    <w:rsid w:val="00505BD6"/>
    <w:rsid w:val="00506EB0"/>
    <w:rsid w:val="005075BC"/>
    <w:rsid w:val="00507784"/>
    <w:rsid w:val="00507B72"/>
    <w:rsid w:val="00507E6F"/>
    <w:rsid w:val="00510246"/>
    <w:rsid w:val="005102DE"/>
    <w:rsid w:val="005109C2"/>
    <w:rsid w:val="00511C39"/>
    <w:rsid w:val="00512D9E"/>
    <w:rsid w:val="0051304C"/>
    <w:rsid w:val="00513331"/>
    <w:rsid w:val="00513372"/>
    <w:rsid w:val="005137E7"/>
    <w:rsid w:val="00514584"/>
    <w:rsid w:val="005153D0"/>
    <w:rsid w:val="005158CE"/>
    <w:rsid w:val="005169CB"/>
    <w:rsid w:val="00517CB5"/>
    <w:rsid w:val="00520686"/>
    <w:rsid w:val="0052073A"/>
    <w:rsid w:val="00520FC9"/>
    <w:rsid w:val="0052115A"/>
    <w:rsid w:val="00521787"/>
    <w:rsid w:val="00521BB1"/>
    <w:rsid w:val="00521C7C"/>
    <w:rsid w:val="00521C8C"/>
    <w:rsid w:val="00521D38"/>
    <w:rsid w:val="00521FD9"/>
    <w:rsid w:val="0052261A"/>
    <w:rsid w:val="00522A56"/>
    <w:rsid w:val="00522CE1"/>
    <w:rsid w:val="00523801"/>
    <w:rsid w:val="00525667"/>
    <w:rsid w:val="00525672"/>
    <w:rsid w:val="005256DC"/>
    <w:rsid w:val="005257A4"/>
    <w:rsid w:val="00525B01"/>
    <w:rsid w:val="00525B32"/>
    <w:rsid w:val="00525CDA"/>
    <w:rsid w:val="005269A1"/>
    <w:rsid w:val="0052745D"/>
    <w:rsid w:val="0052757D"/>
    <w:rsid w:val="00527986"/>
    <w:rsid w:val="00527EB8"/>
    <w:rsid w:val="0053063A"/>
    <w:rsid w:val="00530987"/>
    <w:rsid w:val="0053167A"/>
    <w:rsid w:val="00531D2E"/>
    <w:rsid w:val="005320E2"/>
    <w:rsid w:val="00532937"/>
    <w:rsid w:val="00532EC5"/>
    <w:rsid w:val="005332B9"/>
    <w:rsid w:val="00533A24"/>
    <w:rsid w:val="00534207"/>
    <w:rsid w:val="00534B07"/>
    <w:rsid w:val="005351CA"/>
    <w:rsid w:val="00535CE1"/>
    <w:rsid w:val="00535D90"/>
    <w:rsid w:val="005366E6"/>
    <w:rsid w:val="00536765"/>
    <w:rsid w:val="005368C9"/>
    <w:rsid w:val="00536AE2"/>
    <w:rsid w:val="00536B87"/>
    <w:rsid w:val="00536EF2"/>
    <w:rsid w:val="005376C4"/>
    <w:rsid w:val="00537DD6"/>
    <w:rsid w:val="00537F30"/>
    <w:rsid w:val="0054093A"/>
    <w:rsid w:val="00540CE8"/>
    <w:rsid w:val="00541353"/>
    <w:rsid w:val="00541DE1"/>
    <w:rsid w:val="00542474"/>
    <w:rsid w:val="00542644"/>
    <w:rsid w:val="00543110"/>
    <w:rsid w:val="00543111"/>
    <w:rsid w:val="0054342F"/>
    <w:rsid w:val="0054345D"/>
    <w:rsid w:val="00544BDE"/>
    <w:rsid w:val="00545004"/>
    <w:rsid w:val="00545077"/>
    <w:rsid w:val="00545198"/>
    <w:rsid w:val="005451B7"/>
    <w:rsid w:val="00545B9B"/>
    <w:rsid w:val="00545CAC"/>
    <w:rsid w:val="00545F41"/>
    <w:rsid w:val="00546099"/>
    <w:rsid w:val="005460C7"/>
    <w:rsid w:val="005466C9"/>
    <w:rsid w:val="00546994"/>
    <w:rsid w:val="00546E6A"/>
    <w:rsid w:val="00547346"/>
    <w:rsid w:val="005477AD"/>
    <w:rsid w:val="00547FB0"/>
    <w:rsid w:val="00550728"/>
    <w:rsid w:val="00550E55"/>
    <w:rsid w:val="005512A5"/>
    <w:rsid w:val="00551446"/>
    <w:rsid w:val="00551678"/>
    <w:rsid w:val="0055181F"/>
    <w:rsid w:val="00551905"/>
    <w:rsid w:val="00551D19"/>
    <w:rsid w:val="00551E9E"/>
    <w:rsid w:val="0055221E"/>
    <w:rsid w:val="005535AB"/>
    <w:rsid w:val="00553721"/>
    <w:rsid w:val="0055389F"/>
    <w:rsid w:val="00553F4A"/>
    <w:rsid w:val="00554561"/>
    <w:rsid w:val="00554613"/>
    <w:rsid w:val="0055469D"/>
    <w:rsid w:val="00554FFA"/>
    <w:rsid w:val="005556A9"/>
    <w:rsid w:val="0055698E"/>
    <w:rsid w:val="00557096"/>
    <w:rsid w:val="005571E1"/>
    <w:rsid w:val="00557582"/>
    <w:rsid w:val="005602BC"/>
    <w:rsid w:val="005608CF"/>
    <w:rsid w:val="005609E2"/>
    <w:rsid w:val="00560DC6"/>
    <w:rsid w:val="005610E8"/>
    <w:rsid w:val="0056137E"/>
    <w:rsid w:val="0056168D"/>
    <w:rsid w:val="00561919"/>
    <w:rsid w:val="005619B5"/>
    <w:rsid w:val="00561AA7"/>
    <w:rsid w:val="00562017"/>
    <w:rsid w:val="0056263F"/>
    <w:rsid w:val="00562DC1"/>
    <w:rsid w:val="0056332B"/>
    <w:rsid w:val="0056399A"/>
    <w:rsid w:val="00563BC8"/>
    <w:rsid w:val="00563FB0"/>
    <w:rsid w:val="005644DA"/>
    <w:rsid w:val="005648CF"/>
    <w:rsid w:val="005648EA"/>
    <w:rsid w:val="00564A7F"/>
    <w:rsid w:val="005656FA"/>
    <w:rsid w:val="00565B79"/>
    <w:rsid w:val="00565BC2"/>
    <w:rsid w:val="00566010"/>
    <w:rsid w:val="0056651C"/>
    <w:rsid w:val="0056665B"/>
    <w:rsid w:val="00566CBD"/>
    <w:rsid w:val="00570347"/>
    <w:rsid w:val="00570407"/>
    <w:rsid w:val="00571DC9"/>
    <w:rsid w:val="00571EE8"/>
    <w:rsid w:val="00572404"/>
    <w:rsid w:val="00573679"/>
    <w:rsid w:val="00573796"/>
    <w:rsid w:val="00573C0A"/>
    <w:rsid w:val="00574091"/>
    <w:rsid w:val="0057486C"/>
    <w:rsid w:val="00574E62"/>
    <w:rsid w:val="00574EDD"/>
    <w:rsid w:val="00575137"/>
    <w:rsid w:val="00575525"/>
    <w:rsid w:val="005756E1"/>
    <w:rsid w:val="00575CDB"/>
    <w:rsid w:val="0057626E"/>
    <w:rsid w:val="0057659D"/>
    <w:rsid w:val="00576BAD"/>
    <w:rsid w:val="0057706E"/>
    <w:rsid w:val="005777AE"/>
    <w:rsid w:val="00580A85"/>
    <w:rsid w:val="00581307"/>
    <w:rsid w:val="005819D1"/>
    <w:rsid w:val="005823CA"/>
    <w:rsid w:val="005824D1"/>
    <w:rsid w:val="00582568"/>
    <w:rsid w:val="00582812"/>
    <w:rsid w:val="005828F6"/>
    <w:rsid w:val="00582A4D"/>
    <w:rsid w:val="00583026"/>
    <w:rsid w:val="0058314F"/>
    <w:rsid w:val="005831B3"/>
    <w:rsid w:val="00583C99"/>
    <w:rsid w:val="00584008"/>
    <w:rsid w:val="005846E9"/>
    <w:rsid w:val="00585072"/>
    <w:rsid w:val="00585173"/>
    <w:rsid w:val="005851B5"/>
    <w:rsid w:val="00585ACC"/>
    <w:rsid w:val="00585E3B"/>
    <w:rsid w:val="00586747"/>
    <w:rsid w:val="00586846"/>
    <w:rsid w:val="0058717A"/>
    <w:rsid w:val="005874D2"/>
    <w:rsid w:val="0058782A"/>
    <w:rsid w:val="00587F75"/>
    <w:rsid w:val="0059077A"/>
    <w:rsid w:val="005908D5"/>
    <w:rsid w:val="00590E8C"/>
    <w:rsid w:val="00590FA1"/>
    <w:rsid w:val="00590FFA"/>
    <w:rsid w:val="00591CB2"/>
    <w:rsid w:val="00591FFD"/>
    <w:rsid w:val="005920C8"/>
    <w:rsid w:val="0059273F"/>
    <w:rsid w:val="00594852"/>
    <w:rsid w:val="00594990"/>
    <w:rsid w:val="00594AA8"/>
    <w:rsid w:val="005953B2"/>
    <w:rsid w:val="00595F60"/>
    <w:rsid w:val="00596542"/>
    <w:rsid w:val="0059666D"/>
    <w:rsid w:val="00596D31"/>
    <w:rsid w:val="00596D81"/>
    <w:rsid w:val="005971C2"/>
    <w:rsid w:val="00597CB1"/>
    <w:rsid w:val="005A0019"/>
    <w:rsid w:val="005A00F5"/>
    <w:rsid w:val="005A0683"/>
    <w:rsid w:val="005A0994"/>
    <w:rsid w:val="005A09B3"/>
    <w:rsid w:val="005A0B98"/>
    <w:rsid w:val="005A213B"/>
    <w:rsid w:val="005A27E2"/>
    <w:rsid w:val="005A288A"/>
    <w:rsid w:val="005A2E25"/>
    <w:rsid w:val="005A375B"/>
    <w:rsid w:val="005A37CD"/>
    <w:rsid w:val="005A3C23"/>
    <w:rsid w:val="005A4654"/>
    <w:rsid w:val="005A4793"/>
    <w:rsid w:val="005A59F4"/>
    <w:rsid w:val="005A6CA1"/>
    <w:rsid w:val="005A6F25"/>
    <w:rsid w:val="005A76B1"/>
    <w:rsid w:val="005A7765"/>
    <w:rsid w:val="005A7BC5"/>
    <w:rsid w:val="005A7D26"/>
    <w:rsid w:val="005A7EE8"/>
    <w:rsid w:val="005B0412"/>
    <w:rsid w:val="005B09DF"/>
    <w:rsid w:val="005B1866"/>
    <w:rsid w:val="005B26A7"/>
    <w:rsid w:val="005B3D0B"/>
    <w:rsid w:val="005B4492"/>
    <w:rsid w:val="005B48AE"/>
    <w:rsid w:val="005B4C04"/>
    <w:rsid w:val="005B5DF7"/>
    <w:rsid w:val="005B671B"/>
    <w:rsid w:val="005B6CCF"/>
    <w:rsid w:val="005B6F5C"/>
    <w:rsid w:val="005B7157"/>
    <w:rsid w:val="005B72B7"/>
    <w:rsid w:val="005B73EB"/>
    <w:rsid w:val="005B74B9"/>
    <w:rsid w:val="005B74EC"/>
    <w:rsid w:val="005B75F0"/>
    <w:rsid w:val="005C09D8"/>
    <w:rsid w:val="005C0E29"/>
    <w:rsid w:val="005C11E9"/>
    <w:rsid w:val="005C20AD"/>
    <w:rsid w:val="005C2646"/>
    <w:rsid w:val="005C309A"/>
    <w:rsid w:val="005C3881"/>
    <w:rsid w:val="005C3903"/>
    <w:rsid w:val="005C3D42"/>
    <w:rsid w:val="005C4392"/>
    <w:rsid w:val="005C44DB"/>
    <w:rsid w:val="005C49C3"/>
    <w:rsid w:val="005C57C6"/>
    <w:rsid w:val="005C5ACB"/>
    <w:rsid w:val="005C6380"/>
    <w:rsid w:val="005C695B"/>
    <w:rsid w:val="005C701D"/>
    <w:rsid w:val="005C723F"/>
    <w:rsid w:val="005C77B1"/>
    <w:rsid w:val="005C7BD7"/>
    <w:rsid w:val="005D0382"/>
    <w:rsid w:val="005D082A"/>
    <w:rsid w:val="005D1F52"/>
    <w:rsid w:val="005D2600"/>
    <w:rsid w:val="005D3178"/>
    <w:rsid w:val="005D358A"/>
    <w:rsid w:val="005D3614"/>
    <w:rsid w:val="005D3702"/>
    <w:rsid w:val="005D3CFB"/>
    <w:rsid w:val="005D3E7E"/>
    <w:rsid w:val="005D3FA2"/>
    <w:rsid w:val="005D4750"/>
    <w:rsid w:val="005D560E"/>
    <w:rsid w:val="005D56C4"/>
    <w:rsid w:val="005D5E0C"/>
    <w:rsid w:val="005D6953"/>
    <w:rsid w:val="005D78BD"/>
    <w:rsid w:val="005D7DA4"/>
    <w:rsid w:val="005D7FAB"/>
    <w:rsid w:val="005E016C"/>
    <w:rsid w:val="005E1309"/>
    <w:rsid w:val="005E18A3"/>
    <w:rsid w:val="005E191B"/>
    <w:rsid w:val="005E1ED3"/>
    <w:rsid w:val="005E2E6D"/>
    <w:rsid w:val="005E31B1"/>
    <w:rsid w:val="005E36FC"/>
    <w:rsid w:val="005E3CA2"/>
    <w:rsid w:val="005E3E3D"/>
    <w:rsid w:val="005E42AA"/>
    <w:rsid w:val="005E46D5"/>
    <w:rsid w:val="005E4777"/>
    <w:rsid w:val="005E4D97"/>
    <w:rsid w:val="005E73C7"/>
    <w:rsid w:val="005E7A1A"/>
    <w:rsid w:val="005F0122"/>
    <w:rsid w:val="005F0BF4"/>
    <w:rsid w:val="005F1095"/>
    <w:rsid w:val="005F1444"/>
    <w:rsid w:val="005F2012"/>
    <w:rsid w:val="005F24B9"/>
    <w:rsid w:val="005F24F8"/>
    <w:rsid w:val="005F277B"/>
    <w:rsid w:val="005F2E32"/>
    <w:rsid w:val="005F2F61"/>
    <w:rsid w:val="005F3711"/>
    <w:rsid w:val="005F3808"/>
    <w:rsid w:val="005F3E5E"/>
    <w:rsid w:val="005F41E7"/>
    <w:rsid w:val="005F480F"/>
    <w:rsid w:val="005F4980"/>
    <w:rsid w:val="005F5126"/>
    <w:rsid w:val="005F5518"/>
    <w:rsid w:val="005F57CC"/>
    <w:rsid w:val="005F5CB9"/>
    <w:rsid w:val="005F5DF1"/>
    <w:rsid w:val="005F6C8D"/>
    <w:rsid w:val="005F6CAF"/>
    <w:rsid w:val="005F6D5F"/>
    <w:rsid w:val="005F724A"/>
    <w:rsid w:val="005F77B4"/>
    <w:rsid w:val="00600D62"/>
    <w:rsid w:val="0060108B"/>
    <w:rsid w:val="0060113F"/>
    <w:rsid w:val="0060122E"/>
    <w:rsid w:val="00601A1E"/>
    <w:rsid w:val="00601C7E"/>
    <w:rsid w:val="00601F5B"/>
    <w:rsid w:val="00602175"/>
    <w:rsid w:val="00602B7D"/>
    <w:rsid w:val="00602E45"/>
    <w:rsid w:val="0060302A"/>
    <w:rsid w:val="00603047"/>
    <w:rsid w:val="0060334F"/>
    <w:rsid w:val="00603400"/>
    <w:rsid w:val="00603E34"/>
    <w:rsid w:val="00604572"/>
    <w:rsid w:val="00604BDE"/>
    <w:rsid w:val="00604D14"/>
    <w:rsid w:val="00604E32"/>
    <w:rsid w:val="00605198"/>
    <w:rsid w:val="006056A0"/>
    <w:rsid w:val="00605700"/>
    <w:rsid w:val="00605B85"/>
    <w:rsid w:val="00606E35"/>
    <w:rsid w:val="006077EB"/>
    <w:rsid w:val="00607A73"/>
    <w:rsid w:val="00607B3B"/>
    <w:rsid w:val="00607D3D"/>
    <w:rsid w:val="006101ED"/>
    <w:rsid w:val="0061070E"/>
    <w:rsid w:val="00610883"/>
    <w:rsid w:val="0061091A"/>
    <w:rsid w:val="0061157D"/>
    <w:rsid w:val="00611EF4"/>
    <w:rsid w:val="006126F1"/>
    <w:rsid w:val="00612F31"/>
    <w:rsid w:val="006133F8"/>
    <w:rsid w:val="006137E4"/>
    <w:rsid w:val="00613EC6"/>
    <w:rsid w:val="0061415E"/>
    <w:rsid w:val="00616521"/>
    <w:rsid w:val="00616B02"/>
    <w:rsid w:val="00617229"/>
    <w:rsid w:val="0061734F"/>
    <w:rsid w:val="00617A67"/>
    <w:rsid w:val="006205B6"/>
    <w:rsid w:val="00620829"/>
    <w:rsid w:val="00621D7C"/>
    <w:rsid w:val="006223A2"/>
    <w:rsid w:val="006233C1"/>
    <w:rsid w:val="00623457"/>
    <w:rsid w:val="0062376F"/>
    <w:rsid w:val="00623D88"/>
    <w:rsid w:val="00624A63"/>
    <w:rsid w:val="0062547C"/>
    <w:rsid w:val="0062570F"/>
    <w:rsid w:val="006258A0"/>
    <w:rsid w:val="00625DF2"/>
    <w:rsid w:val="0062633D"/>
    <w:rsid w:val="00626460"/>
    <w:rsid w:val="0062677C"/>
    <w:rsid w:val="00626B9B"/>
    <w:rsid w:val="006272AA"/>
    <w:rsid w:val="00627646"/>
    <w:rsid w:val="0062775B"/>
    <w:rsid w:val="006277E2"/>
    <w:rsid w:val="0063029D"/>
    <w:rsid w:val="006304EC"/>
    <w:rsid w:val="00630BEF"/>
    <w:rsid w:val="00630DDC"/>
    <w:rsid w:val="00630FB3"/>
    <w:rsid w:val="00631B45"/>
    <w:rsid w:val="00631BDD"/>
    <w:rsid w:val="00632074"/>
    <w:rsid w:val="00632AFB"/>
    <w:rsid w:val="00632ED4"/>
    <w:rsid w:val="0063393A"/>
    <w:rsid w:val="00633B0E"/>
    <w:rsid w:val="0063434B"/>
    <w:rsid w:val="00635026"/>
    <w:rsid w:val="00635249"/>
    <w:rsid w:val="006357D7"/>
    <w:rsid w:val="00635801"/>
    <w:rsid w:val="006358F3"/>
    <w:rsid w:val="00635A0A"/>
    <w:rsid w:val="00636319"/>
    <w:rsid w:val="0063686C"/>
    <w:rsid w:val="00637245"/>
    <w:rsid w:val="00637442"/>
    <w:rsid w:val="0063761A"/>
    <w:rsid w:val="00637869"/>
    <w:rsid w:val="006405C0"/>
    <w:rsid w:val="00640AC2"/>
    <w:rsid w:val="00641447"/>
    <w:rsid w:val="00641BF8"/>
    <w:rsid w:val="006420CA"/>
    <w:rsid w:val="0064219A"/>
    <w:rsid w:val="00642515"/>
    <w:rsid w:val="00642FAF"/>
    <w:rsid w:val="006434C7"/>
    <w:rsid w:val="006435ED"/>
    <w:rsid w:val="0064407A"/>
    <w:rsid w:val="0064439B"/>
    <w:rsid w:val="006443D3"/>
    <w:rsid w:val="00644578"/>
    <w:rsid w:val="0064473B"/>
    <w:rsid w:val="0064492E"/>
    <w:rsid w:val="00644C5A"/>
    <w:rsid w:val="00644EAB"/>
    <w:rsid w:val="0064522C"/>
    <w:rsid w:val="00645409"/>
    <w:rsid w:val="006457C3"/>
    <w:rsid w:val="00646F71"/>
    <w:rsid w:val="00647915"/>
    <w:rsid w:val="0064792E"/>
    <w:rsid w:val="006501A8"/>
    <w:rsid w:val="00650962"/>
    <w:rsid w:val="00650FF7"/>
    <w:rsid w:val="00651065"/>
    <w:rsid w:val="00651217"/>
    <w:rsid w:val="0065138A"/>
    <w:rsid w:val="00651C3E"/>
    <w:rsid w:val="00652163"/>
    <w:rsid w:val="00652444"/>
    <w:rsid w:val="00652508"/>
    <w:rsid w:val="00652AFF"/>
    <w:rsid w:val="00653B11"/>
    <w:rsid w:val="00653BC7"/>
    <w:rsid w:val="00653CBF"/>
    <w:rsid w:val="00653F95"/>
    <w:rsid w:val="006545FB"/>
    <w:rsid w:val="006546F7"/>
    <w:rsid w:val="006549C3"/>
    <w:rsid w:val="0065550F"/>
    <w:rsid w:val="0065665D"/>
    <w:rsid w:val="00656C89"/>
    <w:rsid w:val="00656FB8"/>
    <w:rsid w:val="006573EE"/>
    <w:rsid w:val="006574B8"/>
    <w:rsid w:val="00657C81"/>
    <w:rsid w:val="006606FC"/>
    <w:rsid w:val="00660846"/>
    <w:rsid w:val="006608BF"/>
    <w:rsid w:val="006626D1"/>
    <w:rsid w:val="0066277B"/>
    <w:rsid w:val="00662C97"/>
    <w:rsid w:val="006637A2"/>
    <w:rsid w:val="00663A67"/>
    <w:rsid w:val="0066434D"/>
    <w:rsid w:val="00664682"/>
    <w:rsid w:val="00664C76"/>
    <w:rsid w:val="00664ED5"/>
    <w:rsid w:val="00664F16"/>
    <w:rsid w:val="0066531B"/>
    <w:rsid w:val="00666057"/>
    <w:rsid w:val="006672AE"/>
    <w:rsid w:val="0067019E"/>
    <w:rsid w:val="0067124E"/>
    <w:rsid w:val="00671312"/>
    <w:rsid w:val="00671766"/>
    <w:rsid w:val="00672A4B"/>
    <w:rsid w:val="006731D4"/>
    <w:rsid w:val="00673F76"/>
    <w:rsid w:val="00674136"/>
    <w:rsid w:val="006744E5"/>
    <w:rsid w:val="00674690"/>
    <w:rsid w:val="00674B75"/>
    <w:rsid w:val="006761CD"/>
    <w:rsid w:val="006762AA"/>
    <w:rsid w:val="006765BF"/>
    <w:rsid w:val="006767E4"/>
    <w:rsid w:val="00676D46"/>
    <w:rsid w:val="006770D9"/>
    <w:rsid w:val="00677364"/>
    <w:rsid w:val="00677A82"/>
    <w:rsid w:val="00677E51"/>
    <w:rsid w:val="0068038D"/>
    <w:rsid w:val="0068050D"/>
    <w:rsid w:val="00680895"/>
    <w:rsid w:val="006810E2"/>
    <w:rsid w:val="00681521"/>
    <w:rsid w:val="006819D0"/>
    <w:rsid w:val="00682091"/>
    <w:rsid w:val="00682A62"/>
    <w:rsid w:val="00682AF5"/>
    <w:rsid w:val="0068316B"/>
    <w:rsid w:val="00683E7D"/>
    <w:rsid w:val="00684061"/>
    <w:rsid w:val="00684A32"/>
    <w:rsid w:val="00684F07"/>
    <w:rsid w:val="0068541B"/>
    <w:rsid w:val="006859A1"/>
    <w:rsid w:val="00685AC8"/>
    <w:rsid w:val="0068625A"/>
    <w:rsid w:val="006870D3"/>
    <w:rsid w:val="00687E97"/>
    <w:rsid w:val="00690244"/>
    <w:rsid w:val="006909C4"/>
    <w:rsid w:val="00690C21"/>
    <w:rsid w:val="00691651"/>
    <w:rsid w:val="00691C07"/>
    <w:rsid w:val="00691F86"/>
    <w:rsid w:val="0069208A"/>
    <w:rsid w:val="00692306"/>
    <w:rsid w:val="006933C4"/>
    <w:rsid w:val="00693B11"/>
    <w:rsid w:val="00695443"/>
    <w:rsid w:val="00695938"/>
    <w:rsid w:val="00695D36"/>
    <w:rsid w:val="0069651A"/>
    <w:rsid w:val="00697820"/>
    <w:rsid w:val="00697B39"/>
    <w:rsid w:val="00697F42"/>
    <w:rsid w:val="006A025B"/>
    <w:rsid w:val="006A04D9"/>
    <w:rsid w:val="006A04EC"/>
    <w:rsid w:val="006A05D8"/>
    <w:rsid w:val="006A0F32"/>
    <w:rsid w:val="006A1051"/>
    <w:rsid w:val="006A1211"/>
    <w:rsid w:val="006A15C9"/>
    <w:rsid w:val="006A16B6"/>
    <w:rsid w:val="006A2382"/>
    <w:rsid w:val="006A2A30"/>
    <w:rsid w:val="006A2F7E"/>
    <w:rsid w:val="006A367A"/>
    <w:rsid w:val="006A3AD9"/>
    <w:rsid w:val="006A3B17"/>
    <w:rsid w:val="006A3C99"/>
    <w:rsid w:val="006A3CAF"/>
    <w:rsid w:val="006A4117"/>
    <w:rsid w:val="006A74E9"/>
    <w:rsid w:val="006A7B48"/>
    <w:rsid w:val="006B0394"/>
    <w:rsid w:val="006B0994"/>
    <w:rsid w:val="006B0D45"/>
    <w:rsid w:val="006B0F67"/>
    <w:rsid w:val="006B1161"/>
    <w:rsid w:val="006B164F"/>
    <w:rsid w:val="006B16D5"/>
    <w:rsid w:val="006B19CE"/>
    <w:rsid w:val="006B1BAF"/>
    <w:rsid w:val="006B2150"/>
    <w:rsid w:val="006B217A"/>
    <w:rsid w:val="006B23C5"/>
    <w:rsid w:val="006B35DF"/>
    <w:rsid w:val="006B44D2"/>
    <w:rsid w:val="006B4E37"/>
    <w:rsid w:val="006B518A"/>
    <w:rsid w:val="006B5900"/>
    <w:rsid w:val="006B5AE4"/>
    <w:rsid w:val="006B6126"/>
    <w:rsid w:val="006B652E"/>
    <w:rsid w:val="006B783E"/>
    <w:rsid w:val="006C027B"/>
    <w:rsid w:val="006C0A82"/>
    <w:rsid w:val="006C10F1"/>
    <w:rsid w:val="006C1EB8"/>
    <w:rsid w:val="006C21D2"/>
    <w:rsid w:val="006C22FB"/>
    <w:rsid w:val="006C28E9"/>
    <w:rsid w:val="006C2C90"/>
    <w:rsid w:val="006C2CC9"/>
    <w:rsid w:val="006C3533"/>
    <w:rsid w:val="006C3F55"/>
    <w:rsid w:val="006C4867"/>
    <w:rsid w:val="006C4A0C"/>
    <w:rsid w:val="006C5615"/>
    <w:rsid w:val="006C57CB"/>
    <w:rsid w:val="006C6D86"/>
    <w:rsid w:val="006C6EC0"/>
    <w:rsid w:val="006C7EA4"/>
    <w:rsid w:val="006D0F47"/>
    <w:rsid w:val="006D11BD"/>
    <w:rsid w:val="006D1931"/>
    <w:rsid w:val="006D1A9E"/>
    <w:rsid w:val="006D1EC7"/>
    <w:rsid w:val="006D2D80"/>
    <w:rsid w:val="006D2E3F"/>
    <w:rsid w:val="006D2F51"/>
    <w:rsid w:val="006D30AB"/>
    <w:rsid w:val="006D32DC"/>
    <w:rsid w:val="006D36A9"/>
    <w:rsid w:val="006D389A"/>
    <w:rsid w:val="006D39D2"/>
    <w:rsid w:val="006D3BF1"/>
    <w:rsid w:val="006D427B"/>
    <w:rsid w:val="006D505A"/>
    <w:rsid w:val="006D5138"/>
    <w:rsid w:val="006D5184"/>
    <w:rsid w:val="006D5264"/>
    <w:rsid w:val="006D52B6"/>
    <w:rsid w:val="006D542B"/>
    <w:rsid w:val="006D58F2"/>
    <w:rsid w:val="006D59A1"/>
    <w:rsid w:val="006D6A9D"/>
    <w:rsid w:val="006D72B3"/>
    <w:rsid w:val="006D7333"/>
    <w:rsid w:val="006E0217"/>
    <w:rsid w:val="006E0898"/>
    <w:rsid w:val="006E0906"/>
    <w:rsid w:val="006E1953"/>
    <w:rsid w:val="006E1BB7"/>
    <w:rsid w:val="006E1E15"/>
    <w:rsid w:val="006E1F93"/>
    <w:rsid w:val="006E23D3"/>
    <w:rsid w:val="006E3543"/>
    <w:rsid w:val="006E36C8"/>
    <w:rsid w:val="006E4AD7"/>
    <w:rsid w:val="006E51E2"/>
    <w:rsid w:val="006E5496"/>
    <w:rsid w:val="006E5896"/>
    <w:rsid w:val="006E59F4"/>
    <w:rsid w:val="006E5DF9"/>
    <w:rsid w:val="006E6719"/>
    <w:rsid w:val="006E6D92"/>
    <w:rsid w:val="006F01A7"/>
    <w:rsid w:val="006F0AE5"/>
    <w:rsid w:val="006F0F7F"/>
    <w:rsid w:val="006F1111"/>
    <w:rsid w:val="006F13E5"/>
    <w:rsid w:val="006F1446"/>
    <w:rsid w:val="006F2640"/>
    <w:rsid w:val="006F2B7D"/>
    <w:rsid w:val="006F30EE"/>
    <w:rsid w:val="006F32EB"/>
    <w:rsid w:val="006F34AA"/>
    <w:rsid w:val="006F3625"/>
    <w:rsid w:val="006F3AB3"/>
    <w:rsid w:val="006F46AE"/>
    <w:rsid w:val="006F46FC"/>
    <w:rsid w:val="006F491D"/>
    <w:rsid w:val="006F5089"/>
    <w:rsid w:val="006F5B1F"/>
    <w:rsid w:val="006F5C94"/>
    <w:rsid w:val="006F64F5"/>
    <w:rsid w:val="006F67AB"/>
    <w:rsid w:val="006F68D3"/>
    <w:rsid w:val="006F75D0"/>
    <w:rsid w:val="00700C79"/>
    <w:rsid w:val="00700CD7"/>
    <w:rsid w:val="007012CB"/>
    <w:rsid w:val="00701545"/>
    <w:rsid w:val="007016DE"/>
    <w:rsid w:val="00701B8C"/>
    <w:rsid w:val="00701E4B"/>
    <w:rsid w:val="0070271C"/>
    <w:rsid w:val="007028DD"/>
    <w:rsid w:val="00702E09"/>
    <w:rsid w:val="00702E9B"/>
    <w:rsid w:val="00703219"/>
    <w:rsid w:val="00703341"/>
    <w:rsid w:val="0070349F"/>
    <w:rsid w:val="007041A8"/>
    <w:rsid w:val="0070432C"/>
    <w:rsid w:val="00704572"/>
    <w:rsid w:val="00704645"/>
    <w:rsid w:val="00704A37"/>
    <w:rsid w:val="00704D38"/>
    <w:rsid w:val="007055F8"/>
    <w:rsid w:val="00705B14"/>
    <w:rsid w:val="00706361"/>
    <w:rsid w:val="0070641E"/>
    <w:rsid w:val="0070650D"/>
    <w:rsid w:val="00706D2C"/>
    <w:rsid w:val="007070F7"/>
    <w:rsid w:val="0070728B"/>
    <w:rsid w:val="0070731A"/>
    <w:rsid w:val="00710233"/>
    <w:rsid w:val="0071163C"/>
    <w:rsid w:val="0071194E"/>
    <w:rsid w:val="0071256A"/>
    <w:rsid w:val="00712730"/>
    <w:rsid w:val="00713B06"/>
    <w:rsid w:val="00714D66"/>
    <w:rsid w:val="00714DE8"/>
    <w:rsid w:val="0071510C"/>
    <w:rsid w:val="00715304"/>
    <w:rsid w:val="00715388"/>
    <w:rsid w:val="00715742"/>
    <w:rsid w:val="007157D1"/>
    <w:rsid w:val="0071597A"/>
    <w:rsid w:val="00716034"/>
    <w:rsid w:val="00716285"/>
    <w:rsid w:val="00716490"/>
    <w:rsid w:val="007164F9"/>
    <w:rsid w:val="00716C6A"/>
    <w:rsid w:val="007174EA"/>
    <w:rsid w:val="0071792E"/>
    <w:rsid w:val="00717B04"/>
    <w:rsid w:val="00717B47"/>
    <w:rsid w:val="00717DEA"/>
    <w:rsid w:val="0072030A"/>
    <w:rsid w:val="007208DB"/>
    <w:rsid w:val="00720B92"/>
    <w:rsid w:val="00720BA4"/>
    <w:rsid w:val="0072166C"/>
    <w:rsid w:val="00721A02"/>
    <w:rsid w:val="00721C50"/>
    <w:rsid w:val="00721CC7"/>
    <w:rsid w:val="0072208A"/>
    <w:rsid w:val="00722430"/>
    <w:rsid w:val="007228D2"/>
    <w:rsid w:val="00722D67"/>
    <w:rsid w:val="00723838"/>
    <w:rsid w:val="0072420C"/>
    <w:rsid w:val="007244F1"/>
    <w:rsid w:val="0072520F"/>
    <w:rsid w:val="00725525"/>
    <w:rsid w:val="007260DC"/>
    <w:rsid w:val="007261CB"/>
    <w:rsid w:val="00726277"/>
    <w:rsid w:val="00726AD6"/>
    <w:rsid w:val="00727BA7"/>
    <w:rsid w:val="00727D4C"/>
    <w:rsid w:val="0073014A"/>
    <w:rsid w:val="00730164"/>
    <w:rsid w:val="00730808"/>
    <w:rsid w:val="00730959"/>
    <w:rsid w:val="00730C5B"/>
    <w:rsid w:val="0073106E"/>
    <w:rsid w:val="0073185C"/>
    <w:rsid w:val="00731ACE"/>
    <w:rsid w:val="00731BAE"/>
    <w:rsid w:val="00731F04"/>
    <w:rsid w:val="00731F3D"/>
    <w:rsid w:val="007325FB"/>
    <w:rsid w:val="00732F58"/>
    <w:rsid w:val="007332CB"/>
    <w:rsid w:val="007335BD"/>
    <w:rsid w:val="0073364D"/>
    <w:rsid w:val="00733EC5"/>
    <w:rsid w:val="00734504"/>
    <w:rsid w:val="00735238"/>
    <w:rsid w:val="0073538D"/>
    <w:rsid w:val="0073564C"/>
    <w:rsid w:val="0073625B"/>
    <w:rsid w:val="00737199"/>
    <w:rsid w:val="0073739E"/>
    <w:rsid w:val="00737D87"/>
    <w:rsid w:val="0074004F"/>
    <w:rsid w:val="007403D3"/>
    <w:rsid w:val="007407B4"/>
    <w:rsid w:val="007408E4"/>
    <w:rsid w:val="007410F7"/>
    <w:rsid w:val="0074118F"/>
    <w:rsid w:val="0074186E"/>
    <w:rsid w:val="00742AD8"/>
    <w:rsid w:val="00742DD6"/>
    <w:rsid w:val="00742DF8"/>
    <w:rsid w:val="00743117"/>
    <w:rsid w:val="00743136"/>
    <w:rsid w:val="007433AB"/>
    <w:rsid w:val="00743976"/>
    <w:rsid w:val="00743C7C"/>
    <w:rsid w:val="00743D45"/>
    <w:rsid w:val="0074418B"/>
    <w:rsid w:val="00744A23"/>
    <w:rsid w:val="00744F5A"/>
    <w:rsid w:val="0074538C"/>
    <w:rsid w:val="00745798"/>
    <w:rsid w:val="00745961"/>
    <w:rsid w:val="00745DA6"/>
    <w:rsid w:val="0074704D"/>
    <w:rsid w:val="00747586"/>
    <w:rsid w:val="00747E3B"/>
    <w:rsid w:val="0075058A"/>
    <w:rsid w:val="00750E2D"/>
    <w:rsid w:val="007518E5"/>
    <w:rsid w:val="00752322"/>
    <w:rsid w:val="00753C94"/>
    <w:rsid w:val="00753D89"/>
    <w:rsid w:val="00754187"/>
    <w:rsid w:val="007546AB"/>
    <w:rsid w:val="007546E1"/>
    <w:rsid w:val="00754DFF"/>
    <w:rsid w:val="00755332"/>
    <w:rsid w:val="007554EA"/>
    <w:rsid w:val="0075565E"/>
    <w:rsid w:val="00755BDE"/>
    <w:rsid w:val="007576CF"/>
    <w:rsid w:val="00760E8B"/>
    <w:rsid w:val="00760F7C"/>
    <w:rsid w:val="007614A8"/>
    <w:rsid w:val="00761647"/>
    <w:rsid w:val="007617B8"/>
    <w:rsid w:val="0076188D"/>
    <w:rsid w:val="00761E50"/>
    <w:rsid w:val="0076232C"/>
    <w:rsid w:val="007635FA"/>
    <w:rsid w:val="00763948"/>
    <w:rsid w:val="00763B3A"/>
    <w:rsid w:val="0076458C"/>
    <w:rsid w:val="00764C42"/>
    <w:rsid w:val="0076522D"/>
    <w:rsid w:val="007655DD"/>
    <w:rsid w:val="0076578E"/>
    <w:rsid w:val="00765822"/>
    <w:rsid w:val="00765A22"/>
    <w:rsid w:val="007660A4"/>
    <w:rsid w:val="00766542"/>
    <w:rsid w:val="00767BAE"/>
    <w:rsid w:val="00767E05"/>
    <w:rsid w:val="00767E30"/>
    <w:rsid w:val="007702AA"/>
    <w:rsid w:val="007707CD"/>
    <w:rsid w:val="00770D16"/>
    <w:rsid w:val="00770D9D"/>
    <w:rsid w:val="007714BB"/>
    <w:rsid w:val="00771BAB"/>
    <w:rsid w:val="0077211D"/>
    <w:rsid w:val="0077236C"/>
    <w:rsid w:val="007727F7"/>
    <w:rsid w:val="00772843"/>
    <w:rsid w:val="00772C35"/>
    <w:rsid w:val="00772F36"/>
    <w:rsid w:val="007732B7"/>
    <w:rsid w:val="0077330E"/>
    <w:rsid w:val="007742A5"/>
    <w:rsid w:val="007748F6"/>
    <w:rsid w:val="007752B1"/>
    <w:rsid w:val="00775450"/>
    <w:rsid w:val="00775468"/>
    <w:rsid w:val="00775623"/>
    <w:rsid w:val="00775E07"/>
    <w:rsid w:val="00775E93"/>
    <w:rsid w:val="00775EA8"/>
    <w:rsid w:val="0077624F"/>
    <w:rsid w:val="007762F6"/>
    <w:rsid w:val="0077691F"/>
    <w:rsid w:val="00777D65"/>
    <w:rsid w:val="00777EEF"/>
    <w:rsid w:val="0078026E"/>
    <w:rsid w:val="00781409"/>
    <w:rsid w:val="00781E09"/>
    <w:rsid w:val="00782E66"/>
    <w:rsid w:val="00782EB6"/>
    <w:rsid w:val="007837F3"/>
    <w:rsid w:val="007839EA"/>
    <w:rsid w:val="00783CD8"/>
    <w:rsid w:val="00783E98"/>
    <w:rsid w:val="007841A0"/>
    <w:rsid w:val="00784381"/>
    <w:rsid w:val="007843A3"/>
    <w:rsid w:val="00784820"/>
    <w:rsid w:val="00784A32"/>
    <w:rsid w:val="00784C61"/>
    <w:rsid w:val="00784F48"/>
    <w:rsid w:val="00784FC8"/>
    <w:rsid w:val="00785188"/>
    <w:rsid w:val="0078542C"/>
    <w:rsid w:val="00785764"/>
    <w:rsid w:val="00785BA6"/>
    <w:rsid w:val="007860C2"/>
    <w:rsid w:val="0078622C"/>
    <w:rsid w:val="00786612"/>
    <w:rsid w:val="007866E2"/>
    <w:rsid w:val="00786C29"/>
    <w:rsid w:val="00787177"/>
    <w:rsid w:val="00790630"/>
    <w:rsid w:val="007910CA"/>
    <w:rsid w:val="0079122D"/>
    <w:rsid w:val="00791320"/>
    <w:rsid w:val="00791DF5"/>
    <w:rsid w:val="007925D1"/>
    <w:rsid w:val="00792D2F"/>
    <w:rsid w:val="007937CD"/>
    <w:rsid w:val="00793814"/>
    <w:rsid w:val="00794478"/>
    <w:rsid w:val="00794673"/>
    <w:rsid w:val="0079471E"/>
    <w:rsid w:val="007948A7"/>
    <w:rsid w:val="00794CB2"/>
    <w:rsid w:val="00795B7B"/>
    <w:rsid w:val="00795DF9"/>
    <w:rsid w:val="0079658B"/>
    <w:rsid w:val="00796EF6"/>
    <w:rsid w:val="00796FDE"/>
    <w:rsid w:val="007970DA"/>
    <w:rsid w:val="007970F4"/>
    <w:rsid w:val="00797475"/>
    <w:rsid w:val="00797722"/>
    <w:rsid w:val="00797DF4"/>
    <w:rsid w:val="00797E12"/>
    <w:rsid w:val="007A0402"/>
    <w:rsid w:val="007A040E"/>
    <w:rsid w:val="007A05C9"/>
    <w:rsid w:val="007A0F4C"/>
    <w:rsid w:val="007A10D0"/>
    <w:rsid w:val="007A1650"/>
    <w:rsid w:val="007A20BC"/>
    <w:rsid w:val="007A22E8"/>
    <w:rsid w:val="007A29D0"/>
    <w:rsid w:val="007A306F"/>
    <w:rsid w:val="007A35F9"/>
    <w:rsid w:val="007A383B"/>
    <w:rsid w:val="007A4B1C"/>
    <w:rsid w:val="007A61D4"/>
    <w:rsid w:val="007A6654"/>
    <w:rsid w:val="007A67D7"/>
    <w:rsid w:val="007A69EF"/>
    <w:rsid w:val="007A6C99"/>
    <w:rsid w:val="007A7287"/>
    <w:rsid w:val="007B015D"/>
    <w:rsid w:val="007B0184"/>
    <w:rsid w:val="007B0F34"/>
    <w:rsid w:val="007B12BE"/>
    <w:rsid w:val="007B14AA"/>
    <w:rsid w:val="007B16AE"/>
    <w:rsid w:val="007B1C4D"/>
    <w:rsid w:val="007B20CB"/>
    <w:rsid w:val="007B2512"/>
    <w:rsid w:val="007B2CA0"/>
    <w:rsid w:val="007B36CB"/>
    <w:rsid w:val="007B4232"/>
    <w:rsid w:val="007B4B22"/>
    <w:rsid w:val="007B564D"/>
    <w:rsid w:val="007B5950"/>
    <w:rsid w:val="007B5BD3"/>
    <w:rsid w:val="007B5F64"/>
    <w:rsid w:val="007B68A9"/>
    <w:rsid w:val="007B6BBD"/>
    <w:rsid w:val="007C0184"/>
    <w:rsid w:val="007C0FD7"/>
    <w:rsid w:val="007C11BB"/>
    <w:rsid w:val="007C21C2"/>
    <w:rsid w:val="007C25D4"/>
    <w:rsid w:val="007C2A41"/>
    <w:rsid w:val="007C306F"/>
    <w:rsid w:val="007C32B9"/>
    <w:rsid w:val="007C3460"/>
    <w:rsid w:val="007C3676"/>
    <w:rsid w:val="007C3706"/>
    <w:rsid w:val="007C3E9A"/>
    <w:rsid w:val="007C43FC"/>
    <w:rsid w:val="007C5962"/>
    <w:rsid w:val="007C5F3C"/>
    <w:rsid w:val="007C606D"/>
    <w:rsid w:val="007C6518"/>
    <w:rsid w:val="007C6732"/>
    <w:rsid w:val="007C7240"/>
    <w:rsid w:val="007C7373"/>
    <w:rsid w:val="007C7516"/>
    <w:rsid w:val="007C757E"/>
    <w:rsid w:val="007C7943"/>
    <w:rsid w:val="007C7B04"/>
    <w:rsid w:val="007C7C86"/>
    <w:rsid w:val="007C7D6C"/>
    <w:rsid w:val="007C7D95"/>
    <w:rsid w:val="007D0D22"/>
    <w:rsid w:val="007D1B1B"/>
    <w:rsid w:val="007D1B4D"/>
    <w:rsid w:val="007D1E2F"/>
    <w:rsid w:val="007D233D"/>
    <w:rsid w:val="007D2AC9"/>
    <w:rsid w:val="007D35EA"/>
    <w:rsid w:val="007D3DEB"/>
    <w:rsid w:val="007D425B"/>
    <w:rsid w:val="007D4343"/>
    <w:rsid w:val="007D481E"/>
    <w:rsid w:val="007D5215"/>
    <w:rsid w:val="007D5C59"/>
    <w:rsid w:val="007D663D"/>
    <w:rsid w:val="007D6E33"/>
    <w:rsid w:val="007D6E50"/>
    <w:rsid w:val="007D714A"/>
    <w:rsid w:val="007E0308"/>
    <w:rsid w:val="007E0863"/>
    <w:rsid w:val="007E10FE"/>
    <w:rsid w:val="007E1719"/>
    <w:rsid w:val="007E1B73"/>
    <w:rsid w:val="007E250B"/>
    <w:rsid w:val="007E2D9A"/>
    <w:rsid w:val="007E2FE1"/>
    <w:rsid w:val="007E31A9"/>
    <w:rsid w:val="007E33FF"/>
    <w:rsid w:val="007E38B1"/>
    <w:rsid w:val="007E4D5E"/>
    <w:rsid w:val="007E4E82"/>
    <w:rsid w:val="007E5AA5"/>
    <w:rsid w:val="007E5BF6"/>
    <w:rsid w:val="007E6094"/>
    <w:rsid w:val="007E665A"/>
    <w:rsid w:val="007E67E9"/>
    <w:rsid w:val="007E7E47"/>
    <w:rsid w:val="007F02FB"/>
    <w:rsid w:val="007F050A"/>
    <w:rsid w:val="007F0A56"/>
    <w:rsid w:val="007F1427"/>
    <w:rsid w:val="007F149B"/>
    <w:rsid w:val="007F210D"/>
    <w:rsid w:val="007F2745"/>
    <w:rsid w:val="007F2D49"/>
    <w:rsid w:val="007F38E2"/>
    <w:rsid w:val="007F41C3"/>
    <w:rsid w:val="007F4301"/>
    <w:rsid w:val="007F46EC"/>
    <w:rsid w:val="007F5077"/>
    <w:rsid w:val="007F58CA"/>
    <w:rsid w:val="007F5FDB"/>
    <w:rsid w:val="007F61A6"/>
    <w:rsid w:val="007F6AE4"/>
    <w:rsid w:val="007F7095"/>
    <w:rsid w:val="007F7DC5"/>
    <w:rsid w:val="007F7FB3"/>
    <w:rsid w:val="00800465"/>
    <w:rsid w:val="00800F2C"/>
    <w:rsid w:val="008012E3"/>
    <w:rsid w:val="00801646"/>
    <w:rsid w:val="008017D7"/>
    <w:rsid w:val="00801B48"/>
    <w:rsid w:val="00801D32"/>
    <w:rsid w:val="008027F2"/>
    <w:rsid w:val="00802AA3"/>
    <w:rsid w:val="00803AD6"/>
    <w:rsid w:val="00803D35"/>
    <w:rsid w:val="00804260"/>
    <w:rsid w:val="008043E6"/>
    <w:rsid w:val="00804BD7"/>
    <w:rsid w:val="00804FF0"/>
    <w:rsid w:val="008054F9"/>
    <w:rsid w:val="008062CE"/>
    <w:rsid w:val="008066BC"/>
    <w:rsid w:val="0080696D"/>
    <w:rsid w:val="00806E9A"/>
    <w:rsid w:val="00807600"/>
    <w:rsid w:val="00807A4A"/>
    <w:rsid w:val="00807A4E"/>
    <w:rsid w:val="00807D26"/>
    <w:rsid w:val="00807F9C"/>
    <w:rsid w:val="008103E3"/>
    <w:rsid w:val="00810548"/>
    <w:rsid w:val="00810C55"/>
    <w:rsid w:val="00811DC0"/>
    <w:rsid w:val="00811EDF"/>
    <w:rsid w:val="00811EE6"/>
    <w:rsid w:val="0081276A"/>
    <w:rsid w:val="008129D5"/>
    <w:rsid w:val="00813F27"/>
    <w:rsid w:val="008144C3"/>
    <w:rsid w:val="008146DE"/>
    <w:rsid w:val="008148D1"/>
    <w:rsid w:val="00815794"/>
    <w:rsid w:val="00815865"/>
    <w:rsid w:val="00815F54"/>
    <w:rsid w:val="0081605C"/>
    <w:rsid w:val="008167BF"/>
    <w:rsid w:val="0081695C"/>
    <w:rsid w:val="0081698E"/>
    <w:rsid w:val="0081701E"/>
    <w:rsid w:val="008179F4"/>
    <w:rsid w:val="00817A80"/>
    <w:rsid w:val="00817A87"/>
    <w:rsid w:val="00817C93"/>
    <w:rsid w:val="008201B6"/>
    <w:rsid w:val="00820C00"/>
    <w:rsid w:val="00820C29"/>
    <w:rsid w:val="00820CD6"/>
    <w:rsid w:val="00820E4F"/>
    <w:rsid w:val="008211A8"/>
    <w:rsid w:val="008213C9"/>
    <w:rsid w:val="0082144C"/>
    <w:rsid w:val="00821B52"/>
    <w:rsid w:val="008226C4"/>
    <w:rsid w:val="0082364D"/>
    <w:rsid w:val="0082378E"/>
    <w:rsid w:val="0082385E"/>
    <w:rsid w:val="008238A5"/>
    <w:rsid w:val="00823C9E"/>
    <w:rsid w:val="00823E8A"/>
    <w:rsid w:val="00824EF4"/>
    <w:rsid w:val="00825580"/>
    <w:rsid w:val="0082656F"/>
    <w:rsid w:val="008265DA"/>
    <w:rsid w:val="00826B50"/>
    <w:rsid w:val="00826C7A"/>
    <w:rsid w:val="00826EF2"/>
    <w:rsid w:val="00830033"/>
    <w:rsid w:val="00830E92"/>
    <w:rsid w:val="00830F09"/>
    <w:rsid w:val="00831115"/>
    <w:rsid w:val="00832085"/>
    <w:rsid w:val="00832271"/>
    <w:rsid w:val="008327FD"/>
    <w:rsid w:val="00832982"/>
    <w:rsid w:val="008330B0"/>
    <w:rsid w:val="008337F8"/>
    <w:rsid w:val="00833942"/>
    <w:rsid w:val="00833BB4"/>
    <w:rsid w:val="00833F7A"/>
    <w:rsid w:val="00834F11"/>
    <w:rsid w:val="00835236"/>
    <w:rsid w:val="008352DF"/>
    <w:rsid w:val="00835C99"/>
    <w:rsid w:val="00835F55"/>
    <w:rsid w:val="008361EF"/>
    <w:rsid w:val="00836472"/>
    <w:rsid w:val="008367D5"/>
    <w:rsid w:val="008368C7"/>
    <w:rsid w:val="00836AA2"/>
    <w:rsid w:val="00836DD6"/>
    <w:rsid w:val="00836FE0"/>
    <w:rsid w:val="0083707A"/>
    <w:rsid w:val="0083786F"/>
    <w:rsid w:val="0083788B"/>
    <w:rsid w:val="008379FB"/>
    <w:rsid w:val="008401C1"/>
    <w:rsid w:val="008407A2"/>
    <w:rsid w:val="00840A20"/>
    <w:rsid w:val="00840BCA"/>
    <w:rsid w:val="00840CD0"/>
    <w:rsid w:val="00841232"/>
    <w:rsid w:val="0084126D"/>
    <w:rsid w:val="008415C6"/>
    <w:rsid w:val="00841896"/>
    <w:rsid w:val="00841BD9"/>
    <w:rsid w:val="00841C12"/>
    <w:rsid w:val="00841D6C"/>
    <w:rsid w:val="00841F37"/>
    <w:rsid w:val="0084276C"/>
    <w:rsid w:val="0084392C"/>
    <w:rsid w:val="00843A2D"/>
    <w:rsid w:val="00843CA6"/>
    <w:rsid w:val="00843DCE"/>
    <w:rsid w:val="0084403D"/>
    <w:rsid w:val="00844EF3"/>
    <w:rsid w:val="00844FD6"/>
    <w:rsid w:val="00845F73"/>
    <w:rsid w:val="008465AD"/>
    <w:rsid w:val="00846E5C"/>
    <w:rsid w:val="008472EC"/>
    <w:rsid w:val="00847374"/>
    <w:rsid w:val="00847BDD"/>
    <w:rsid w:val="0085012A"/>
    <w:rsid w:val="00850429"/>
    <w:rsid w:val="008504BC"/>
    <w:rsid w:val="008509E4"/>
    <w:rsid w:val="00850AF6"/>
    <w:rsid w:val="00850F97"/>
    <w:rsid w:val="00851C70"/>
    <w:rsid w:val="00851E4F"/>
    <w:rsid w:val="00851E63"/>
    <w:rsid w:val="00852331"/>
    <w:rsid w:val="00852740"/>
    <w:rsid w:val="00852BFD"/>
    <w:rsid w:val="00852CE9"/>
    <w:rsid w:val="008536E8"/>
    <w:rsid w:val="0085375F"/>
    <w:rsid w:val="0085395C"/>
    <w:rsid w:val="008541C5"/>
    <w:rsid w:val="00854983"/>
    <w:rsid w:val="008554BA"/>
    <w:rsid w:val="00855D27"/>
    <w:rsid w:val="00856389"/>
    <w:rsid w:val="00856495"/>
    <w:rsid w:val="008565C1"/>
    <w:rsid w:val="008567EC"/>
    <w:rsid w:val="00856950"/>
    <w:rsid w:val="00856C87"/>
    <w:rsid w:val="008572DC"/>
    <w:rsid w:val="00857EBD"/>
    <w:rsid w:val="008604A7"/>
    <w:rsid w:val="00860741"/>
    <w:rsid w:val="008623F6"/>
    <w:rsid w:val="00862468"/>
    <w:rsid w:val="008624FD"/>
    <w:rsid w:val="00862977"/>
    <w:rsid w:val="00862C21"/>
    <w:rsid w:val="00862E4D"/>
    <w:rsid w:val="00862E5F"/>
    <w:rsid w:val="0086337C"/>
    <w:rsid w:val="008640B2"/>
    <w:rsid w:val="00864ADA"/>
    <w:rsid w:val="00864FF0"/>
    <w:rsid w:val="00865416"/>
    <w:rsid w:val="00866420"/>
    <w:rsid w:val="008668C6"/>
    <w:rsid w:val="00866AE7"/>
    <w:rsid w:val="00866BEC"/>
    <w:rsid w:val="00867677"/>
    <w:rsid w:val="00870A24"/>
    <w:rsid w:val="00870B3E"/>
    <w:rsid w:val="00870B8E"/>
    <w:rsid w:val="00870DEC"/>
    <w:rsid w:val="00870F65"/>
    <w:rsid w:val="0087124D"/>
    <w:rsid w:val="00871666"/>
    <w:rsid w:val="008716A1"/>
    <w:rsid w:val="008718B7"/>
    <w:rsid w:val="0087355A"/>
    <w:rsid w:val="00873C62"/>
    <w:rsid w:val="0087414F"/>
    <w:rsid w:val="008741E6"/>
    <w:rsid w:val="0087459E"/>
    <w:rsid w:val="0087480B"/>
    <w:rsid w:val="00874AE4"/>
    <w:rsid w:val="00874C5F"/>
    <w:rsid w:val="008750FC"/>
    <w:rsid w:val="0087582A"/>
    <w:rsid w:val="00875F32"/>
    <w:rsid w:val="00876309"/>
    <w:rsid w:val="008765A3"/>
    <w:rsid w:val="0087687C"/>
    <w:rsid w:val="008768C1"/>
    <w:rsid w:val="00876F58"/>
    <w:rsid w:val="00877569"/>
    <w:rsid w:val="008775A3"/>
    <w:rsid w:val="00877888"/>
    <w:rsid w:val="0088085A"/>
    <w:rsid w:val="00880D44"/>
    <w:rsid w:val="008815D3"/>
    <w:rsid w:val="00881AC0"/>
    <w:rsid w:val="00881AD2"/>
    <w:rsid w:val="0088240E"/>
    <w:rsid w:val="0088260F"/>
    <w:rsid w:val="008827E5"/>
    <w:rsid w:val="00882AA3"/>
    <w:rsid w:val="00882AB8"/>
    <w:rsid w:val="00882D49"/>
    <w:rsid w:val="00882EFE"/>
    <w:rsid w:val="0088314C"/>
    <w:rsid w:val="00883863"/>
    <w:rsid w:val="00883F84"/>
    <w:rsid w:val="00884501"/>
    <w:rsid w:val="00884706"/>
    <w:rsid w:val="00885241"/>
    <w:rsid w:val="00885503"/>
    <w:rsid w:val="00885F0B"/>
    <w:rsid w:val="0088676D"/>
    <w:rsid w:val="00886A4F"/>
    <w:rsid w:val="00886DE1"/>
    <w:rsid w:val="00887009"/>
    <w:rsid w:val="00887BC5"/>
    <w:rsid w:val="00887C0E"/>
    <w:rsid w:val="00890329"/>
    <w:rsid w:val="008903A3"/>
    <w:rsid w:val="00890659"/>
    <w:rsid w:val="00892111"/>
    <w:rsid w:val="00892C2C"/>
    <w:rsid w:val="00892DEC"/>
    <w:rsid w:val="0089399D"/>
    <w:rsid w:val="008943E5"/>
    <w:rsid w:val="0089464D"/>
    <w:rsid w:val="0089476A"/>
    <w:rsid w:val="00894824"/>
    <w:rsid w:val="00895312"/>
    <w:rsid w:val="00895617"/>
    <w:rsid w:val="00896048"/>
    <w:rsid w:val="008964F1"/>
    <w:rsid w:val="0089690B"/>
    <w:rsid w:val="00897A21"/>
    <w:rsid w:val="008A04A7"/>
    <w:rsid w:val="008A086E"/>
    <w:rsid w:val="008A0A24"/>
    <w:rsid w:val="008A0AF6"/>
    <w:rsid w:val="008A0D31"/>
    <w:rsid w:val="008A0F22"/>
    <w:rsid w:val="008A11DD"/>
    <w:rsid w:val="008A1AA7"/>
    <w:rsid w:val="008A1D20"/>
    <w:rsid w:val="008A2170"/>
    <w:rsid w:val="008A2FC0"/>
    <w:rsid w:val="008A3E69"/>
    <w:rsid w:val="008A42B5"/>
    <w:rsid w:val="008A51EA"/>
    <w:rsid w:val="008A53BB"/>
    <w:rsid w:val="008A550C"/>
    <w:rsid w:val="008A56FB"/>
    <w:rsid w:val="008A5905"/>
    <w:rsid w:val="008A5BA3"/>
    <w:rsid w:val="008A6223"/>
    <w:rsid w:val="008A64C1"/>
    <w:rsid w:val="008A64C9"/>
    <w:rsid w:val="008A6718"/>
    <w:rsid w:val="008A7009"/>
    <w:rsid w:val="008A7156"/>
    <w:rsid w:val="008A72A7"/>
    <w:rsid w:val="008A759F"/>
    <w:rsid w:val="008A78D7"/>
    <w:rsid w:val="008A7A83"/>
    <w:rsid w:val="008A7C7C"/>
    <w:rsid w:val="008B003D"/>
    <w:rsid w:val="008B0088"/>
    <w:rsid w:val="008B0133"/>
    <w:rsid w:val="008B0867"/>
    <w:rsid w:val="008B1302"/>
    <w:rsid w:val="008B1484"/>
    <w:rsid w:val="008B2B3C"/>
    <w:rsid w:val="008B2CCE"/>
    <w:rsid w:val="008B2D5B"/>
    <w:rsid w:val="008B2DD9"/>
    <w:rsid w:val="008B2EB5"/>
    <w:rsid w:val="008B3664"/>
    <w:rsid w:val="008B38F1"/>
    <w:rsid w:val="008B39F1"/>
    <w:rsid w:val="008B3CCB"/>
    <w:rsid w:val="008B4616"/>
    <w:rsid w:val="008B48D3"/>
    <w:rsid w:val="008B5187"/>
    <w:rsid w:val="008B54C1"/>
    <w:rsid w:val="008B646B"/>
    <w:rsid w:val="008B6832"/>
    <w:rsid w:val="008B6901"/>
    <w:rsid w:val="008C08C3"/>
    <w:rsid w:val="008C15FB"/>
    <w:rsid w:val="008C161F"/>
    <w:rsid w:val="008C1E90"/>
    <w:rsid w:val="008C253C"/>
    <w:rsid w:val="008C2C3D"/>
    <w:rsid w:val="008C2D95"/>
    <w:rsid w:val="008C3F82"/>
    <w:rsid w:val="008C4110"/>
    <w:rsid w:val="008C4BD2"/>
    <w:rsid w:val="008C51D4"/>
    <w:rsid w:val="008C54C8"/>
    <w:rsid w:val="008C5590"/>
    <w:rsid w:val="008C5635"/>
    <w:rsid w:val="008C5CC5"/>
    <w:rsid w:val="008C5D36"/>
    <w:rsid w:val="008C6F0F"/>
    <w:rsid w:val="008C700C"/>
    <w:rsid w:val="008C74BB"/>
    <w:rsid w:val="008C7A7E"/>
    <w:rsid w:val="008C7EB6"/>
    <w:rsid w:val="008D003E"/>
    <w:rsid w:val="008D006E"/>
    <w:rsid w:val="008D00A7"/>
    <w:rsid w:val="008D0136"/>
    <w:rsid w:val="008D133B"/>
    <w:rsid w:val="008D1535"/>
    <w:rsid w:val="008D16AE"/>
    <w:rsid w:val="008D17E0"/>
    <w:rsid w:val="008D1D87"/>
    <w:rsid w:val="008D1F8E"/>
    <w:rsid w:val="008D24F2"/>
    <w:rsid w:val="008D2B47"/>
    <w:rsid w:val="008D2BCE"/>
    <w:rsid w:val="008D309A"/>
    <w:rsid w:val="008D3568"/>
    <w:rsid w:val="008D400E"/>
    <w:rsid w:val="008D42AF"/>
    <w:rsid w:val="008D4979"/>
    <w:rsid w:val="008D5396"/>
    <w:rsid w:val="008D5889"/>
    <w:rsid w:val="008D5DE7"/>
    <w:rsid w:val="008D6A31"/>
    <w:rsid w:val="008D6B76"/>
    <w:rsid w:val="008D6F57"/>
    <w:rsid w:val="008D71C6"/>
    <w:rsid w:val="008E0270"/>
    <w:rsid w:val="008E03DB"/>
    <w:rsid w:val="008E139F"/>
    <w:rsid w:val="008E145F"/>
    <w:rsid w:val="008E1718"/>
    <w:rsid w:val="008E297F"/>
    <w:rsid w:val="008E2B20"/>
    <w:rsid w:val="008E34F5"/>
    <w:rsid w:val="008E38B5"/>
    <w:rsid w:val="008E3B34"/>
    <w:rsid w:val="008E3D8E"/>
    <w:rsid w:val="008E40B5"/>
    <w:rsid w:val="008E4B4A"/>
    <w:rsid w:val="008E4BAC"/>
    <w:rsid w:val="008E4C1A"/>
    <w:rsid w:val="008E5060"/>
    <w:rsid w:val="008E50BA"/>
    <w:rsid w:val="008E56F4"/>
    <w:rsid w:val="008E5D04"/>
    <w:rsid w:val="008E5F12"/>
    <w:rsid w:val="008E7140"/>
    <w:rsid w:val="008E7336"/>
    <w:rsid w:val="008E7ABB"/>
    <w:rsid w:val="008E7D72"/>
    <w:rsid w:val="008F0316"/>
    <w:rsid w:val="008F03A2"/>
    <w:rsid w:val="008F0425"/>
    <w:rsid w:val="008F100D"/>
    <w:rsid w:val="008F15AF"/>
    <w:rsid w:val="008F1D54"/>
    <w:rsid w:val="008F286C"/>
    <w:rsid w:val="008F2C95"/>
    <w:rsid w:val="008F3758"/>
    <w:rsid w:val="008F3769"/>
    <w:rsid w:val="008F3F7C"/>
    <w:rsid w:val="008F4264"/>
    <w:rsid w:val="008F4739"/>
    <w:rsid w:val="008F50B4"/>
    <w:rsid w:val="008F5C24"/>
    <w:rsid w:val="008F5D04"/>
    <w:rsid w:val="008F679F"/>
    <w:rsid w:val="008F6FA5"/>
    <w:rsid w:val="008F7608"/>
    <w:rsid w:val="008F7AE6"/>
    <w:rsid w:val="008F7FB4"/>
    <w:rsid w:val="009008F9"/>
    <w:rsid w:val="00900CF2"/>
    <w:rsid w:val="00901A5F"/>
    <w:rsid w:val="00901AA2"/>
    <w:rsid w:val="00901D05"/>
    <w:rsid w:val="00902540"/>
    <w:rsid w:val="00902DEA"/>
    <w:rsid w:val="0090318F"/>
    <w:rsid w:val="00903315"/>
    <w:rsid w:val="00903474"/>
    <w:rsid w:val="00904081"/>
    <w:rsid w:val="0090462F"/>
    <w:rsid w:val="009047AE"/>
    <w:rsid w:val="009052C7"/>
    <w:rsid w:val="00905964"/>
    <w:rsid w:val="00906C81"/>
    <w:rsid w:val="00910741"/>
    <w:rsid w:val="00910D72"/>
    <w:rsid w:val="00910F17"/>
    <w:rsid w:val="009110CC"/>
    <w:rsid w:val="00911AC1"/>
    <w:rsid w:val="00912053"/>
    <w:rsid w:val="0091280F"/>
    <w:rsid w:val="009129D9"/>
    <w:rsid w:val="009135CC"/>
    <w:rsid w:val="00913A18"/>
    <w:rsid w:val="00914424"/>
    <w:rsid w:val="009149ED"/>
    <w:rsid w:val="00914A58"/>
    <w:rsid w:val="00915F34"/>
    <w:rsid w:val="00915FF5"/>
    <w:rsid w:val="009161F1"/>
    <w:rsid w:val="0091658F"/>
    <w:rsid w:val="00916C6E"/>
    <w:rsid w:val="00916EBA"/>
    <w:rsid w:val="00917140"/>
    <w:rsid w:val="009172EE"/>
    <w:rsid w:val="00917490"/>
    <w:rsid w:val="00917E08"/>
    <w:rsid w:val="009202D9"/>
    <w:rsid w:val="00920367"/>
    <w:rsid w:val="009207B4"/>
    <w:rsid w:val="0092104A"/>
    <w:rsid w:val="00921C5C"/>
    <w:rsid w:val="0092294B"/>
    <w:rsid w:val="00922FD0"/>
    <w:rsid w:val="00923354"/>
    <w:rsid w:val="009233EE"/>
    <w:rsid w:val="009239AC"/>
    <w:rsid w:val="00923DAE"/>
    <w:rsid w:val="009246F4"/>
    <w:rsid w:val="009250A4"/>
    <w:rsid w:val="009255AE"/>
    <w:rsid w:val="00925B70"/>
    <w:rsid w:val="00925BD6"/>
    <w:rsid w:val="00925BE5"/>
    <w:rsid w:val="0092616F"/>
    <w:rsid w:val="009262A0"/>
    <w:rsid w:val="009262FE"/>
    <w:rsid w:val="00926ABC"/>
    <w:rsid w:val="00926C23"/>
    <w:rsid w:val="0092705F"/>
    <w:rsid w:val="00930C4A"/>
    <w:rsid w:val="0093221A"/>
    <w:rsid w:val="00932282"/>
    <w:rsid w:val="009329BB"/>
    <w:rsid w:val="00932BAA"/>
    <w:rsid w:val="00932D65"/>
    <w:rsid w:val="00932F39"/>
    <w:rsid w:val="00933BE3"/>
    <w:rsid w:val="00934495"/>
    <w:rsid w:val="00935343"/>
    <w:rsid w:val="00935841"/>
    <w:rsid w:val="009360FF"/>
    <w:rsid w:val="009362F5"/>
    <w:rsid w:val="00936726"/>
    <w:rsid w:val="00937017"/>
    <w:rsid w:val="0093728E"/>
    <w:rsid w:val="00937CB6"/>
    <w:rsid w:val="00937F6D"/>
    <w:rsid w:val="00937F70"/>
    <w:rsid w:val="00937F8D"/>
    <w:rsid w:val="009402AB"/>
    <w:rsid w:val="00940628"/>
    <w:rsid w:val="009412ED"/>
    <w:rsid w:val="00941C3F"/>
    <w:rsid w:val="00941CBB"/>
    <w:rsid w:val="00941E76"/>
    <w:rsid w:val="00942B2C"/>
    <w:rsid w:val="00942F95"/>
    <w:rsid w:val="009430B6"/>
    <w:rsid w:val="00943455"/>
    <w:rsid w:val="009443FD"/>
    <w:rsid w:val="00944DAC"/>
    <w:rsid w:val="0094582B"/>
    <w:rsid w:val="00945B19"/>
    <w:rsid w:val="00945B3F"/>
    <w:rsid w:val="009460CD"/>
    <w:rsid w:val="009466A8"/>
    <w:rsid w:val="009467D7"/>
    <w:rsid w:val="00946AF9"/>
    <w:rsid w:val="00946B05"/>
    <w:rsid w:val="00950A23"/>
    <w:rsid w:val="00951608"/>
    <w:rsid w:val="0095199D"/>
    <w:rsid w:val="00951B66"/>
    <w:rsid w:val="00951F11"/>
    <w:rsid w:val="009522ED"/>
    <w:rsid w:val="00952303"/>
    <w:rsid w:val="009527E8"/>
    <w:rsid w:val="00952AFB"/>
    <w:rsid w:val="00952C36"/>
    <w:rsid w:val="00952E43"/>
    <w:rsid w:val="00952F11"/>
    <w:rsid w:val="009533D9"/>
    <w:rsid w:val="0095346D"/>
    <w:rsid w:val="00954582"/>
    <w:rsid w:val="009545B8"/>
    <w:rsid w:val="00954860"/>
    <w:rsid w:val="00954994"/>
    <w:rsid w:val="00954C42"/>
    <w:rsid w:val="00954CEC"/>
    <w:rsid w:val="00954E61"/>
    <w:rsid w:val="00954EED"/>
    <w:rsid w:val="00955C3B"/>
    <w:rsid w:val="009567EB"/>
    <w:rsid w:val="00956CB2"/>
    <w:rsid w:val="00957023"/>
    <w:rsid w:val="00957280"/>
    <w:rsid w:val="0095739B"/>
    <w:rsid w:val="00957505"/>
    <w:rsid w:val="00957D3A"/>
    <w:rsid w:val="00960231"/>
    <w:rsid w:val="009608F6"/>
    <w:rsid w:val="00960930"/>
    <w:rsid w:val="00960ADE"/>
    <w:rsid w:val="00960C9A"/>
    <w:rsid w:val="00960D12"/>
    <w:rsid w:val="00960E49"/>
    <w:rsid w:val="00961259"/>
    <w:rsid w:val="00962447"/>
    <w:rsid w:val="00962E93"/>
    <w:rsid w:val="00963038"/>
    <w:rsid w:val="0096327B"/>
    <w:rsid w:val="009637FA"/>
    <w:rsid w:val="00963A9D"/>
    <w:rsid w:val="00963B50"/>
    <w:rsid w:val="00963F17"/>
    <w:rsid w:val="00963FB6"/>
    <w:rsid w:val="0096442F"/>
    <w:rsid w:val="00964491"/>
    <w:rsid w:val="009649D9"/>
    <w:rsid w:val="00965732"/>
    <w:rsid w:val="00965FC1"/>
    <w:rsid w:val="00966DE2"/>
    <w:rsid w:val="00967129"/>
    <w:rsid w:val="00967453"/>
    <w:rsid w:val="009709B5"/>
    <w:rsid w:val="009709DB"/>
    <w:rsid w:val="00970DB7"/>
    <w:rsid w:val="0097149F"/>
    <w:rsid w:val="00971BEE"/>
    <w:rsid w:val="009721D6"/>
    <w:rsid w:val="00972410"/>
    <w:rsid w:val="00973106"/>
    <w:rsid w:val="009736A5"/>
    <w:rsid w:val="00973D3A"/>
    <w:rsid w:val="00973DFA"/>
    <w:rsid w:val="00974402"/>
    <w:rsid w:val="00974B93"/>
    <w:rsid w:val="0097506E"/>
    <w:rsid w:val="00976548"/>
    <w:rsid w:val="00976E75"/>
    <w:rsid w:val="0097733D"/>
    <w:rsid w:val="00977621"/>
    <w:rsid w:val="009806FF"/>
    <w:rsid w:val="00980E04"/>
    <w:rsid w:val="009814C0"/>
    <w:rsid w:val="0098173A"/>
    <w:rsid w:val="00981B50"/>
    <w:rsid w:val="00984999"/>
    <w:rsid w:val="00984C7B"/>
    <w:rsid w:val="009854A0"/>
    <w:rsid w:val="009854FA"/>
    <w:rsid w:val="00985766"/>
    <w:rsid w:val="00985861"/>
    <w:rsid w:val="00985979"/>
    <w:rsid w:val="00985BA1"/>
    <w:rsid w:val="00985BB6"/>
    <w:rsid w:val="00985CB7"/>
    <w:rsid w:val="00985F17"/>
    <w:rsid w:val="0098640E"/>
    <w:rsid w:val="009867A9"/>
    <w:rsid w:val="00986A23"/>
    <w:rsid w:val="00986E1E"/>
    <w:rsid w:val="0098737D"/>
    <w:rsid w:val="0099034F"/>
    <w:rsid w:val="00990908"/>
    <w:rsid w:val="00990B5F"/>
    <w:rsid w:val="00990E00"/>
    <w:rsid w:val="00990E1C"/>
    <w:rsid w:val="0099102D"/>
    <w:rsid w:val="0099190A"/>
    <w:rsid w:val="009920DC"/>
    <w:rsid w:val="0099241E"/>
    <w:rsid w:val="00992BC3"/>
    <w:rsid w:val="00992EE9"/>
    <w:rsid w:val="00993DE9"/>
    <w:rsid w:val="00993F7D"/>
    <w:rsid w:val="00994104"/>
    <w:rsid w:val="009943FD"/>
    <w:rsid w:val="00997291"/>
    <w:rsid w:val="009A0147"/>
    <w:rsid w:val="009A0787"/>
    <w:rsid w:val="009A0A0E"/>
    <w:rsid w:val="009A0DFF"/>
    <w:rsid w:val="009A1850"/>
    <w:rsid w:val="009A2AC5"/>
    <w:rsid w:val="009A2FB7"/>
    <w:rsid w:val="009A30BB"/>
    <w:rsid w:val="009A42D8"/>
    <w:rsid w:val="009A4527"/>
    <w:rsid w:val="009A4993"/>
    <w:rsid w:val="009A4FE2"/>
    <w:rsid w:val="009A563A"/>
    <w:rsid w:val="009A5833"/>
    <w:rsid w:val="009A5946"/>
    <w:rsid w:val="009A6999"/>
    <w:rsid w:val="009A7020"/>
    <w:rsid w:val="009A719B"/>
    <w:rsid w:val="009A77F1"/>
    <w:rsid w:val="009A78DC"/>
    <w:rsid w:val="009A7EF0"/>
    <w:rsid w:val="009B00FD"/>
    <w:rsid w:val="009B0561"/>
    <w:rsid w:val="009B1393"/>
    <w:rsid w:val="009B289E"/>
    <w:rsid w:val="009B28C1"/>
    <w:rsid w:val="009B2CD4"/>
    <w:rsid w:val="009B330E"/>
    <w:rsid w:val="009B3918"/>
    <w:rsid w:val="009B42B8"/>
    <w:rsid w:val="009B4868"/>
    <w:rsid w:val="009B4B66"/>
    <w:rsid w:val="009B4F93"/>
    <w:rsid w:val="009B6243"/>
    <w:rsid w:val="009B68E4"/>
    <w:rsid w:val="009B70BD"/>
    <w:rsid w:val="009B7D6D"/>
    <w:rsid w:val="009B7D86"/>
    <w:rsid w:val="009C01A9"/>
    <w:rsid w:val="009C1245"/>
    <w:rsid w:val="009C2A5D"/>
    <w:rsid w:val="009C300E"/>
    <w:rsid w:val="009C377C"/>
    <w:rsid w:val="009C41B8"/>
    <w:rsid w:val="009C4A75"/>
    <w:rsid w:val="009C5556"/>
    <w:rsid w:val="009C6348"/>
    <w:rsid w:val="009C65A7"/>
    <w:rsid w:val="009C65BF"/>
    <w:rsid w:val="009C6903"/>
    <w:rsid w:val="009C6EB5"/>
    <w:rsid w:val="009C775D"/>
    <w:rsid w:val="009D0474"/>
    <w:rsid w:val="009D049D"/>
    <w:rsid w:val="009D0AD4"/>
    <w:rsid w:val="009D10D9"/>
    <w:rsid w:val="009D1279"/>
    <w:rsid w:val="009D1433"/>
    <w:rsid w:val="009D1EFD"/>
    <w:rsid w:val="009D1F96"/>
    <w:rsid w:val="009D2529"/>
    <w:rsid w:val="009D2641"/>
    <w:rsid w:val="009D2B48"/>
    <w:rsid w:val="009D3C11"/>
    <w:rsid w:val="009D4A23"/>
    <w:rsid w:val="009D5E99"/>
    <w:rsid w:val="009D6C13"/>
    <w:rsid w:val="009D71A4"/>
    <w:rsid w:val="009D78DC"/>
    <w:rsid w:val="009D7DC4"/>
    <w:rsid w:val="009E0391"/>
    <w:rsid w:val="009E18B9"/>
    <w:rsid w:val="009E1CF1"/>
    <w:rsid w:val="009E1DC7"/>
    <w:rsid w:val="009E2115"/>
    <w:rsid w:val="009E2141"/>
    <w:rsid w:val="009E3B49"/>
    <w:rsid w:val="009E4106"/>
    <w:rsid w:val="009E43FA"/>
    <w:rsid w:val="009E45AC"/>
    <w:rsid w:val="009E490C"/>
    <w:rsid w:val="009E4A93"/>
    <w:rsid w:val="009E4FF8"/>
    <w:rsid w:val="009E54CA"/>
    <w:rsid w:val="009E6011"/>
    <w:rsid w:val="009E68C0"/>
    <w:rsid w:val="009E6A59"/>
    <w:rsid w:val="009E6D7A"/>
    <w:rsid w:val="009E7146"/>
    <w:rsid w:val="009E7C2A"/>
    <w:rsid w:val="009E7F63"/>
    <w:rsid w:val="009F0504"/>
    <w:rsid w:val="009F0CE9"/>
    <w:rsid w:val="009F0EE6"/>
    <w:rsid w:val="009F0FF5"/>
    <w:rsid w:val="009F3432"/>
    <w:rsid w:val="009F34BF"/>
    <w:rsid w:val="009F414E"/>
    <w:rsid w:val="009F417D"/>
    <w:rsid w:val="009F431E"/>
    <w:rsid w:val="009F464F"/>
    <w:rsid w:val="009F5ABA"/>
    <w:rsid w:val="009F5F1D"/>
    <w:rsid w:val="009F62F1"/>
    <w:rsid w:val="009F65A6"/>
    <w:rsid w:val="009F690E"/>
    <w:rsid w:val="009F70A0"/>
    <w:rsid w:val="009F75CC"/>
    <w:rsid w:val="009F7FD5"/>
    <w:rsid w:val="00A002A3"/>
    <w:rsid w:val="00A0057F"/>
    <w:rsid w:val="00A0091B"/>
    <w:rsid w:val="00A0107D"/>
    <w:rsid w:val="00A01989"/>
    <w:rsid w:val="00A0205E"/>
    <w:rsid w:val="00A022ED"/>
    <w:rsid w:val="00A0248B"/>
    <w:rsid w:val="00A02A13"/>
    <w:rsid w:val="00A03315"/>
    <w:rsid w:val="00A03488"/>
    <w:rsid w:val="00A035EA"/>
    <w:rsid w:val="00A041FF"/>
    <w:rsid w:val="00A046F0"/>
    <w:rsid w:val="00A047D1"/>
    <w:rsid w:val="00A04C9A"/>
    <w:rsid w:val="00A04FF9"/>
    <w:rsid w:val="00A05D6B"/>
    <w:rsid w:val="00A05EA1"/>
    <w:rsid w:val="00A05EFC"/>
    <w:rsid w:val="00A06489"/>
    <w:rsid w:val="00A064DC"/>
    <w:rsid w:val="00A07498"/>
    <w:rsid w:val="00A07997"/>
    <w:rsid w:val="00A07ED3"/>
    <w:rsid w:val="00A10755"/>
    <w:rsid w:val="00A109EF"/>
    <w:rsid w:val="00A10F8C"/>
    <w:rsid w:val="00A110D0"/>
    <w:rsid w:val="00A113DF"/>
    <w:rsid w:val="00A114F9"/>
    <w:rsid w:val="00A11674"/>
    <w:rsid w:val="00A11901"/>
    <w:rsid w:val="00A11A49"/>
    <w:rsid w:val="00A12895"/>
    <w:rsid w:val="00A1333A"/>
    <w:rsid w:val="00A13515"/>
    <w:rsid w:val="00A13551"/>
    <w:rsid w:val="00A13A9B"/>
    <w:rsid w:val="00A13DCD"/>
    <w:rsid w:val="00A143C2"/>
    <w:rsid w:val="00A144CF"/>
    <w:rsid w:val="00A147F1"/>
    <w:rsid w:val="00A149AA"/>
    <w:rsid w:val="00A15395"/>
    <w:rsid w:val="00A15766"/>
    <w:rsid w:val="00A1659F"/>
    <w:rsid w:val="00A16A0A"/>
    <w:rsid w:val="00A16B25"/>
    <w:rsid w:val="00A17A4A"/>
    <w:rsid w:val="00A17F08"/>
    <w:rsid w:val="00A2069C"/>
    <w:rsid w:val="00A21737"/>
    <w:rsid w:val="00A219C0"/>
    <w:rsid w:val="00A21A95"/>
    <w:rsid w:val="00A21AF0"/>
    <w:rsid w:val="00A21D64"/>
    <w:rsid w:val="00A2230E"/>
    <w:rsid w:val="00A233E5"/>
    <w:rsid w:val="00A23541"/>
    <w:rsid w:val="00A2356A"/>
    <w:rsid w:val="00A23D82"/>
    <w:rsid w:val="00A24161"/>
    <w:rsid w:val="00A24F57"/>
    <w:rsid w:val="00A25445"/>
    <w:rsid w:val="00A259B3"/>
    <w:rsid w:val="00A259D3"/>
    <w:rsid w:val="00A25BA2"/>
    <w:rsid w:val="00A25D4E"/>
    <w:rsid w:val="00A26060"/>
    <w:rsid w:val="00A26538"/>
    <w:rsid w:val="00A26696"/>
    <w:rsid w:val="00A26C21"/>
    <w:rsid w:val="00A26CB7"/>
    <w:rsid w:val="00A26D67"/>
    <w:rsid w:val="00A26F7F"/>
    <w:rsid w:val="00A270C2"/>
    <w:rsid w:val="00A27210"/>
    <w:rsid w:val="00A2758A"/>
    <w:rsid w:val="00A30642"/>
    <w:rsid w:val="00A30CA9"/>
    <w:rsid w:val="00A31116"/>
    <w:rsid w:val="00A3187C"/>
    <w:rsid w:val="00A32622"/>
    <w:rsid w:val="00A32E8C"/>
    <w:rsid w:val="00A32FC9"/>
    <w:rsid w:val="00A333C7"/>
    <w:rsid w:val="00A336D2"/>
    <w:rsid w:val="00A348CB"/>
    <w:rsid w:val="00A357FA"/>
    <w:rsid w:val="00A35D41"/>
    <w:rsid w:val="00A36645"/>
    <w:rsid w:val="00A36CE6"/>
    <w:rsid w:val="00A36ECE"/>
    <w:rsid w:val="00A37060"/>
    <w:rsid w:val="00A37449"/>
    <w:rsid w:val="00A37972"/>
    <w:rsid w:val="00A37AD7"/>
    <w:rsid w:val="00A400D6"/>
    <w:rsid w:val="00A402E9"/>
    <w:rsid w:val="00A4043C"/>
    <w:rsid w:val="00A40B81"/>
    <w:rsid w:val="00A40DAF"/>
    <w:rsid w:val="00A41BCB"/>
    <w:rsid w:val="00A41CF6"/>
    <w:rsid w:val="00A42B2E"/>
    <w:rsid w:val="00A42DAE"/>
    <w:rsid w:val="00A43951"/>
    <w:rsid w:val="00A43E59"/>
    <w:rsid w:val="00A440AB"/>
    <w:rsid w:val="00A44881"/>
    <w:rsid w:val="00A4517A"/>
    <w:rsid w:val="00A45317"/>
    <w:rsid w:val="00A466F5"/>
    <w:rsid w:val="00A47632"/>
    <w:rsid w:val="00A50238"/>
    <w:rsid w:val="00A50D80"/>
    <w:rsid w:val="00A50DDB"/>
    <w:rsid w:val="00A5105B"/>
    <w:rsid w:val="00A51262"/>
    <w:rsid w:val="00A517B3"/>
    <w:rsid w:val="00A51DC4"/>
    <w:rsid w:val="00A51F8F"/>
    <w:rsid w:val="00A528D3"/>
    <w:rsid w:val="00A52FDA"/>
    <w:rsid w:val="00A530DE"/>
    <w:rsid w:val="00A53350"/>
    <w:rsid w:val="00A54137"/>
    <w:rsid w:val="00A54699"/>
    <w:rsid w:val="00A54B7A"/>
    <w:rsid w:val="00A5526A"/>
    <w:rsid w:val="00A55455"/>
    <w:rsid w:val="00A5559F"/>
    <w:rsid w:val="00A555D3"/>
    <w:rsid w:val="00A557DF"/>
    <w:rsid w:val="00A55C45"/>
    <w:rsid w:val="00A56072"/>
    <w:rsid w:val="00A569FA"/>
    <w:rsid w:val="00A56D8B"/>
    <w:rsid w:val="00A56E34"/>
    <w:rsid w:val="00A577E6"/>
    <w:rsid w:val="00A6007D"/>
    <w:rsid w:val="00A60232"/>
    <w:rsid w:val="00A60834"/>
    <w:rsid w:val="00A608DF"/>
    <w:rsid w:val="00A60ADE"/>
    <w:rsid w:val="00A60D0A"/>
    <w:rsid w:val="00A60DCC"/>
    <w:rsid w:val="00A60DD0"/>
    <w:rsid w:val="00A61171"/>
    <w:rsid w:val="00A6213C"/>
    <w:rsid w:val="00A633B4"/>
    <w:rsid w:val="00A63897"/>
    <w:rsid w:val="00A63B35"/>
    <w:rsid w:val="00A63B6E"/>
    <w:rsid w:val="00A63F9B"/>
    <w:rsid w:val="00A6479D"/>
    <w:rsid w:val="00A655EF"/>
    <w:rsid w:val="00A658BA"/>
    <w:rsid w:val="00A658F9"/>
    <w:rsid w:val="00A66B41"/>
    <w:rsid w:val="00A66C3B"/>
    <w:rsid w:val="00A67272"/>
    <w:rsid w:val="00A672AC"/>
    <w:rsid w:val="00A70C49"/>
    <w:rsid w:val="00A70C53"/>
    <w:rsid w:val="00A70E04"/>
    <w:rsid w:val="00A70E4B"/>
    <w:rsid w:val="00A72769"/>
    <w:rsid w:val="00A72920"/>
    <w:rsid w:val="00A73E6D"/>
    <w:rsid w:val="00A74F52"/>
    <w:rsid w:val="00A74FB4"/>
    <w:rsid w:val="00A75288"/>
    <w:rsid w:val="00A757D4"/>
    <w:rsid w:val="00A76B20"/>
    <w:rsid w:val="00A76C5D"/>
    <w:rsid w:val="00A76DD5"/>
    <w:rsid w:val="00A76E5A"/>
    <w:rsid w:val="00A76FFA"/>
    <w:rsid w:val="00A77BFF"/>
    <w:rsid w:val="00A77F48"/>
    <w:rsid w:val="00A814D0"/>
    <w:rsid w:val="00A817F8"/>
    <w:rsid w:val="00A8248F"/>
    <w:rsid w:val="00A826AD"/>
    <w:rsid w:val="00A82C1E"/>
    <w:rsid w:val="00A82D18"/>
    <w:rsid w:val="00A82D43"/>
    <w:rsid w:val="00A832E8"/>
    <w:rsid w:val="00A83B52"/>
    <w:rsid w:val="00A8420F"/>
    <w:rsid w:val="00A8445F"/>
    <w:rsid w:val="00A84956"/>
    <w:rsid w:val="00A853C5"/>
    <w:rsid w:val="00A8541E"/>
    <w:rsid w:val="00A859F5"/>
    <w:rsid w:val="00A86915"/>
    <w:rsid w:val="00A86B8F"/>
    <w:rsid w:val="00A86DA0"/>
    <w:rsid w:val="00A87218"/>
    <w:rsid w:val="00A8758F"/>
    <w:rsid w:val="00A8778D"/>
    <w:rsid w:val="00A87E11"/>
    <w:rsid w:val="00A90C91"/>
    <w:rsid w:val="00A90D8D"/>
    <w:rsid w:val="00A91782"/>
    <w:rsid w:val="00A918E3"/>
    <w:rsid w:val="00A92B4E"/>
    <w:rsid w:val="00A92C9B"/>
    <w:rsid w:val="00A94946"/>
    <w:rsid w:val="00A94FE5"/>
    <w:rsid w:val="00A95F08"/>
    <w:rsid w:val="00A96196"/>
    <w:rsid w:val="00A961DB"/>
    <w:rsid w:val="00A9637F"/>
    <w:rsid w:val="00A973FC"/>
    <w:rsid w:val="00A974EE"/>
    <w:rsid w:val="00AA0115"/>
    <w:rsid w:val="00AA0178"/>
    <w:rsid w:val="00AA03F9"/>
    <w:rsid w:val="00AA04EC"/>
    <w:rsid w:val="00AA1BDE"/>
    <w:rsid w:val="00AA1DE9"/>
    <w:rsid w:val="00AA1EF5"/>
    <w:rsid w:val="00AA2891"/>
    <w:rsid w:val="00AA2FC5"/>
    <w:rsid w:val="00AA340B"/>
    <w:rsid w:val="00AA3BBB"/>
    <w:rsid w:val="00AA4156"/>
    <w:rsid w:val="00AA423B"/>
    <w:rsid w:val="00AA4369"/>
    <w:rsid w:val="00AA457B"/>
    <w:rsid w:val="00AA5764"/>
    <w:rsid w:val="00AA5BB2"/>
    <w:rsid w:val="00AA5E9F"/>
    <w:rsid w:val="00AA601E"/>
    <w:rsid w:val="00AA69B9"/>
    <w:rsid w:val="00AA6ABA"/>
    <w:rsid w:val="00AA745E"/>
    <w:rsid w:val="00AB0D8D"/>
    <w:rsid w:val="00AB0F5C"/>
    <w:rsid w:val="00AB105B"/>
    <w:rsid w:val="00AB131E"/>
    <w:rsid w:val="00AB137B"/>
    <w:rsid w:val="00AB1873"/>
    <w:rsid w:val="00AB1945"/>
    <w:rsid w:val="00AB1CBF"/>
    <w:rsid w:val="00AB25FE"/>
    <w:rsid w:val="00AB265E"/>
    <w:rsid w:val="00AB2C14"/>
    <w:rsid w:val="00AB3430"/>
    <w:rsid w:val="00AB3605"/>
    <w:rsid w:val="00AB38B4"/>
    <w:rsid w:val="00AB45BF"/>
    <w:rsid w:val="00AB5126"/>
    <w:rsid w:val="00AB547C"/>
    <w:rsid w:val="00AB630D"/>
    <w:rsid w:val="00AB65F8"/>
    <w:rsid w:val="00AB6F33"/>
    <w:rsid w:val="00AB7458"/>
    <w:rsid w:val="00AB7595"/>
    <w:rsid w:val="00AB7877"/>
    <w:rsid w:val="00AB7BCA"/>
    <w:rsid w:val="00AC10F1"/>
    <w:rsid w:val="00AC12A8"/>
    <w:rsid w:val="00AC2294"/>
    <w:rsid w:val="00AC28F7"/>
    <w:rsid w:val="00AC2A80"/>
    <w:rsid w:val="00AC2B3F"/>
    <w:rsid w:val="00AC45E2"/>
    <w:rsid w:val="00AC5479"/>
    <w:rsid w:val="00AC5B9B"/>
    <w:rsid w:val="00AC5ED8"/>
    <w:rsid w:val="00AC613C"/>
    <w:rsid w:val="00AC62AD"/>
    <w:rsid w:val="00AC687B"/>
    <w:rsid w:val="00AC73B0"/>
    <w:rsid w:val="00AD00A7"/>
    <w:rsid w:val="00AD12D8"/>
    <w:rsid w:val="00AD143D"/>
    <w:rsid w:val="00AD14BD"/>
    <w:rsid w:val="00AD1DEA"/>
    <w:rsid w:val="00AD275A"/>
    <w:rsid w:val="00AD27F3"/>
    <w:rsid w:val="00AD30C2"/>
    <w:rsid w:val="00AD34C0"/>
    <w:rsid w:val="00AD3EC2"/>
    <w:rsid w:val="00AD426D"/>
    <w:rsid w:val="00AD4300"/>
    <w:rsid w:val="00AD4A5E"/>
    <w:rsid w:val="00AD4EF9"/>
    <w:rsid w:val="00AD54A7"/>
    <w:rsid w:val="00AD598D"/>
    <w:rsid w:val="00AD5F03"/>
    <w:rsid w:val="00AD5F9D"/>
    <w:rsid w:val="00AD61EB"/>
    <w:rsid w:val="00AD64D1"/>
    <w:rsid w:val="00AD6814"/>
    <w:rsid w:val="00AD6EAA"/>
    <w:rsid w:val="00AD6F9E"/>
    <w:rsid w:val="00AD7045"/>
    <w:rsid w:val="00AD7520"/>
    <w:rsid w:val="00AD776A"/>
    <w:rsid w:val="00AD77E9"/>
    <w:rsid w:val="00AD7A28"/>
    <w:rsid w:val="00AE08A6"/>
    <w:rsid w:val="00AE0A24"/>
    <w:rsid w:val="00AE116D"/>
    <w:rsid w:val="00AE24F6"/>
    <w:rsid w:val="00AE26E4"/>
    <w:rsid w:val="00AE2C50"/>
    <w:rsid w:val="00AE2D68"/>
    <w:rsid w:val="00AE3193"/>
    <w:rsid w:val="00AE32C4"/>
    <w:rsid w:val="00AE36E2"/>
    <w:rsid w:val="00AE45DF"/>
    <w:rsid w:val="00AE461D"/>
    <w:rsid w:val="00AE4686"/>
    <w:rsid w:val="00AE48A1"/>
    <w:rsid w:val="00AE50A9"/>
    <w:rsid w:val="00AE650D"/>
    <w:rsid w:val="00AE66C9"/>
    <w:rsid w:val="00AE673B"/>
    <w:rsid w:val="00AE73B7"/>
    <w:rsid w:val="00AE7944"/>
    <w:rsid w:val="00AE79A4"/>
    <w:rsid w:val="00AEECE1"/>
    <w:rsid w:val="00AF0686"/>
    <w:rsid w:val="00AF0AD0"/>
    <w:rsid w:val="00AF1151"/>
    <w:rsid w:val="00AF14AF"/>
    <w:rsid w:val="00AF14F6"/>
    <w:rsid w:val="00AF1FF2"/>
    <w:rsid w:val="00AF2BFA"/>
    <w:rsid w:val="00AF32DF"/>
    <w:rsid w:val="00AF3534"/>
    <w:rsid w:val="00AF3656"/>
    <w:rsid w:val="00AF51B7"/>
    <w:rsid w:val="00AF59D9"/>
    <w:rsid w:val="00AF61FD"/>
    <w:rsid w:val="00AF6242"/>
    <w:rsid w:val="00AF6593"/>
    <w:rsid w:val="00AF65BD"/>
    <w:rsid w:val="00AF6712"/>
    <w:rsid w:val="00AF79E1"/>
    <w:rsid w:val="00AF7B8E"/>
    <w:rsid w:val="00AF7FE6"/>
    <w:rsid w:val="00B00229"/>
    <w:rsid w:val="00B00855"/>
    <w:rsid w:val="00B00962"/>
    <w:rsid w:val="00B01885"/>
    <w:rsid w:val="00B01D4E"/>
    <w:rsid w:val="00B027B0"/>
    <w:rsid w:val="00B02C8C"/>
    <w:rsid w:val="00B02FE8"/>
    <w:rsid w:val="00B036EE"/>
    <w:rsid w:val="00B03B4A"/>
    <w:rsid w:val="00B03C5C"/>
    <w:rsid w:val="00B04052"/>
    <w:rsid w:val="00B0509A"/>
    <w:rsid w:val="00B05375"/>
    <w:rsid w:val="00B0560D"/>
    <w:rsid w:val="00B06692"/>
    <w:rsid w:val="00B06E19"/>
    <w:rsid w:val="00B074F0"/>
    <w:rsid w:val="00B10C25"/>
    <w:rsid w:val="00B1108C"/>
    <w:rsid w:val="00B1294D"/>
    <w:rsid w:val="00B12D80"/>
    <w:rsid w:val="00B137AE"/>
    <w:rsid w:val="00B14122"/>
    <w:rsid w:val="00B14A66"/>
    <w:rsid w:val="00B14ED6"/>
    <w:rsid w:val="00B16A17"/>
    <w:rsid w:val="00B17768"/>
    <w:rsid w:val="00B17DD7"/>
    <w:rsid w:val="00B20164"/>
    <w:rsid w:val="00B2020E"/>
    <w:rsid w:val="00B20D44"/>
    <w:rsid w:val="00B20EA9"/>
    <w:rsid w:val="00B212B6"/>
    <w:rsid w:val="00B216F4"/>
    <w:rsid w:val="00B2172A"/>
    <w:rsid w:val="00B217A7"/>
    <w:rsid w:val="00B21F15"/>
    <w:rsid w:val="00B21F81"/>
    <w:rsid w:val="00B22D48"/>
    <w:rsid w:val="00B23498"/>
    <w:rsid w:val="00B236A0"/>
    <w:rsid w:val="00B24DCA"/>
    <w:rsid w:val="00B24E27"/>
    <w:rsid w:val="00B25016"/>
    <w:rsid w:val="00B2503E"/>
    <w:rsid w:val="00B2646F"/>
    <w:rsid w:val="00B26B46"/>
    <w:rsid w:val="00B26DBC"/>
    <w:rsid w:val="00B30768"/>
    <w:rsid w:val="00B31244"/>
    <w:rsid w:val="00B31819"/>
    <w:rsid w:val="00B3183C"/>
    <w:rsid w:val="00B32071"/>
    <w:rsid w:val="00B3247D"/>
    <w:rsid w:val="00B33044"/>
    <w:rsid w:val="00B33843"/>
    <w:rsid w:val="00B33EF9"/>
    <w:rsid w:val="00B3403B"/>
    <w:rsid w:val="00B34A2B"/>
    <w:rsid w:val="00B34B8F"/>
    <w:rsid w:val="00B34C9D"/>
    <w:rsid w:val="00B34E1F"/>
    <w:rsid w:val="00B3500A"/>
    <w:rsid w:val="00B35416"/>
    <w:rsid w:val="00B355CE"/>
    <w:rsid w:val="00B35659"/>
    <w:rsid w:val="00B35725"/>
    <w:rsid w:val="00B3615F"/>
    <w:rsid w:val="00B36320"/>
    <w:rsid w:val="00B364FF"/>
    <w:rsid w:val="00B36AD0"/>
    <w:rsid w:val="00B36FC3"/>
    <w:rsid w:val="00B37067"/>
    <w:rsid w:val="00B37654"/>
    <w:rsid w:val="00B37A49"/>
    <w:rsid w:val="00B37E66"/>
    <w:rsid w:val="00B4082D"/>
    <w:rsid w:val="00B40C76"/>
    <w:rsid w:val="00B40E5C"/>
    <w:rsid w:val="00B40E7D"/>
    <w:rsid w:val="00B40E95"/>
    <w:rsid w:val="00B41955"/>
    <w:rsid w:val="00B42198"/>
    <w:rsid w:val="00B42758"/>
    <w:rsid w:val="00B42971"/>
    <w:rsid w:val="00B42AC8"/>
    <w:rsid w:val="00B42B22"/>
    <w:rsid w:val="00B42C69"/>
    <w:rsid w:val="00B43283"/>
    <w:rsid w:val="00B43D5D"/>
    <w:rsid w:val="00B43EBB"/>
    <w:rsid w:val="00B44A90"/>
    <w:rsid w:val="00B44E64"/>
    <w:rsid w:val="00B45359"/>
    <w:rsid w:val="00B45631"/>
    <w:rsid w:val="00B45888"/>
    <w:rsid w:val="00B45A35"/>
    <w:rsid w:val="00B467B8"/>
    <w:rsid w:val="00B46FC3"/>
    <w:rsid w:val="00B477F6"/>
    <w:rsid w:val="00B47AB3"/>
    <w:rsid w:val="00B501BB"/>
    <w:rsid w:val="00B50F38"/>
    <w:rsid w:val="00B50F3C"/>
    <w:rsid w:val="00B510D7"/>
    <w:rsid w:val="00B51852"/>
    <w:rsid w:val="00B51CF4"/>
    <w:rsid w:val="00B52138"/>
    <w:rsid w:val="00B53028"/>
    <w:rsid w:val="00B537B8"/>
    <w:rsid w:val="00B55748"/>
    <w:rsid w:val="00B557A9"/>
    <w:rsid w:val="00B55A37"/>
    <w:rsid w:val="00B55F45"/>
    <w:rsid w:val="00B5693A"/>
    <w:rsid w:val="00B56D0D"/>
    <w:rsid w:val="00B56D2D"/>
    <w:rsid w:val="00B56E50"/>
    <w:rsid w:val="00B57EE0"/>
    <w:rsid w:val="00B57F14"/>
    <w:rsid w:val="00B57F1F"/>
    <w:rsid w:val="00B60AD4"/>
    <w:rsid w:val="00B6107D"/>
    <w:rsid w:val="00B61289"/>
    <w:rsid w:val="00B6156A"/>
    <w:rsid w:val="00B6242B"/>
    <w:rsid w:val="00B62767"/>
    <w:rsid w:val="00B62BC3"/>
    <w:rsid w:val="00B62E9C"/>
    <w:rsid w:val="00B632C3"/>
    <w:rsid w:val="00B6366A"/>
    <w:rsid w:val="00B636F1"/>
    <w:rsid w:val="00B644A8"/>
    <w:rsid w:val="00B64B6A"/>
    <w:rsid w:val="00B64F39"/>
    <w:rsid w:val="00B65064"/>
    <w:rsid w:val="00B650CE"/>
    <w:rsid w:val="00B657E8"/>
    <w:rsid w:val="00B65C89"/>
    <w:rsid w:val="00B65CEB"/>
    <w:rsid w:val="00B6632E"/>
    <w:rsid w:val="00B66507"/>
    <w:rsid w:val="00B6680A"/>
    <w:rsid w:val="00B668FB"/>
    <w:rsid w:val="00B66C7D"/>
    <w:rsid w:val="00B66E0D"/>
    <w:rsid w:val="00B66EB7"/>
    <w:rsid w:val="00B66FFB"/>
    <w:rsid w:val="00B6703E"/>
    <w:rsid w:val="00B67081"/>
    <w:rsid w:val="00B678A4"/>
    <w:rsid w:val="00B70416"/>
    <w:rsid w:val="00B7061A"/>
    <w:rsid w:val="00B70D6E"/>
    <w:rsid w:val="00B71196"/>
    <w:rsid w:val="00B7142F"/>
    <w:rsid w:val="00B71BF1"/>
    <w:rsid w:val="00B72C1E"/>
    <w:rsid w:val="00B73BDD"/>
    <w:rsid w:val="00B73D43"/>
    <w:rsid w:val="00B73F8E"/>
    <w:rsid w:val="00B74741"/>
    <w:rsid w:val="00B74F10"/>
    <w:rsid w:val="00B74FEB"/>
    <w:rsid w:val="00B75F07"/>
    <w:rsid w:val="00B75F52"/>
    <w:rsid w:val="00B76038"/>
    <w:rsid w:val="00B77727"/>
    <w:rsid w:val="00B7779F"/>
    <w:rsid w:val="00B7786C"/>
    <w:rsid w:val="00B77890"/>
    <w:rsid w:val="00B7791D"/>
    <w:rsid w:val="00B77EE6"/>
    <w:rsid w:val="00B77FDF"/>
    <w:rsid w:val="00B8057D"/>
    <w:rsid w:val="00B80E17"/>
    <w:rsid w:val="00B814BD"/>
    <w:rsid w:val="00B81545"/>
    <w:rsid w:val="00B81FD8"/>
    <w:rsid w:val="00B82159"/>
    <w:rsid w:val="00B82653"/>
    <w:rsid w:val="00B829FF"/>
    <w:rsid w:val="00B83C9E"/>
    <w:rsid w:val="00B83E97"/>
    <w:rsid w:val="00B84317"/>
    <w:rsid w:val="00B8449E"/>
    <w:rsid w:val="00B8480A"/>
    <w:rsid w:val="00B84969"/>
    <w:rsid w:val="00B84A49"/>
    <w:rsid w:val="00B84AE7"/>
    <w:rsid w:val="00B85137"/>
    <w:rsid w:val="00B85169"/>
    <w:rsid w:val="00B85559"/>
    <w:rsid w:val="00B85617"/>
    <w:rsid w:val="00B85F8E"/>
    <w:rsid w:val="00B86371"/>
    <w:rsid w:val="00B8648F"/>
    <w:rsid w:val="00B866DD"/>
    <w:rsid w:val="00B86B40"/>
    <w:rsid w:val="00B875AB"/>
    <w:rsid w:val="00B87AAE"/>
    <w:rsid w:val="00B90B09"/>
    <w:rsid w:val="00B919C3"/>
    <w:rsid w:val="00B92278"/>
    <w:rsid w:val="00B925D0"/>
    <w:rsid w:val="00B9306A"/>
    <w:rsid w:val="00B93157"/>
    <w:rsid w:val="00B94233"/>
    <w:rsid w:val="00B950B2"/>
    <w:rsid w:val="00B9556A"/>
    <w:rsid w:val="00B95A4D"/>
    <w:rsid w:val="00B95E17"/>
    <w:rsid w:val="00B9681A"/>
    <w:rsid w:val="00B974C7"/>
    <w:rsid w:val="00B977FB"/>
    <w:rsid w:val="00BA031B"/>
    <w:rsid w:val="00BA064D"/>
    <w:rsid w:val="00BA0ED4"/>
    <w:rsid w:val="00BA2230"/>
    <w:rsid w:val="00BA2BA4"/>
    <w:rsid w:val="00BA3787"/>
    <w:rsid w:val="00BA3A47"/>
    <w:rsid w:val="00BA43C9"/>
    <w:rsid w:val="00BA4C40"/>
    <w:rsid w:val="00BA4F1F"/>
    <w:rsid w:val="00BA5CBD"/>
    <w:rsid w:val="00BA63B1"/>
    <w:rsid w:val="00BA679B"/>
    <w:rsid w:val="00BA7094"/>
    <w:rsid w:val="00BA7544"/>
    <w:rsid w:val="00BA7802"/>
    <w:rsid w:val="00BA78CB"/>
    <w:rsid w:val="00BA7CE6"/>
    <w:rsid w:val="00BA7DC9"/>
    <w:rsid w:val="00BA7F10"/>
    <w:rsid w:val="00BA7F19"/>
    <w:rsid w:val="00BB0289"/>
    <w:rsid w:val="00BB0925"/>
    <w:rsid w:val="00BB0B15"/>
    <w:rsid w:val="00BB0ED1"/>
    <w:rsid w:val="00BB13E2"/>
    <w:rsid w:val="00BB1AE0"/>
    <w:rsid w:val="00BB23EA"/>
    <w:rsid w:val="00BB23ED"/>
    <w:rsid w:val="00BB2404"/>
    <w:rsid w:val="00BB2630"/>
    <w:rsid w:val="00BB3C72"/>
    <w:rsid w:val="00BB5084"/>
    <w:rsid w:val="00BB58A8"/>
    <w:rsid w:val="00BB5E69"/>
    <w:rsid w:val="00BB5F29"/>
    <w:rsid w:val="00BB6523"/>
    <w:rsid w:val="00BB753B"/>
    <w:rsid w:val="00BC00A2"/>
    <w:rsid w:val="00BC0944"/>
    <w:rsid w:val="00BC0A3B"/>
    <w:rsid w:val="00BC0E45"/>
    <w:rsid w:val="00BC20CA"/>
    <w:rsid w:val="00BC33C2"/>
    <w:rsid w:val="00BC3857"/>
    <w:rsid w:val="00BC38C0"/>
    <w:rsid w:val="00BC3EE2"/>
    <w:rsid w:val="00BC4833"/>
    <w:rsid w:val="00BC4887"/>
    <w:rsid w:val="00BC4FD6"/>
    <w:rsid w:val="00BC568F"/>
    <w:rsid w:val="00BC58F5"/>
    <w:rsid w:val="00BC5A64"/>
    <w:rsid w:val="00BC5D82"/>
    <w:rsid w:val="00BC5FCA"/>
    <w:rsid w:val="00BC60D1"/>
    <w:rsid w:val="00BC6563"/>
    <w:rsid w:val="00BC663C"/>
    <w:rsid w:val="00BC6F02"/>
    <w:rsid w:val="00BC753D"/>
    <w:rsid w:val="00BC7557"/>
    <w:rsid w:val="00BC785C"/>
    <w:rsid w:val="00BC7A80"/>
    <w:rsid w:val="00BC7E4E"/>
    <w:rsid w:val="00BD05F6"/>
    <w:rsid w:val="00BD203D"/>
    <w:rsid w:val="00BD2830"/>
    <w:rsid w:val="00BD2E42"/>
    <w:rsid w:val="00BD33B3"/>
    <w:rsid w:val="00BD3A43"/>
    <w:rsid w:val="00BD3DF0"/>
    <w:rsid w:val="00BD4C87"/>
    <w:rsid w:val="00BD4D87"/>
    <w:rsid w:val="00BD4EA6"/>
    <w:rsid w:val="00BD6E20"/>
    <w:rsid w:val="00BD6E9F"/>
    <w:rsid w:val="00BD729A"/>
    <w:rsid w:val="00BD751B"/>
    <w:rsid w:val="00BD7D6F"/>
    <w:rsid w:val="00BD7DF3"/>
    <w:rsid w:val="00BD7ECC"/>
    <w:rsid w:val="00BE04C4"/>
    <w:rsid w:val="00BE0A78"/>
    <w:rsid w:val="00BE0D4E"/>
    <w:rsid w:val="00BE0FA9"/>
    <w:rsid w:val="00BE15C8"/>
    <w:rsid w:val="00BE2477"/>
    <w:rsid w:val="00BE2B56"/>
    <w:rsid w:val="00BE429E"/>
    <w:rsid w:val="00BE45C9"/>
    <w:rsid w:val="00BE463A"/>
    <w:rsid w:val="00BE4BED"/>
    <w:rsid w:val="00BE53BA"/>
    <w:rsid w:val="00BE5682"/>
    <w:rsid w:val="00BE5889"/>
    <w:rsid w:val="00BE5F6C"/>
    <w:rsid w:val="00BE5FD2"/>
    <w:rsid w:val="00BE6915"/>
    <w:rsid w:val="00BE6A88"/>
    <w:rsid w:val="00BE6BDF"/>
    <w:rsid w:val="00BE6D9E"/>
    <w:rsid w:val="00BE76E9"/>
    <w:rsid w:val="00BF05CE"/>
    <w:rsid w:val="00BF0664"/>
    <w:rsid w:val="00BF09C9"/>
    <w:rsid w:val="00BF0C52"/>
    <w:rsid w:val="00BF119F"/>
    <w:rsid w:val="00BF1396"/>
    <w:rsid w:val="00BF1766"/>
    <w:rsid w:val="00BF2D29"/>
    <w:rsid w:val="00BF2EA5"/>
    <w:rsid w:val="00BF313C"/>
    <w:rsid w:val="00BF3166"/>
    <w:rsid w:val="00BF3DFC"/>
    <w:rsid w:val="00BF4412"/>
    <w:rsid w:val="00BF5397"/>
    <w:rsid w:val="00BF5A36"/>
    <w:rsid w:val="00BF6C0A"/>
    <w:rsid w:val="00BF6C17"/>
    <w:rsid w:val="00C0060E"/>
    <w:rsid w:val="00C00A8A"/>
    <w:rsid w:val="00C0122A"/>
    <w:rsid w:val="00C018AB"/>
    <w:rsid w:val="00C018BE"/>
    <w:rsid w:val="00C020C3"/>
    <w:rsid w:val="00C02984"/>
    <w:rsid w:val="00C02AB5"/>
    <w:rsid w:val="00C02BD5"/>
    <w:rsid w:val="00C037D4"/>
    <w:rsid w:val="00C0423D"/>
    <w:rsid w:val="00C04337"/>
    <w:rsid w:val="00C04E68"/>
    <w:rsid w:val="00C05520"/>
    <w:rsid w:val="00C077B1"/>
    <w:rsid w:val="00C079A3"/>
    <w:rsid w:val="00C100FA"/>
    <w:rsid w:val="00C1071A"/>
    <w:rsid w:val="00C10761"/>
    <w:rsid w:val="00C114CC"/>
    <w:rsid w:val="00C11B1F"/>
    <w:rsid w:val="00C11D9B"/>
    <w:rsid w:val="00C12063"/>
    <w:rsid w:val="00C1219D"/>
    <w:rsid w:val="00C122EC"/>
    <w:rsid w:val="00C12B93"/>
    <w:rsid w:val="00C13A1B"/>
    <w:rsid w:val="00C14390"/>
    <w:rsid w:val="00C14863"/>
    <w:rsid w:val="00C14B30"/>
    <w:rsid w:val="00C150B6"/>
    <w:rsid w:val="00C15627"/>
    <w:rsid w:val="00C157A3"/>
    <w:rsid w:val="00C15E48"/>
    <w:rsid w:val="00C176C9"/>
    <w:rsid w:val="00C2032B"/>
    <w:rsid w:val="00C2079F"/>
    <w:rsid w:val="00C20A59"/>
    <w:rsid w:val="00C20C28"/>
    <w:rsid w:val="00C20C75"/>
    <w:rsid w:val="00C20FC9"/>
    <w:rsid w:val="00C21051"/>
    <w:rsid w:val="00C2143B"/>
    <w:rsid w:val="00C216CB"/>
    <w:rsid w:val="00C2222F"/>
    <w:rsid w:val="00C222D9"/>
    <w:rsid w:val="00C22457"/>
    <w:rsid w:val="00C22CA6"/>
    <w:rsid w:val="00C23066"/>
    <w:rsid w:val="00C24948"/>
    <w:rsid w:val="00C24A0A"/>
    <w:rsid w:val="00C24D6A"/>
    <w:rsid w:val="00C2509B"/>
    <w:rsid w:val="00C25867"/>
    <w:rsid w:val="00C26204"/>
    <w:rsid w:val="00C2658B"/>
    <w:rsid w:val="00C265AA"/>
    <w:rsid w:val="00C265DD"/>
    <w:rsid w:val="00C26C76"/>
    <w:rsid w:val="00C27137"/>
    <w:rsid w:val="00C275A6"/>
    <w:rsid w:val="00C27A62"/>
    <w:rsid w:val="00C27D90"/>
    <w:rsid w:val="00C27E7F"/>
    <w:rsid w:val="00C30027"/>
    <w:rsid w:val="00C30213"/>
    <w:rsid w:val="00C3051E"/>
    <w:rsid w:val="00C30ED1"/>
    <w:rsid w:val="00C313FE"/>
    <w:rsid w:val="00C3141B"/>
    <w:rsid w:val="00C31E2F"/>
    <w:rsid w:val="00C328E0"/>
    <w:rsid w:val="00C33296"/>
    <w:rsid w:val="00C33518"/>
    <w:rsid w:val="00C336D9"/>
    <w:rsid w:val="00C33960"/>
    <w:rsid w:val="00C34F06"/>
    <w:rsid w:val="00C35099"/>
    <w:rsid w:val="00C3522D"/>
    <w:rsid w:val="00C356C0"/>
    <w:rsid w:val="00C35A6B"/>
    <w:rsid w:val="00C35AA9"/>
    <w:rsid w:val="00C369F7"/>
    <w:rsid w:val="00C36C50"/>
    <w:rsid w:val="00C40BB2"/>
    <w:rsid w:val="00C41399"/>
    <w:rsid w:val="00C41600"/>
    <w:rsid w:val="00C41664"/>
    <w:rsid w:val="00C41CB6"/>
    <w:rsid w:val="00C4209D"/>
    <w:rsid w:val="00C42AE6"/>
    <w:rsid w:val="00C42D47"/>
    <w:rsid w:val="00C43200"/>
    <w:rsid w:val="00C438CC"/>
    <w:rsid w:val="00C43B54"/>
    <w:rsid w:val="00C44791"/>
    <w:rsid w:val="00C44F11"/>
    <w:rsid w:val="00C4515B"/>
    <w:rsid w:val="00C4608C"/>
    <w:rsid w:val="00C461B6"/>
    <w:rsid w:val="00C466CF"/>
    <w:rsid w:val="00C46A95"/>
    <w:rsid w:val="00C46A99"/>
    <w:rsid w:val="00C47314"/>
    <w:rsid w:val="00C4761F"/>
    <w:rsid w:val="00C502DA"/>
    <w:rsid w:val="00C5060B"/>
    <w:rsid w:val="00C5071E"/>
    <w:rsid w:val="00C517EE"/>
    <w:rsid w:val="00C51875"/>
    <w:rsid w:val="00C5199D"/>
    <w:rsid w:val="00C51C62"/>
    <w:rsid w:val="00C5209B"/>
    <w:rsid w:val="00C520F6"/>
    <w:rsid w:val="00C53652"/>
    <w:rsid w:val="00C536C0"/>
    <w:rsid w:val="00C539EE"/>
    <w:rsid w:val="00C5421A"/>
    <w:rsid w:val="00C5466C"/>
    <w:rsid w:val="00C54912"/>
    <w:rsid w:val="00C54B68"/>
    <w:rsid w:val="00C54B87"/>
    <w:rsid w:val="00C54D0D"/>
    <w:rsid w:val="00C55116"/>
    <w:rsid w:val="00C556E7"/>
    <w:rsid w:val="00C55D8C"/>
    <w:rsid w:val="00C56EAC"/>
    <w:rsid w:val="00C57619"/>
    <w:rsid w:val="00C5783A"/>
    <w:rsid w:val="00C57FB5"/>
    <w:rsid w:val="00C60A55"/>
    <w:rsid w:val="00C60BDD"/>
    <w:rsid w:val="00C62002"/>
    <w:rsid w:val="00C621B6"/>
    <w:rsid w:val="00C62777"/>
    <w:rsid w:val="00C62A65"/>
    <w:rsid w:val="00C62B41"/>
    <w:rsid w:val="00C62E31"/>
    <w:rsid w:val="00C62F12"/>
    <w:rsid w:val="00C6329B"/>
    <w:rsid w:val="00C63C39"/>
    <w:rsid w:val="00C640D7"/>
    <w:rsid w:val="00C64207"/>
    <w:rsid w:val="00C6472C"/>
    <w:rsid w:val="00C64967"/>
    <w:rsid w:val="00C649E4"/>
    <w:rsid w:val="00C64BE3"/>
    <w:rsid w:val="00C64D7B"/>
    <w:rsid w:val="00C64EC3"/>
    <w:rsid w:val="00C651D1"/>
    <w:rsid w:val="00C65334"/>
    <w:rsid w:val="00C655F2"/>
    <w:rsid w:val="00C65B19"/>
    <w:rsid w:val="00C65C13"/>
    <w:rsid w:val="00C65DFA"/>
    <w:rsid w:val="00C6601B"/>
    <w:rsid w:val="00C666E5"/>
    <w:rsid w:val="00C668C2"/>
    <w:rsid w:val="00C66DE5"/>
    <w:rsid w:val="00C673FC"/>
    <w:rsid w:val="00C6743A"/>
    <w:rsid w:val="00C678EE"/>
    <w:rsid w:val="00C704BC"/>
    <w:rsid w:val="00C7069E"/>
    <w:rsid w:val="00C713A9"/>
    <w:rsid w:val="00C71C00"/>
    <w:rsid w:val="00C721FA"/>
    <w:rsid w:val="00C73538"/>
    <w:rsid w:val="00C73564"/>
    <w:rsid w:val="00C73FF2"/>
    <w:rsid w:val="00C743A1"/>
    <w:rsid w:val="00C7498C"/>
    <w:rsid w:val="00C74FF8"/>
    <w:rsid w:val="00C754B6"/>
    <w:rsid w:val="00C75537"/>
    <w:rsid w:val="00C758F8"/>
    <w:rsid w:val="00C76BC7"/>
    <w:rsid w:val="00C80218"/>
    <w:rsid w:val="00C80816"/>
    <w:rsid w:val="00C81028"/>
    <w:rsid w:val="00C81356"/>
    <w:rsid w:val="00C8141D"/>
    <w:rsid w:val="00C816E3"/>
    <w:rsid w:val="00C81A0F"/>
    <w:rsid w:val="00C82593"/>
    <w:rsid w:val="00C82ACD"/>
    <w:rsid w:val="00C82F7A"/>
    <w:rsid w:val="00C839ED"/>
    <w:rsid w:val="00C84073"/>
    <w:rsid w:val="00C841D5"/>
    <w:rsid w:val="00C842EC"/>
    <w:rsid w:val="00C84A40"/>
    <w:rsid w:val="00C84C9F"/>
    <w:rsid w:val="00C84D33"/>
    <w:rsid w:val="00C851DC"/>
    <w:rsid w:val="00C855A0"/>
    <w:rsid w:val="00C85735"/>
    <w:rsid w:val="00C85E04"/>
    <w:rsid w:val="00C85ECD"/>
    <w:rsid w:val="00C8623C"/>
    <w:rsid w:val="00C863D1"/>
    <w:rsid w:val="00C86CB7"/>
    <w:rsid w:val="00C872F2"/>
    <w:rsid w:val="00C87437"/>
    <w:rsid w:val="00C8794B"/>
    <w:rsid w:val="00C87B14"/>
    <w:rsid w:val="00C87E83"/>
    <w:rsid w:val="00C9067D"/>
    <w:rsid w:val="00C90DD3"/>
    <w:rsid w:val="00C90EDB"/>
    <w:rsid w:val="00C91D33"/>
    <w:rsid w:val="00C91FC7"/>
    <w:rsid w:val="00C924E6"/>
    <w:rsid w:val="00C92BCB"/>
    <w:rsid w:val="00C92D84"/>
    <w:rsid w:val="00C9300A"/>
    <w:rsid w:val="00C93213"/>
    <w:rsid w:val="00C9356D"/>
    <w:rsid w:val="00C9366F"/>
    <w:rsid w:val="00C93798"/>
    <w:rsid w:val="00C93B4E"/>
    <w:rsid w:val="00C93D1C"/>
    <w:rsid w:val="00C947E7"/>
    <w:rsid w:val="00C95043"/>
    <w:rsid w:val="00C95DF7"/>
    <w:rsid w:val="00C964BD"/>
    <w:rsid w:val="00C96BEB"/>
    <w:rsid w:val="00C97A18"/>
    <w:rsid w:val="00CA079F"/>
    <w:rsid w:val="00CA0A1D"/>
    <w:rsid w:val="00CA0B64"/>
    <w:rsid w:val="00CA213E"/>
    <w:rsid w:val="00CA30F0"/>
    <w:rsid w:val="00CA4071"/>
    <w:rsid w:val="00CA42EB"/>
    <w:rsid w:val="00CA44FD"/>
    <w:rsid w:val="00CA46BE"/>
    <w:rsid w:val="00CA47DE"/>
    <w:rsid w:val="00CA4FFB"/>
    <w:rsid w:val="00CA560B"/>
    <w:rsid w:val="00CA6310"/>
    <w:rsid w:val="00CA64D1"/>
    <w:rsid w:val="00CA69A3"/>
    <w:rsid w:val="00CA6D4D"/>
    <w:rsid w:val="00CA701D"/>
    <w:rsid w:val="00CA73F7"/>
    <w:rsid w:val="00CA7891"/>
    <w:rsid w:val="00CA789C"/>
    <w:rsid w:val="00CA7B8D"/>
    <w:rsid w:val="00CB0592"/>
    <w:rsid w:val="00CB06EE"/>
    <w:rsid w:val="00CB0BEC"/>
    <w:rsid w:val="00CB11C5"/>
    <w:rsid w:val="00CB158B"/>
    <w:rsid w:val="00CB2528"/>
    <w:rsid w:val="00CB2A88"/>
    <w:rsid w:val="00CB2DA5"/>
    <w:rsid w:val="00CB2FA0"/>
    <w:rsid w:val="00CB31D4"/>
    <w:rsid w:val="00CB3283"/>
    <w:rsid w:val="00CB373F"/>
    <w:rsid w:val="00CB3FF1"/>
    <w:rsid w:val="00CB4B7E"/>
    <w:rsid w:val="00CB524C"/>
    <w:rsid w:val="00CB5314"/>
    <w:rsid w:val="00CB543C"/>
    <w:rsid w:val="00CB5700"/>
    <w:rsid w:val="00CB62FA"/>
    <w:rsid w:val="00CB64CE"/>
    <w:rsid w:val="00CB6763"/>
    <w:rsid w:val="00CB68AA"/>
    <w:rsid w:val="00CB6CC5"/>
    <w:rsid w:val="00CB6F33"/>
    <w:rsid w:val="00CB7DD0"/>
    <w:rsid w:val="00CB7F17"/>
    <w:rsid w:val="00CC047E"/>
    <w:rsid w:val="00CC056C"/>
    <w:rsid w:val="00CC100F"/>
    <w:rsid w:val="00CC112D"/>
    <w:rsid w:val="00CC1595"/>
    <w:rsid w:val="00CC1AFF"/>
    <w:rsid w:val="00CC3DB1"/>
    <w:rsid w:val="00CC4167"/>
    <w:rsid w:val="00CC4203"/>
    <w:rsid w:val="00CC432F"/>
    <w:rsid w:val="00CC54F9"/>
    <w:rsid w:val="00CC5AD5"/>
    <w:rsid w:val="00CC71C8"/>
    <w:rsid w:val="00CC7226"/>
    <w:rsid w:val="00CC7963"/>
    <w:rsid w:val="00CD0796"/>
    <w:rsid w:val="00CD0D5D"/>
    <w:rsid w:val="00CD0E2B"/>
    <w:rsid w:val="00CD117B"/>
    <w:rsid w:val="00CD1401"/>
    <w:rsid w:val="00CD23A4"/>
    <w:rsid w:val="00CD2757"/>
    <w:rsid w:val="00CD2CAD"/>
    <w:rsid w:val="00CD2CC1"/>
    <w:rsid w:val="00CD4142"/>
    <w:rsid w:val="00CD4211"/>
    <w:rsid w:val="00CD4C00"/>
    <w:rsid w:val="00CD4DA6"/>
    <w:rsid w:val="00CD51D7"/>
    <w:rsid w:val="00CD5369"/>
    <w:rsid w:val="00CD558D"/>
    <w:rsid w:val="00CD5874"/>
    <w:rsid w:val="00CD5982"/>
    <w:rsid w:val="00CD5D2B"/>
    <w:rsid w:val="00CD6FAE"/>
    <w:rsid w:val="00CD705C"/>
    <w:rsid w:val="00CE0CD5"/>
    <w:rsid w:val="00CE1029"/>
    <w:rsid w:val="00CE1514"/>
    <w:rsid w:val="00CE1869"/>
    <w:rsid w:val="00CE19F3"/>
    <w:rsid w:val="00CE20DF"/>
    <w:rsid w:val="00CE24A2"/>
    <w:rsid w:val="00CE2581"/>
    <w:rsid w:val="00CE2ABF"/>
    <w:rsid w:val="00CE334F"/>
    <w:rsid w:val="00CE39B0"/>
    <w:rsid w:val="00CE3B8E"/>
    <w:rsid w:val="00CE3FF9"/>
    <w:rsid w:val="00CE43AA"/>
    <w:rsid w:val="00CE4A65"/>
    <w:rsid w:val="00CE5722"/>
    <w:rsid w:val="00CE5C30"/>
    <w:rsid w:val="00CE61F5"/>
    <w:rsid w:val="00CE6ADF"/>
    <w:rsid w:val="00CE6B10"/>
    <w:rsid w:val="00CE6D23"/>
    <w:rsid w:val="00CE7126"/>
    <w:rsid w:val="00CE73E1"/>
    <w:rsid w:val="00CE77ED"/>
    <w:rsid w:val="00CE7B24"/>
    <w:rsid w:val="00CE7C36"/>
    <w:rsid w:val="00CE7E7C"/>
    <w:rsid w:val="00CF00EF"/>
    <w:rsid w:val="00CF05D9"/>
    <w:rsid w:val="00CF0A50"/>
    <w:rsid w:val="00CF10C0"/>
    <w:rsid w:val="00CF11F7"/>
    <w:rsid w:val="00CF1A2A"/>
    <w:rsid w:val="00CF28D4"/>
    <w:rsid w:val="00CF2D35"/>
    <w:rsid w:val="00CF2DB6"/>
    <w:rsid w:val="00CF31B7"/>
    <w:rsid w:val="00CF3231"/>
    <w:rsid w:val="00CF3B99"/>
    <w:rsid w:val="00CF3F3D"/>
    <w:rsid w:val="00CF40BC"/>
    <w:rsid w:val="00CF4198"/>
    <w:rsid w:val="00CF4216"/>
    <w:rsid w:val="00CF526A"/>
    <w:rsid w:val="00CF5BCC"/>
    <w:rsid w:val="00CF607D"/>
    <w:rsid w:val="00CF6BCE"/>
    <w:rsid w:val="00CF6D38"/>
    <w:rsid w:val="00D0008F"/>
    <w:rsid w:val="00D00482"/>
    <w:rsid w:val="00D0167F"/>
    <w:rsid w:val="00D01BBF"/>
    <w:rsid w:val="00D02176"/>
    <w:rsid w:val="00D0287D"/>
    <w:rsid w:val="00D02A98"/>
    <w:rsid w:val="00D033D4"/>
    <w:rsid w:val="00D033D5"/>
    <w:rsid w:val="00D04DFE"/>
    <w:rsid w:val="00D05E25"/>
    <w:rsid w:val="00D0627E"/>
    <w:rsid w:val="00D06340"/>
    <w:rsid w:val="00D076E1"/>
    <w:rsid w:val="00D07D46"/>
    <w:rsid w:val="00D101B3"/>
    <w:rsid w:val="00D10258"/>
    <w:rsid w:val="00D10CB2"/>
    <w:rsid w:val="00D111D6"/>
    <w:rsid w:val="00D11556"/>
    <w:rsid w:val="00D116AF"/>
    <w:rsid w:val="00D128B7"/>
    <w:rsid w:val="00D129C2"/>
    <w:rsid w:val="00D12EB0"/>
    <w:rsid w:val="00D13093"/>
    <w:rsid w:val="00D13E7F"/>
    <w:rsid w:val="00D14386"/>
    <w:rsid w:val="00D149A9"/>
    <w:rsid w:val="00D14A73"/>
    <w:rsid w:val="00D14CBA"/>
    <w:rsid w:val="00D14CD5"/>
    <w:rsid w:val="00D15081"/>
    <w:rsid w:val="00D15671"/>
    <w:rsid w:val="00D15B5E"/>
    <w:rsid w:val="00D16AA0"/>
    <w:rsid w:val="00D17B3F"/>
    <w:rsid w:val="00D20CF1"/>
    <w:rsid w:val="00D21135"/>
    <w:rsid w:val="00D21ED4"/>
    <w:rsid w:val="00D226AA"/>
    <w:rsid w:val="00D22C16"/>
    <w:rsid w:val="00D23478"/>
    <w:rsid w:val="00D24641"/>
    <w:rsid w:val="00D249E6"/>
    <w:rsid w:val="00D24E60"/>
    <w:rsid w:val="00D250E9"/>
    <w:rsid w:val="00D2520F"/>
    <w:rsid w:val="00D25C90"/>
    <w:rsid w:val="00D25FF1"/>
    <w:rsid w:val="00D2648A"/>
    <w:rsid w:val="00D2689F"/>
    <w:rsid w:val="00D26A12"/>
    <w:rsid w:val="00D27353"/>
    <w:rsid w:val="00D275B4"/>
    <w:rsid w:val="00D27826"/>
    <w:rsid w:val="00D278CF"/>
    <w:rsid w:val="00D27C08"/>
    <w:rsid w:val="00D27D33"/>
    <w:rsid w:val="00D3000F"/>
    <w:rsid w:val="00D3059B"/>
    <w:rsid w:val="00D30ADE"/>
    <w:rsid w:val="00D310CB"/>
    <w:rsid w:val="00D311F5"/>
    <w:rsid w:val="00D31598"/>
    <w:rsid w:val="00D31929"/>
    <w:rsid w:val="00D31C4C"/>
    <w:rsid w:val="00D31ED1"/>
    <w:rsid w:val="00D327FA"/>
    <w:rsid w:val="00D3295D"/>
    <w:rsid w:val="00D32A26"/>
    <w:rsid w:val="00D32E6F"/>
    <w:rsid w:val="00D32FFD"/>
    <w:rsid w:val="00D3315A"/>
    <w:rsid w:val="00D332BB"/>
    <w:rsid w:val="00D33714"/>
    <w:rsid w:val="00D340C9"/>
    <w:rsid w:val="00D34883"/>
    <w:rsid w:val="00D35C2E"/>
    <w:rsid w:val="00D36E0C"/>
    <w:rsid w:val="00D36EE2"/>
    <w:rsid w:val="00D372CB"/>
    <w:rsid w:val="00D379B9"/>
    <w:rsid w:val="00D37F55"/>
    <w:rsid w:val="00D41CA9"/>
    <w:rsid w:val="00D424E7"/>
    <w:rsid w:val="00D42537"/>
    <w:rsid w:val="00D42780"/>
    <w:rsid w:val="00D429EE"/>
    <w:rsid w:val="00D42E06"/>
    <w:rsid w:val="00D42F81"/>
    <w:rsid w:val="00D43536"/>
    <w:rsid w:val="00D435B5"/>
    <w:rsid w:val="00D44269"/>
    <w:rsid w:val="00D449DB"/>
    <w:rsid w:val="00D44ECA"/>
    <w:rsid w:val="00D460F0"/>
    <w:rsid w:val="00D46118"/>
    <w:rsid w:val="00D4653F"/>
    <w:rsid w:val="00D46A12"/>
    <w:rsid w:val="00D46C15"/>
    <w:rsid w:val="00D46DE8"/>
    <w:rsid w:val="00D46FFF"/>
    <w:rsid w:val="00D47200"/>
    <w:rsid w:val="00D47983"/>
    <w:rsid w:val="00D47F80"/>
    <w:rsid w:val="00D50051"/>
    <w:rsid w:val="00D5114D"/>
    <w:rsid w:val="00D514CF"/>
    <w:rsid w:val="00D521B4"/>
    <w:rsid w:val="00D52E73"/>
    <w:rsid w:val="00D5311F"/>
    <w:rsid w:val="00D53699"/>
    <w:rsid w:val="00D537F2"/>
    <w:rsid w:val="00D5399E"/>
    <w:rsid w:val="00D5474F"/>
    <w:rsid w:val="00D548D3"/>
    <w:rsid w:val="00D55092"/>
    <w:rsid w:val="00D552ED"/>
    <w:rsid w:val="00D5583D"/>
    <w:rsid w:val="00D56170"/>
    <w:rsid w:val="00D56CEF"/>
    <w:rsid w:val="00D56F77"/>
    <w:rsid w:val="00D57337"/>
    <w:rsid w:val="00D57537"/>
    <w:rsid w:val="00D576C2"/>
    <w:rsid w:val="00D578AE"/>
    <w:rsid w:val="00D57A44"/>
    <w:rsid w:val="00D57E24"/>
    <w:rsid w:val="00D60042"/>
    <w:rsid w:val="00D60E1B"/>
    <w:rsid w:val="00D60F24"/>
    <w:rsid w:val="00D61180"/>
    <w:rsid w:val="00D62160"/>
    <w:rsid w:val="00D62AD1"/>
    <w:rsid w:val="00D636C1"/>
    <w:rsid w:val="00D63B8A"/>
    <w:rsid w:val="00D63CCD"/>
    <w:rsid w:val="00D6414A"/>
    <w:rsid w:val="00D64646"/>
    <w:rsid w:val="00D64705"/>
    <w:rsid w:val="00D6472C"/>
    <w:rsid w:val="00D64830"/>
    <w:rsid w:val="00D64965"/>
    <w:rsid w:val="00D658FA"/>
    <w:rsid w:val="00D65CFF"/>
    <w:rsid w:val="00D6610C"/>
    <w:rsid w:val="00D662FD"/>
    <w:rsid w:val="00D66C97"/>
    <w:rsid w:val="00D6709D"/>
    <w:rsid w:val="00D670B3"/>
    <w:rsid w:val="00D674A8"/>
    <w:rsid w:val="00D7045E"/>
    <w:rsid w:val="00D708D2"/>
    <w:rsid w:val="00D7101D"/>
    <w:rsid w:val="00D7114C"/>
    <w:rsid w:val="00D7135F"/>
    <w:rsid w:val="00D71C85"/>
    <w:rsid w:val="00D71DBC"/>
    <w:rsid w:val="00D724D7"/>
    <w:rsid w:val="00D72E78"/>
    <w:rsid w:val="00D73452"/>
    <w:rsid w:val="00D73B61"/>
    <w:rsid w:val="00D73C73"/>
    <w:rsid w:val="00D73D53"/>
    <w:rsid w:val="00D74057"/>
    <w:rsid w:val="00D74C1B"/>
    <w:rsid w:val="00D74E2C"/>
    <w:rsid w:val="00D74E47"/>
    <w:rsid w:val="00D753EA"/>
    <w:rsid w:val="00D758D1"/>
    <w:rsid w:val="00D761E5"/>
    <w:rsid w:val="00D768E8"/>
    <w:rsid w:val="00D76C32"/>
    <w:rsid w:val="00D76E6E"/>
    <w:rsid w:val="00D773C3"/>
    <w:rsid w:val="00D77983"/>
    <w:rsid w:val="00D77F9F"/>
    <w:rsid w:val="00D8019A"/>
    <w:rsid w:val="00D80362"/>
    <w:rsid w:val="00D803B6"/>
    <w:rsid w:val="00D804B6"/>
    <w:rsid w:val="00D8070D"/>
    <w:rsid w:val="00D81101"/>
    <w:rsid w:val="00D8221C"/>
    <w:rsid w:val="00D83074"/>
    <w:rsid w:val="00D832C9"/>
    <w:rsid w:val="00D83F48"/>
    <w:rsid w:val="00D858FE"/>
    <w:rsid w:val="00D863C4"/>
    <w:rsid w:val="00D86AF7"/>
    <w:rsid w:val="00D86CB7"/>
    <w:rsid w:val="00D86E45"/>
    <w:rsid w:val="00D87431"/>
    <w:rsid w:val="00D877A2"/>
    <w:rsid w:val="00D90068"/>
    <w:rsid w:val="00D9006C"/>
    <w:rsid w:val="00D9047B"/>
    <w:rsid w:val="00D90773"/>
    <w:rsid w:val="00D908EF"/>
    <w:rsid w:val="00D90A5B"/>
    <w:rsid w:val="00D90E6A"/>
    <w:rsid w:val="00D91B7D"/>
    <w:rsid w:val="00D92015"/>
    <w:rsid w:val="00D9223E"/>
    <w:rsid w:val="00D92530"/>
    <w:rsid w:val="00D92B38"/>
    <w:rsid w:val="00D933A8"/>
    <w:rsid w:val="00D93581"/>
    <w:rsid w:val="00D93863"/>
    <w:rsid w:val="00D93C4E"/>
    <w:rsid w:val="00D94557"/>
    <w:rsid w:val="00D945A2"/>
    <w:rsid w:val="00D94BCA"/>
    <w:rsid w:val="00D95979"/>
    <w:rsid w:val="00D95BCA"/>
    <w:rsid w:val="00D960DC"/>
    <w:rsid w:val="00D96A09"/>
    <w:rsid w:val="00D96D39"/>
    <w:rsid w:val="00D97456"/>
    <w:rsid w:val="00DA000F"/>
    <w:rsid w:val="00DA0175"/>
    <w:rsid w:val="00DA0B70"/>
    <w:rsid w:val="00DA17DE"/>
    <w:rsid w:val="00DA1ABE"/>
    <w:rsid w:val="00DA1D5C"/>
    <w:rsid w:val="00DA2008"/>
    <w:rsid w:val="00DA22A9"/>
    <w:rsid w:val="00DA2601"/>
    <w:rsid w:val="00DA2B43"/>
    <w:rsid w:val="00DA3106"/>
    <w:rsid w:val="00DA3A51"/>
    <w:rsid w:val="00DA3A85"/>
    <w:rsid w:val="00DA3B1C"/>
    <w:rsid w:val="00DA3CD4"/>
    <w:rsid w:val="00DA40A8"/>
    <w:rsid w:val="00DA42F2"/>
    <w:rsid w:val="00DA4301"/>
    <w:rsid w:val="00DA46B9"/>
    <w:rsid w:val="00DA59E8"/>
    <w:rsid w:val="00DA5C67"/>
    <w:rsid w:val="00DA6000"/>
    <w:rsid w:val="00DA601C"/>
    <w:rsid w:val="00DA622B"/>
    <w:rsid w:val="00DA65BF"/>
    <w:rsid w:val="00DA663C"/>
    <w:rsid w:val="00DA666D"/>
    <w:rsid w:val="00DA78A2"/>
    <w:rsid w:val="00DA7EA1"/>
    <w:rsid w:val="00DB090B"/>
    <w:rsid w:val="00DB0A1C"/>
    <w:rsid w:val="00DB0C66"/>
    <w:rsid w:val="00DB0D7F"/>
    <w:rsid w:val="00DB0EF3"/>
    <w:rsid w:val="00DB0F9C"/>
    <w:rsid w:val="00DB155E"/>
    <w:rsid w:val="00DB2330"/>
    <w:rsid w:val="00DB2DDF"/>
    <w:rsid w:val="00DB30D0"/>
    <w:rsid w:val="00DB3DD4"/>
    <w:rsid w:val="00DB410D"/>
    <w:rsid w:val="00DB4DCA"/>
    <w:rsid w:val="00DB4FD0"/>
    <w:rsid w:val="00DB5375"/>
    <w:rsid w:val="00DB5467"/>
    <w:rsid w:val="00DB560B"/>
    <w:rsid w:val="00DB6E21"/>
    <w:rsid w:val="00DB7163"/>
    <w:rsid w:val="00DB71E9"/>
    <w:rsid w:val="00DB7325"/>
    <w:rsid w:val="00DB7F51"/>
    <w:rsid w:val="00DC0383"/>
    <w:rsid w:val="00DC1ACE"/>
    <w:rsid w:val="00DC1ADF"/>
    <w:rsid w:val="00DC2887"/>
    <w:rsid w:val="00DC2E5E"/>
    <w:rsid w:val="00DC40D0"/>
    <w:rsid w:val="00DC4559"/>
    <w:rsid w:val="00DC4673"/>
    <w:rsid w:val="00DC58EA"/>
    <w:rsid w:val="00DC5BA7"/>
    <w:rsid w:val="00DC5EE9"/>
    <w:rsid w:val="00DC674B"/>
    <w:rsid w:val="00DC6A5E"/>
    <w:rsid w:val="00DC6BC8"/>
    <w:rsid w:val="00DC7553"/>
    <w:rsid w:val="00DD02C7"/>
    <w:rsid w:val="00DD037D"/>
    <w:rsid w:val="00DD0CAF"/>
    <w:rsid w:val="00DD0F95"/>
    <w:rsid w:val="00DD1D92"/>
    <w:rsid w:val="00DD1EF7"/>
    <w:rsid w:val="00DD249A"/>
    <w:rsid w:val="00DD30BC"/>
    <w:rsid w:val="00DD3421"/>
    <w:rsid w:val="00DD3442"/>
    <w:rsid w:val="00DD3B6E"/>
    <w:rsid w:val="00DD3EAB"/>
    <w:rsid w:val="00DD4201"/>
    <w:rsid w:val="00DD444F"/>
    <w:rsid w:val="00DD4C2A"/>
    <w:rsid w:val="00DD56AC"/>
    <w:rsid w:val="00DD6038"/>
    <w:rsid w:val="00DD654A"/>
    <w:rsid w:val="00DD6FA6"/>
    <w:rsid w:val="00DD7C20"/>
    <w:rsid w:val="00DE01D0"/>
    <w:rsid w:val="00DE102B"/>
    <w:rsid w:val="00DE17AF"/>
    <w:rsid w:val="00DE1C01"/>
    <w:rsid w:val="00DE23CA"/>
    <w:rsid w:val="00DE354F"/>
    <w:rsid w:val="00DE358F"/>
    <w:rsid w:val="00DE3605"/>
    <w:rsid w:val="00DE383F"/>
    <w:rsid w:val="00DE386B"/>
    <w:rsid w:val="00DE3893"/>
    <w:rsid w:val="00DE43BD"/>
    <w:rsid w:val="00DE4584"/>
    <w:rsid w:val="00DE4A18"/>
    <w:rsid w:val="00DE4CA3"/>
    <w:rsid w:val="00DE4D04"/>
    <w:rsid w:val="00DE4D77"/>
    <w:rsid w:val="00DE4FA8"/>
    <w:rsid w:val="00DE5033"/>
    <w:rsid w:val="00DE56CF"/>
    <w:rsid w:val="00DE5AB0"/>
    <w:rsid w:val="00DE5E4B"/>
    <w:rsid w:val="00DE6145"/>
    <w:rsid w:val="00DE61C1"/>
    <w:rsid w:val="00DE62A8"/>
    <w:rsid w:val="00DE6D8F"/>
    <w:rsid w:val="00DE7F4B"/>
    <w:rsid w:val="00DF1094"/>
    <w:rsid w:val="00DF14AC"/>
    <w:rsid w:val="00DF14C9"/>
    <w:rsid w:val="00DF15C4"/>
    <w:rsid w:val="00DF2384"/>
    <w:rsid w:val="00DF26B8"/>
    <w:rsid w:val="00DF278D"/>
    <w:rsid w:val="00DF2D13"/>
    <w:rsid w:val="00DF2DD3"/>
    <w:rsid w:val="00DF3694"/>
    <w:rsid w:val="00DF3EEA"/>
    <w:rsid w:val="00DF43A2"/>
    <w:rsid w:val="00DF566B"/>
    <w:rsid w:val="00DF57CD"/>
    <w:rsid w:val="00DF5D09"/>
    <w:rsid w:val="00DF658D"/>
    <w:rsid w:val="00DF692D"/>
    <w:rsid w:val="00DF6DA6"/>
    <w:rsid w:val="00E00535"/>
    <w:rsid w:val="00E01450"/>
    <w:rsid w:val="00E01825"/>
    <w:rsid w:val="00E02ECD"/>
    <w:rsid w:val="00E030CD"/>
    <w:rsid w:val="00E0351F"/>
    <w:rsid w:val="00E03884"/>
    <w:rsid w:val="00E03A1D"/>
    <w:rsid w:val="00E04F0D"/>
    <w:rsid w:val="00E04F71"/>
    <w:rsid w:val="00E057C6"/>
    <w:rsid w:val="00E05BEB"/>
    <w:rsid w:val="00E0620D"/>
    <w:rsid w:val="00E064BF"/>
    <w:rsid w:val="00E06561"/>
    <w:rsid w:val="00E105B8"/>
    <w:rsid w:val="00E10736"/>
    <w:rsid w:val="00E11074"/>
    <w:rsid w:val="00E11131"/>
    <w:rsid w:val="00E11748"/>
    <w:rsid w:val="00E119F4"/>
    <w:rsid w:val="00E11BD7"/>
    <w:rsid w:val="00E1255F"/>
    <w:rsid w:val="00E13282"/>
    <w:rsid w:val="00E13B59"/>
    <w:rsid w:val="00E13FDE"/>
    <w:rsid w:val="00E1462B"/>
    <w:rsid w:val="00E147BC"/>
    <w:rsid w:val="00E14EA4"/>
    <w:rsid w:val="00E150AB"/>
    <w:rsid w:val="00E15F6E"/>
    <w:rsid w:val="00E16975"/>
    <w:rsid w:val="00E16A03"/>
    <w:rsid w:val="00E17332"/>
    <w:rsid w:val="00E175A4"/>
    <w:rsid w:val="00E177DF"/>
    <w:rsid w:val="00E203ED"/>
    <w:rsid w:val="00E208F7"/>
    <w:rsid w:val="00E215C5"/>
    <w:rsid w:val="00E2165A"/>
    <w:rsid w:val="00E225BD"/>
    <w:rsid w:val="00E22972"/>
    <w:rsid w:val="00E22CE6"/>
    <w:rsid w:val="00E23A32"/>
    <w:rsid w:val="00E2456F"/>
    <w:rsid w:val="00E24720"/>
    <w:rsid w:val="00E260D3"/>
    <w:rsid w:val="00E26967"/>
    <w:rsid w:val="00E2747A"/>
    <w:rsid w:val="00E274F9"/>
    <w:rsid w:val="00E27B4B"/>
    <w:rsid w:val="00E27C43"/>
    <w:rsid w:val="00E27E86"/>
    <w:rsid w:val="00E3004D"/>
    <w:rsid w:val="00E307F1"/>
    <w:rsid w:val="00E309AF"/>
    <w:rsid w:val="00E30B38"/>
    <w:rsid w:val="00E33308"/>
    <w:rsid w:val="00E3385A"/>
    <w:rsid w:val="00E33ABE"/>
    <w:rsid w:val="00E340AD"/>
    <w:rsid w:val="00E349BD"/>
    <w:rsid w:val="00E35BCC"/>
    <w:rsid w:val="00E35D3F"/>
    <w:rsid w:val="00E35D7D"/>
    <w:rsid w:val="00E36D55"/>
    <w:rsid w:val="00E37D48"/>
    <w:rsid w:val="00E37E92"/>
    <w:rsid w:val="00E40172"/>
    <w:rsid w:val="00E40867"/>
    <w:rsid w:val="00E415DB"/>
    <w:rsid w:val="00E416FA"/>
    <w:rsid w:val="00E41BCA"/>
    <w:rsid w:val="00E41BF2"/>
    <w:rsid w:val="00E42757"/>
    <w:rsid w:val="00E42ABB"/>
    <w:rsid w:val="00E43331"/>
    <w:rsid w:val="00E43BF9"/>
    <w:rsid w:val="00E44171"/>
    <w:rsid w:val="00E4463C"/>
    <w:rsid w:val="00E45A20"/>
    <w:rsid w:val="00E45B40"/>
    <w:rsid w:val="00E45D2D"/>
    <w:rsid w:val="00E46122"/>
    <w:rsid w:val="00E46169"/>
    <w:rsid w:val="00E463CD"/>
    <w:rsid w:val="00E46437"/>
    <w:rsid w:val="00E46517"/>
    <w:rsid w:val="00E46630"/>
    <w:rsid w:val="00E46706"/>
    <w:rsid w:val="00E47158"/>
    <w:rsid w:val="00E47843"/>
    <w:rsid w:val="00E479FE"/>
    <w:rsid w:val="00E5032B"/>
    <w:rsid w:val="00E509DD"/>
    <w:rsid w:val="00E51AD1"/>
    <w:rsid w:val="00E51DB8"/>
    <w:rsid w:val="00E52300"/>
    <w:rsid w:val="00E525FB"/>
    <w:rsid w:val="00E55159"/>
    <w:rsid w:val="00E565D4"/>
    <w:rsid w:val="00E56D0F"/>
    <w:rsid w:val="00E57160"/>
    <w:rsid w:val="00E5738D"/>
    <w:rsid w:val="00E57CC3"/>
    <w:rsid w:val="00E60DC5"/>
    <w:rsid w:val="00E617B7"/>
    <w:rsid w:val="00E6186B"/>
    <w:rsid w:val="00E6246D"/>
    <w:rsid w:val="00E627B6"/>
    <w:rsid w:val="00E630BE"/>
    <w:rsid w:val="00E63C48"/>
    <w:rsid w:val="00E63F3F"/>
    <w:rsid w:val="00E63FCF"/>
    <w:rsid w:val="00E64FDD"/>
    <w:rsid w:val="00E65585"/>
    <w:rsid w:val="00E6569E"/>
    <w:rsid w:val="00E65E78"/>
    <w:rsid w:val="00E66656"/>
    <w:rsid w:val="00E6690B"/>
    <w:rsid w:val="00E678E0"/>
    <w:rsid w:val="00E7012E"/>
    <w:rsid w:val="00E70495"/>
    <w:rsid w:val="00E707E4"/>
    <w:rsid w:val="00E70833"/>
    <w:rsid w:val="00E70B54"/>
    <w:rsid w:val="00E7116C"/>
    <w:rsid w:val="00E720E3"/>
    <w:rsid w:val="00E725A3"/>
    <w:rsid w:val="00E72961"/>
    <w:rsid w:val="00E73048"/>
    <w:rsid w:val="00E736E4"/>
    <w:rsid w:val="00E73DA6"/>
    <w:rsid w:val="00E7449B"/>
    <w:rsid w:val="00E74DBE"/>
    <w:rsid w:val="00E752D7"/>
    <w:rsid w:val="00E7550B"/>
    <w:rsid w:val="00E7621B"/>
    <w:rsid w:val="00E766FB"/>
    <w:rsid w:val="00E76D4C"/>
    <w:rsid w:val="00E7740C"/>
    <w:rsid w:val="00E77938"/>
    <w:rsid w:val="00E7794C"/>
    <w:rsid w:val="00E77C32"/>
    <w:rsid w:val="00E806C7"/>
    <w:rsid w:val="00E80F0A"/>
    <w:rsid w:val="00E816CB"/>
    <w:rsid w:val="00E81840"/>
    <w:rsid w:val="00E81A4E"/>
    <w:rsid w:val="00E81BC6"/>
    <w:rsid w:val="00E81C45"/>
    <w:rsid w:val="00E81E79"/>
    <w:rsid w:val="00E81FC2"/>
    <w:rsid w:val="00E83850"/>
    <w:rsid w:val="00E83BEE"/>
    <w:rsid w:val="00E83E31"/>
    <w:rsid w:val="00E83EBD"/>
    <w:rsid w:val="00E83FEF"/>
    <w:rsid w:val="00E84268"/>
    <w:rsid w:val="00E844F0"/>
    <w:rsid w:val="00E84654"/>
    <w:rsid w:val="00E84854"/>
    <w:rsid w:val="00E84B56"/>
    <w:rsid w:val="00E84E83"/>
    <w:rsid w:val="00E8526C"/>
    <w:rsid w:val="00E8551F"/>
    <w:rsid w:val="00E85631"/>
    <w:rsid w:val="00E85704"/>
    <w:rsid w:val="00E85C0A"/>
    <w:rsid w:val="00E85E6E"/>
    <w:rsid w:val="00E85E99"/>
    <w:rsid w:val="00E85F9F"/>
    <w:rsid w:val="00E86049"/>
    <w:rsid w:val="00E86C34"/>
    <w:rsid w:val="00E87078"/>
    <w:rsid w:val="00E8739C"/>
    <w:rsid w:val="00E874CB"/>
    <w:rsid w:val="00E9016F"/>
    <w:rsid w:val="00E906CB"/>
    <w:rsid w:val="00E90708"/>
    <w:rsid w:val="00E90C74"/>
    <w:rsid w:val="00E90EB0"/>
    <w:rsid w:val="00E9180D"/>
    <w:rsid w:val="00E91856"/>
    <w:rsid w:val="00E91A2F"/>
    <w:rsid w:val="00E91D22"/>
    <w:rsid w:val="00E92316"/>
    <w:rsid w:val="00E923A1"/>
    <w:rsid w:val="00E92AFF"/>
    <w:rsid w:val="00E932AA"/>
    <w:rsid w:val="00E93664"/>
    <w:rsid w:val="00E93734"/>
    <w:rsid w:val="00E93AAF"/>
    <w:rsid w:val="00E94118"/>
    <w:rsid w:val="00E95011"/>
    <w:rsid w:val="00E953E7"/>
    <w:rsid w:val="00E95849"/>
    <w:rsid w:val="00E959E0"/>
    <w:rsid w:val="00E95BB4"/>
    <w:rsid w:val="00E961C2"/>
    <w:rsid w:val="00E9715B"/>
    <w:rsid w:val="00E974DB"/>
    <w:rsid w:val="00E97C76"/>
    <w:rsid w:val="00E97DCE"/>
    <w:rsid w:val="00E97FA4"/>
    <w:rsid w:val="00EA049F"/>
    <w:rsid w:val="00EA068F"/>
    <w:rsid w:val="00EA0E9C"/>
    <w:rsid w:val="00EA1DF2"/>
    <w:rsid w:val="00EA2746"/>
    <w:rsid w:val="00EA28CB"/>
    <w:rsid w:val="00EA35DE"/>
    <w:rsid w:val="00EA419A"/>
    <w:rsid w:val="00EA439A"/>
    <w:rsid w:val="00EA4465"/>
    <w:rsid w:val="00EA455D"/>
    <w:rsid w:val="00EA4DE0"/>
    <w:rsid w:val="00EA4E94"/>
    <w:rsid w:val="00EA501D"/>
    <w:rsid w:val="00EA6132"/>
    <w:rsid w:val="00EA6C93"/>
    <w:rsid w:val="00EA7404"/>
    <w:rsid w:val="00EA7D68"/>
    <w:rsid w:val="00EB0120"/>
    <w:rsid w:val="00EB093B"/>
    <w:rsid w:val="00EB124D"/>
    <w:rsid w:val="00EB130A"/>
    <w:rsid w:val="00EB1800"/>
    <w:rsid w:val="00EB20BC"/>
    <w:rsid w:val="00EB29D6"/>
    <w:rsid w:val="00EB2AFB"/>
    <w:rsid w:val="00EB3041"/>
    <w:rsid w:val="00EB3DBD"/>
    <w:rsid w:val="00EB3F4E"/>
    <w:rsid w:val="00EB4862"/>
    <w:rsid w:val="00EB4A9F"/>
    <w:rsid w:val="00EB4FC0"/>
    <w:rsid w:val="00EB545B"/>
    <w:rsid w:val="00EB588A"/>
    <w:rsid w:val="00EB59A6"/>
    <w:rsid w:val="00EB5BF2"/>
    <w:rsid w:val="00EB5EA7"/>
    <w:rsid w:val="00EB637A"/>
    <w:rsid w:val="00EB6F8F"/>
    <w:rsid w:val="00EC0D1E"/>
    <w:rsid w:val="00EC11EA"/>
    <w:rsid w:val="00EC2411"/>
    <w:rsid w:val="00EC2A5A"/>
    <w:rsid w:val="00EC3724"/>
    <w:rsid w:val="00EC3B69"/>
    <w:rsid w:val="00EC3C39"/>
    <w:rsid w:val="00EC3D1D"/>
    <w:rsid w:val="00EC4077"/>
    <w:rsid w:val="00EC46AA"/>
    <w:rsid w:val="00EC46C3"/>
    <w:rsid w:val="00EC4CDE"/>
    <w:rsid w:val="00EC4E47"/>
    <w:rsid w:val="00EC4F12"/>
    <w:rsid w:val="00EC51DA"/>
    <w:rsid w:val="00EC51EC"/>
    <w:rsid w:val="00EC520B"/>
    <w:rsid w:val="00EC54CC"/>
    <w:rsid w:val="00EC5657"/>
    <w:rsid w:val="00EC5777"/>
    <w:rsid w:val="00EC5872"/>
    <w:rsid w:val="00EC58E9"/>
    <w:rsid w:val="00EC5C0A"/>
    <w:rsid w:val="00EC627D"/>
    <w:rsid w:val="00EC65AD"/>
    <w:rsid w:val="00EC70BC"/>
    <w:rsid w:val="00EC726B"/>
    <w:rsid w:val="00EC75A5"/>
    <w:rsid w:val="00ED0CB0"/>
    <w:rsid w:val="00ED0FEF"/>
    <w:rsid w:val="00ED1461"/>
    <w:rsid w:val="00ED1C2D"/>
    <w:rsid w:val="00ED2081"/>
    <w:rsid w:val="00ED2E15"/>
    <w:rsid w:val="00ED2E70"/>
    <w:rsid w:val="00ED3ED2"/>
    <w:rsid w:val="00ED42AB"/>
    <w:rsid w:val="00ED44F1"/>
    <w:rsid w:val="00ED5234"/>
    <w:rsid w:val="00ED552C"/>
    <w:rsid w:val="00ED5565"/>
    <w:rsid w:val="00ED674A"/>
    <w:rsid w:val="00ED6841"/>
    <w:rsid w:val="00ED6F2A"/>
    <w:rsid w:val="00ED7FBF"/>
    <w:rsid w:val="00EE022F"/>
    <w:rsid w:val="00EE0582"/>
    <w:rsid w:val="00EE1214"/>
    <w:rsid w:val="00EE1884"/>
    <w:rsid w:val="00EE1C6A"/>
    <w:rsid w:val="00EE1CB6"/>
    <w:rsid w:val="00EE213B"/>
    <w:rsid w:val="00EE2341"/>
    <w:rsid w:val="00EE247B"/>
    <w:rsid w:val="00EE38B7"/>
    <w:rsid w:val="00EE3E4E"/>
    <w:rsid w:val="00EE41E5"/>
    <w:rsid w:val="00EE43DE"/>
    <w:rsid w:val="00EE4BBF"/>
    <w:rsid w:val="00EE4BF5"/>
    <w:rsid w:val="00EE52EC"/>
    <w:rsid w:val="00EE5790"/>
    <w:rsid w:val="00EE6515"/>
    <w:rsid w:val="00EE66CF"/>
    <w:rsid w:val="00EE6BF2"/>
    <w:rsid w:val="00EE7245"/>
    <w:rsid w:val="00EE73F2"/>
    <w:rsid w:val="00EE767E"/>
    <w:rsid w:val="00EE7D5D"/>
    <w:rsid w:val="00EE7E34"/>
    <w:rsid w:val="00EF0585"/>
    <w:rsid w:val="00EF0A63"/>
    <w:rsid w:val="00EF2924"/>
    <w:rsid w:val="00EF300A"/>
    <w:rsid w:val="00EF357E"/>
    <w:rsid w:val="00EF37BF"/>
    <w:rsid w:val="00EF3E65"/>
    <w:rsid w:val="00EF59B0"/>
    <w:rsid w:val="00EF5E30"/>
    <w:rsid w:val="00EF62DB"/>
    <w:rsid w:val="00EF64B9"/>
    <w:rsid w:val="00EF65E8"/>
    <w:rsid w:val="00EF704D"/>
    <w:rsid w:val="00EF725F"/>
    <w:rsid w:val="00EF7F3C"/>
    <w:rsid w:val="00EF7F89"/>
    <w:rsid w:val="00EF7FD5"/>
    <w:rsid w:val="00EF7FF1"/>
    <w:rsid w:val="00EFE9D8"/>
    <w:rsid w:val="00F002E4"/>
    <w:rsid w:val="00F0040F"/>
    <w:rsid w:val="00F00BA3"/>
    <w:rsid w:val="00F010A9"/>
    <w:rsid w:val="00F0146D"/>
    <w:rsid w:val="00F02FF7"/>
    <w:rsid w:val="00F030C1"/>
    <w:rsid w:val="00F030DD"/>
    <w:rsid w:val="00F03940"/>
    <w:rsid w:val="00F03DED"/>
    <w:rsid w:val="00F045AC"/>
    <w:rsid w:val="00F04923"/>
    <w:rsid w:val="00F04A17"/>
    <w:rsid w:val="00F04C8E"/>
    <w:rsid w:val="00F04E28"/>
    <w:rsid w:val="00F04FB3"/>
    <w:rsid w:val="00F06562"/>
    <w:rsid w:val="00F06E67"/>
    <w:rsid w:val="00F07640"/>
    <w:rsid w:val="00F077AD"/>
    <w:rsid w:val="00F07B93"/>
    <w:rsid w:val="00F10671"/>
    <w:rsid w:val="00F10DD7"/>
    <w:rsid w:val="00F10F6B"/>
    <w:rsid w:val="00F12D4F"/>
    <w:rsid w:val="00F12D82"/>
    <w:rsid w:val="00F12E87"/>
    <w:rsid w:val="00F13B09"/>
    <w:rsid w:val="00F13C4A"/>
    <w:rsid w:val="00F141BF"/>
    <w:rsid w:val="00F1428D"/>
    <w:rsid w:val="00F14735"/>
    <w:rsid w:val="00F151B4"/>
    <w:rsid w:val="00F158A6"/>
    <w:rsid w:val="00F1595F"/>
    <w:rsid w:val="00F15C5D"/>
    <w:rsid w:val="00F15D18"/>
    <w:rsid w:val="00F15FC7"/>
    <w:rsid w:val="00F16393"/>
    <w:rsid w:val="00F1656C"/>
    <w:rsid w:val="00F16881"/>
    <w:rsid w:val="00F2001F"/>
    <w:rsid w:val="00F206DA"/>
    <w:rsid w:val="00F209ED"/>
    <w:rsid w:val="00F20E0B"/>
    <w:rsid w:val="00F20E13"/>
    <w:rsid w:val="00F2115E"/>
    <w:rsid w:val="00F21BCD"/>
    <w:rsid w:val="00F22741"/>
    <w:rsid w:val="00F22798"/>
    <w:rsid w:val="00F2297C"/>
    <w:rsid w:val="00F2405A"/>
    <w:rsid w:val="00F240F5"/>
    <w:rsid w:val="00F25EAD"/>
    <w:rsid w:val="00F25F8D"/>
    <w:rsid w:val="00F25FE0"/>
    <w:rsid w:val="00F260E5"/>
    <w:rsid w:val="00F26178"/>
    <w:rsid w:val="00F26738"/>
    <w:rsid w:val="00F268FF"/>
    <w:rsid w:val="00F27282"/>
    <w:rsid w:val="00F27C5E"/>
    <w:rsid w:val="00F302BC"/>
    <w:rsid w:val="00F30400"/>
    <w:rsid w:val="00F30FE6"/>
    <w:rsid w:val="00F3156B"/>
    <w:rsid w:val="00F318E9"/>
    <w:rsid w:val="00F3271F"/>
    <w:rsid w:val="00F327E9"/>
    <w:rsid w:val="00F33B25"/>
    <w:rsid w:val="00F33D7C"/>
    <w:rsid w:val="00F33EC0"/>
    <w:rsid w:val="00F3572E"/>
    <w:rsid w:val="00F35907"/>
    <w:rsid w:val="00F359A2"/>
    <w:rsid w:val="00F36589"/>
    <w:rsid w:val="00F36D8D"/>
    <w:rsid w:val="00F36FCF"/>
    <w:rsid w:val="00F3757E"/>
    <w:rsid w:val="00F37CC5"/>
    <w:rsid w:val="00F40607"/>
    <w:rsid w:val="00F40B2A"/>
    <w:rsid w:val="00F41043"/>
    <w:rsid w:val="00F41351"/>
    <w:rsid w:val="00F41483"/>
    <w:rsid w:val="00F416E5"/>
    <w:rsid w:val="00F41B54"/>
    <w:rsid w:val="00F42A04"/>
    <w:rsid w:val="00F42A47"/>
    <w:rsid w:val="00F432A9"/>
    <w:rsid w:val="00F44531"/>
    <w:rsid w:val="00F44718"/>
    <w:rsid w:val="00F44D43"/>
    <w:rsid w:val="00F44E46"/>
    <w:rsid w:val="00F45442"/>
    <w:rsid w:val="00F469E0"/>
    <w:rsid w:val="00F4746D"/>
    <w:rsid w:val="00F476D2"/>
    <w:rsid w:val="00F47836"/>
    <w:rsid w:val="00F504CC"/>
    <w:rsid w:val="00F50B8B"/>
    <w:rsid w:val="00F50CB9"/>
    <w:rsid w:val="00F51ED9"/>
    <w:rsid w:val="00F521D6"/>
    <w:rsid w:val="00F524DE"/>
    <w:rsid w:val="00F5300D"/>
    <w:rsid w:val="00F53230"/>
    <w:rsid w:val="00F5324F"/>
    <w:rsid w:val="00F542DD"/>
    <w:rsid w:val="00F54EE8"/>
    <w:rsid w:val="00F5572A"/>
    <w:rsid w:val="00F55A91"/>
    <w:rsid w:val="00F55E62"/>
    <w:rsid w:val="00F563B9"/>
    <w:rsid w:val="00F563CC"/>
    <w:rsid w:val="00F56FFD"/>
    <w:rsid w:val="00F576A3"/>
    <w:rsid w:val="00F5776B"/>
    <w:rsid w:val="00F57DB1"/>
    <w:rsid w:val="00F60223"/>
    <w:rsid w:val="00F60237"/>
    <w:rsid w:val="00F60635"/>
    <w:rsid w:val="00F60DD1"/>
    <w:rsid w:val="00F61280"/>
    <w:rsid w:val="00F612C8"/>
    <w:rsid w:val="00F614A3"/>
    <w:rsid w:val="00F614BC"/>
    <w:rsid w:val="00F61FD7"/>
    <w:rsid w:val="00F623C6"/>
    <w:rsid w:val="00F623D5"/>
    <w:rsid w:val="00F625D8"/>
    <w:rsid w:val="00F62C2A"/>
    <w:rsid w:val="00F63375"/>
    <w:rsid w:val="00F6348D"/>
    <w:rsid w:val="00F63907"/>
    <w:rsid w:val="00F64808"/>
    <w:rsid w:val="00F64B0D"/>
    <w:rsid w:val="00F6505C"/>
    <w:rsid w:val="00F65ED0"/>
    <w:rsid w:val="00F65F3B"/>
    <w:rsid w:val="00F66475"/>
    <w:rsid w:val="00F6656D"/>
    <w:rsid w:val="00F678C8"/>
    <w:rsid w:val="00F70477"/>
    <w:rsid w:val="00F70666"/>
    <w:rsid w:val="00F70F71"/>
    <w:rsid w:val="00F716E2"/>
    <w:rsid w:val="00F71C8E"/>
    <w:rsid w:val="00F72C3C"/>
    <w:rsid w:val="00F72D1B"/>
    <w:rsid w:val="00F72E4C"/>
    <w:rsid w:val="00F73B58"/>
    <w:rsid w:val="00F745AA"/>
    <w:rsid w:val="00F74BD1"/>
    <w:rsid w:val="00F751E5"/>
    <w:rsid w:val="00F76470"/>
    <w:rsid w:val="00F771BD"/>
    <w:rsid w:val="00F7762F"/>
    <w:rsid w:val="00F80931"/>
    <w:rsid w:val="00F80EE1"/>
    <w:rsid w:val="00F8119E"/>
    <w:rsid w:val="00F81562"/>
    <w:rsid w:val="00F81844"/>
    <w:rsid w:val="00F825BF"/>
    <w:rsid w:val="00F82736"/>
    <w:rsid w:val="00F82B1C"/>
    <w:rsid w:val="00F82F2E"/>
    <w:rsid w:val="00F83173"/>
    <w:rsid w:val="00F8336A"/>
    <w:rsid w:val="00F837EF"/>
    <w:rsid w:val="00F83973"/>
    <w:rsid w:val="00F83D0C"/>
    <w:rsid w:val="00F848C6"/>
    <w:rsid w:val="00F84F5F"/>
    <w:rsid w:val="00F8505E"/>
    <w:rsid w:val="00F85321"/>
    <w:rsid w:val="00F853FA"/>
    <w:rsid w:val="00F85476"/>
    <w:rsid w:val="00F862B7"/>
    <w:rsid w:val="00F863AA"/>
    <w:rsid w:val="00F86636"/>
    <w:rsid w:val="00F866D1"/>
    <w:rsid w:val="00F86A15"/>
    <w:rsid w:val="00F86A1F"/>
    <w:rsid w:val="00F87498"/>
    <w:rsid w:val="00F87519"/>
    <w:rsid w:val="00F87860"/>
    <w:rsid w:val="00F90378"/>
    <w:rsid w:val="00F90423"/>
    <w:rsid w:val="00F90D87"/>
    <w:rsid w:val="00F91B0E"/>
    <w:rsid w:val="00F927EA"/>
    <w:rsid w:val="00F930FE"/>
    <w:rsid w:val="00F93198"/>
    <w:rsid w:val="00F93606"/>
    <w:rsid w:val="00F938DE"/>
    <w:rsid w:val="00F9479F"/>
    <w:rsid w:val="00F949C5"/>
    <w:rsid w:val="00F95261"/>
    <w:rsid w:val="00F95726"/>
    <w:rsid w:val="00F9573C"/>
    <w:rsid w:val="00F960BF"/>
    <w:rsid w:val="00F968F9"/>
    <w:rsid w:val="00F96A74"/>
    <w:rsid w:val="00F96AB7"/>
    <w:rsid w:val="00F9707D"/>
    <w:rsid w:val="00F97739"/>
    <w:rsid w:val="00F9787F"/>
    <w:rsid w:val="00F979A8"/>
    <w:rsid w:val="00F97C5F"/>
    <w:rsid w:val="00F97DA8"/>
    <w:rsid w:val="00F97F83"/>
    <w:rsid w:val="00FA015B"/>
    <w:rsid w:val="00FA0ABD"/>
    <w:rsid w:val="00FA17BB"/>
    <w:rsid w:val="00FA1AFF"/>
    <w:rsid w:val="00FA1BAF"/>
    <w:rsid w:val="00FA26A0"/>
    <w:rsid w:val="00FA2738"/>
    <w:rsid w:val="00FA285A"/>
    <w:rsid w:val="00FA291E"/>
    <w:rsid w:val="00FA2E42"/>
    <w:rsid w:val="00FA3807"/>
    <w:rsid w:val="00FA39FC"/>
    <w:rsid w:val="00FA4E34"/>
    <w:rsid w:val="00FA5F37"/>
    <w:rsid w:val="00FA65C5"/>
    <w:rsid w:val="00FA6B76"/>
    <w:rsid w:val="00FA6B78"/>
    <w:rsid w:val="00FA725A"/>
    <w:rsid w:val="00FA7EAC"/>
    <w:rsid w:val="00FB0310"/>
    <w:rsid w:val="00FB178C"/>
    <w:rsid w:val="00FB1A81"/>
    <w:rsid w:val="00FB25B1"/>
    <w:rsid w:val="00FB27D8"/>
    <w:rsid w:val="00FB2ABC"/>
    <w:rsid w:val="00FB2AE2"/>
    <w:rsid w:val="00FB2B7C"/>
    <w:rsid w:val="00FB2C70"/>
    <w:rsid w:val="00FB349B"/>
    <w:rsid w:val="00FB382F"/>
    <w:rsid w:val="00FB3E49"/>
    <w:rsid w:val="00FB4032"/>
    <w:rsid w:val="00FB4585"/>
    <w:rsid w:val="00FB4CBF"/>
    <w:rsid w:val="00FB5840"/>
    <w:rsid w:val="00FB594B"/>
    <w:rsid w:val="00FB64D0"/>
    <w:rsid w:val="00FB68D8"/>
    <w:rsid w:val="00FB6B12"/>
    <w:rsid w:val="00FB6E3A"/>
    <w:rsid w:val="00FB7861"/>
    <w:rsid w:val="00FB78C3"/>
    <w:rsid w:val="00FC119B"/>
    <w:rsid w:val="00FC18A1"/>
    <w:rsid w:val="00FC18A7"/>
    <w:rsid w:val="00FC1C80"/>
    <w:rsid w:val="00FC2202"/>
    <w:rsid w:val="00FC25F3"/>
    <w:rsid w:val="00FC2644"/>
    <w:rsid w:val="00FC335F"/>
    <w:rsid w:val="00FC33C1"/>
    <w:rsid w:val="00FC3996"/>
    <w:rsid w:val="00FC39E6"/>
    <w:rsid w:val="00FC3C48"/>
    <w:rsid w:val="00FC535E"/>
    <w:rsid w:val="00FC5421"/>
    <w:rsid w:val="00FC5598"/>
    <w:rsid w:val="00FC6382"/>
    <w:rsid w:val="00FC63B2"/>
    <w:rsid w:val="00FC66A2"/>
    <w:rsid w:val="00FC68C4"/>
    <w:rsid w:val="00FC6FD7"/>
    <w:rsid w:val="00FC70B8"/>
    <w:rsid w:val="00FC75F9"/>
    <w:rsid w:val="00FD129C"/>
    <w:rsid w:val="00FD1BD1"/>
    <w:rsid w:val="00FD1C65"/>
    <w:rsid w:val="00FD1D1C"/>
    <w:rsid w:val="00FD24C5"/>
    <w:rsid w:val="00FD2959"/>
    <w:rsid w:val="00FD2C87"/>
    <w:rsid w:val="00FD2ED0"/>
    <w:rsid w:val="00FD328A"/>
    <w:rsid w:val="00FD339F"/>
    <w:rsid w:val="00FD38D1"/>
    <w:rsid w:val="00FD3B67"/>
    <w:rsid w:val="00FD3B8A"/>
    <w:rsid w:val="00FD3E58"/>
    <w:rsid w:val="00FD43AE"/>
    <w:rsid w:val="00FD4988"/>
    <w:rsid w:val="00FD4C9E"/>
    <w:rsid w:val="00FD4FB9"/>
    <w:rsid w:val="00FD5123"/>
    <w:rsid w:val="00FD592E"/>
    <w:rsid w:val="00FD5C62"/>
    <w:rsid w:val="00FD5F19"/>
    <w:rsid w:val="00FD60BC"/>
    <w:rsid w:val="00FD6DBB"/>
    <w:rsid w:val="00FD7891"/>
    <w:rsid w:val="00FD79F4"/>
    <w:rsid w:val="00FD7D7B"/>
    <w:rsid w:val="00FE0329"/>
    <w:rsid w:val="00FE0967"/>
    <w:rsid w:val="00FE17D6"/>
    <w:rsid w:val="00FE1C8C"/>
    <w:rsid w:val="00FE1E10"/>
    <w:rsid w:val="00FE211D"/>
    <w:rsid w:val="00FE2A56"/>
    <w:rsid w:val="00FE2D1A"/>
    <w:rsid w:val="00FE3D6F"/>
    <w:rsid w:val="00FE410D"/>
    <w:rsid w:val="00FE4313"/>
    <w:rsid w:val="00FE437C"/>
    <w:rsid w:val="00FE452E"/>
    <w:rsid w:val="00FE4FA5"/>
    <w:rsid w:val="00FE5F6D"/>
    <w:rsid w:val="00FE6C13"/>
    <w:rsid w:val="00FE6D87"/>
    <w:rsid w:val="00FE7649"/>
    <w:rsid w:val="00FE7CF8"/>
    <w:rsid w:val="00FF0013"/>
    <w:rsid w:val="00FF0C14"/>
    <w:rsid w:val="00FF102A"/>
    <w:rsid w:val="00FF149D"/>
    <w:rsid w:val="00FF196D"/>
    <w:rsid w:val="00FF25CB"/>
    <w:rsid w:val="00FF34F8"/>
    <w:rsid w:val="00FF4D4F"/>
    <w:rsid w:val="00FF5A0B"/>
    <w:rsid w:val="00FF5F15"/>
    <w:rsid w:val="00FF6206"/>
    <w:rsid w:val="00FF6348"/>
    <w:rsid w:val="00FF6558"/>
    <w:rsid w:val="00FF6637"/>
    <w:rsid w:val="00FF764C"/>
    <w:rsid w:val="0158846B"/>
    <w:rsid w:val="0165B991"/>
    <w:rsid w:val="019BE3E6"/>
    <w:rsid w:val="01C9A1C2"/>
    <w:rsid w:val="01F5B21F"/>
    <w:rsid w:val="02058905"/>
    <w:rsid w:val="02362ADA"/>
    <w:rsid w:val="02963030"/>
    <w:rsid w:val="02B4B938"/>
    <w:rsid w:val="02D08A66"/>
    <w:rsid w:val="02D5B729"/>
    <w:rsid w:val="02F2C8BA"/>
    <w:rsid w:val="0327C844"/>
    <w:rsid w:val="03521229"/>
    <w:rsid w:val="03C59D6B"/>
    <w:rsid w:val="03DD007D"/>
    <w:rsid w:val="03FF8B40"/>
    <w:rsid w:val="040CDD4E"/>
    <w:rsid w:val="0424C990"/>
    <w:rsid w:val="044A2E81"/>
    <w:rsid w:val="0478AFC7"/>
    <w:rsid w:val="04C33F1C"/>
    <w:rsid w:val="04C6D02E"/>
    <w:rsid w:val="04E51D52"/>
    <w:rsid w:val="055D040A"/>
    <w:rsid w:val="059A88A5"/>
    <w:rsid w:val="05FAD6EE"/>
    <w:rsid w:val="0626BE8E"/>
    <w:rsid w:val="0681ABB3"/>
    <w:rsid w:val="06FDEC34"/>
    <w:rsid w:val="0734C29E"/>
    <w:rsid w:val="07500ABD"/>
    <w:rsid w:val="078658D3"/>
    <w:rsid w:val="07C488AC"/>
    <w:rsid w:val="08187A74"/>
    <w:rsid w:val="0850F6D6"/>
    <w:rsid w:val="085EAA2D"/>
    <w:rsid w:val="088F5913"/>
    <w:rsid w:val="08AEED2D"/>
    <w:rsid w:val="0903267E"/>
    <w:rsid w:val="092C8B70"/>
    <w:rsid w:val="097302C8"/>
    <w:rsid w:val="09DEEDA6"/>
    <w:rsid w:val="09E45593"/>
    <w:rsid w:val="0B030438"/>
    <w:rsid w:val="0BFA4787"/>
    <w:rsid w:val="0C711800"/>
    <w:rsid w:val="0C86B95A"/>
    <w:rsid w:val="0C954484"/>
    <w:rsid w:val="0DFFF28D"/>
    <w:rsid w:val="0E6A5BA0"/>
    <w:rsid w:val="0EAD27C2"/>
    <w:rsid w:val="0EB56C6C"/>
    <w:rsid w:val="0F522475"/>
    <w:rsid w:val="0F53DABA"/>
    <w:rsid w:val="0F65C9D6"/>
    <w:rsid w:val="0F7D9A18"/>
    <w:rsid w:val="0F926CEF"/>
    <w:rsid w:val="0FC14007"/>
    <w:rsid w:val="10710D09"/>
    <w:rsid w:val="10A75453"/>
    <w:rsid w:val="10B51952"/>
    <w:rsid w:val="118A3B40"/>
    <w:rsid w:val="118BC092"/>
    <w:rsid w:val="1196834E"/>
    <w:rsid w:val="11B88750"/>
    <w:rsid w:val="125BDE7B"/>
    <w:rsid w:val="1326A7DE"/>
    <w:rsid w:val="137B1DDC"/>
    <w:rsid w:val="13A9D57B"/>
    <w:rsid w:val="13D604F3"/>
    <w:rsid w:val="142D0218"/>
    <w:rsid w:val="1446C479"/>
    <w:rsid w:val="14E5818C"/>
    <w:rsid w:val="151F4C59"/>
    <w:rsid w:val="152D2D28"/>
    <w:rsid w:val="15551BFA"/>
    <w:rsid w:val="15D46FC6"/>
    <w:rsid w:val="1624E1D7"/>
    <w:rsid w:val="166591B3"/>
    <w:rsid w:val="16CA4F21"/>
    <w:rsid w:val="1713D37E"/>
    <w:rsid w:val="1730734F"/>
    <w:rsid w:val="178415C3"/>
    <w:rsid w:val="17D4FFED"/>
    <w:rsid w:val="17E09142"/>
    <w:rsid w:val="17EF3D00"/>
    <w:rsid w:val="18D6D0BB"/>
    <w:rsid w:val="19037916"/>
    <w:rsid w:val="1922B2D4"/>
    <w:rsid w:val="1983EDBB"/>
    <w:rsid w:val="19BB1D80"/>
    <w:rsid w:val="19ECC535"/>
    <w:rsid w:val="1A06FADD"/>
    <w:rsid w:val="1AA8BA64"/>
    <w:rsid w:val="1AD3157E"/>
    <w:rsid w:val="1AD9DA59"/>
    <w:rsid w:val="1B03901F"/>
    <w:rsid w:val="1B25B9CF"/>
    <w:rsid w:val="1C3DCA5F"/>
    <w:rsid w:val="1C4E3F5E"/>
    <w:rsid w:val="1C4F6543"/>
    <w:rsid w:val="1C5B2DD2"/>
    <w:rsid w:val="1C5C44C9"/>
    <w:rsid w:val="1C795631"/>
    <w:rsid w:val="1C811B15"/>
    <w:rsid w:val="1C81DAF0"/>
    <w:rsid w:val="1CAE9A43"/>
    <w:rsid w:val="1D301F4E"/>
    <w:rsid w:val="1DA978D4"/>
    <w:rsid w:val="1DCC7E16"/>
    <w:rsid w:val="1DF1A13C"/>
    <w:rsid w:val="1E22F137"/>
    <w:rsid w:val="1E3758C5"/>
    <w:rsid w:val="1E3E46D0"/>
    <w:rsid w:val="1F7DC098"/>
    <w:rsid w:val="1FF304A9"/>
    <w:rsid w:val="2003FD35"/>
    <w:rsid w:val="20205F92"/>
    <w:rsid w:val="2024E694"/>
    <w:rsid w:val="20A6585D"/>
    <w:rsid w:val="213CC36E"/>
    <w:rsid w:val="2152F712"/>
    <w:rsid w:val="21A4185C"/>
    <w:rsid w:val="21C43811"/>
    <w:rsid w:val="221E2272"/>
    <w:rsid w:val="22C04DE8"/>
    <w:rsid w:val="22D3B6B2"/>
    <w:rsid w:val="235F47AF"/>
    <w:rsid w:val="23C8AE47"/>
    <w:rsid w:val="2449988F"/>
    <w:rsid w:val="244A13A9"/>
    <w:rsid w:val="2483A15D"/>
    <w:rsid w:val="249B13C2"/>
    <w:rsid w:val="24CAC300"/>
    <w:rsid w:val="24F5C777"/>
    <w:rsid w:val="254791E3"/>
    <w:rsid w:val="2548B0D0"/>
    <w:rsid w:val="254B1C22"/>
    <w:rsid w:val="26475C5A"/>
    <w:rsid w:val="26513CAA"/>
    <w:rsid w:val="26A78AA3"/>
    <w:rsid w:val="26DAE1E8"/>
    <w:rsid w:val="270DE9E2"/>
    <w:rsid w:val="273FE6AE"/>
    <w:rsid w:val="2762B3C8"/>
    <w:rsid w:val="2809662C"/>
    <w:rsid w:val="281C4B62"/>
    <w:rsid w:val="286F2F52"/>
    <w:rsid w:val="28BD80D1"/>
    <w:rsid w:val="294FEBE4"/>
    <w:rsid w:val="29CCBF36"/>
    <w:rsid w:val="29E0CE1F"/>
    <w:rsid w:val="29E28C52"/>
    <w:rsid w:val="2A1836CD"/>
    <w:rsid w:val="2B1F31B1"/>
    <w:rsid w:val="2B4D4EA7"/>
    <w:rsid w:val="2B5EDF3E"/>
    <w:rsid w:val="2B618C11"/>
    <w:rsid w:val="2BD00D00"/>
    <w:rsid w:val="2BE8F98D"/>
    <w:rsid w:val="2C91BD9D"/>
    <w:rsid w:val="2CF376CC"/>
    <w:rsid w:val="2D0912D2"/>
    <w:rsid w:val="2D28EFDC"/>
    <w:rsid w:val="2D3132AD"/>
    <w:rsid w:val="2DE62347"/>
    <w:rsid w:val="2E079959"/>
    <w:rsid w:val="2E2A9B88"/>
    <w:rsid w:val="2E30920B"/>
    <w:rsid w:val="2E410CAD"/>
    <w:rsid w:val="2EDB0D48"/>
    <w:rsid w:val="2F9BC691"/>
    <w:rsid w:val="300D1F3E"/>
    <w:rsid w:val="304724C3"/>
    <w:rsid w:val="30BC4D32"/>
    <w:rsid w:val="312E10BB"/>
    <w:rsid w:val="321CB61A"/>
    <w:rsid w:val="32254A91"/>
    <w:rsid w:val="324670DF"/>
    <w:rsid w:val="32F3B685"/>
    <w:rsid w:val="332BF1E4"/>
    <w:rsid w:val="3337E7FA"/>
    <w:rsid w:val="33660DAE"/>
    <w:rsid w:val="33A78809"/>
    <w:rsid w:val="33E7C3DA"/>
    <w:rsid w:val="33E822E2"/>
    <w:rsid w:val="33EC1188"/>
    <w:rsid w:val="33F5E9D1"/>
    <w:rsid w:val="33FA6CC9"/>
    <w:rsid w:val="34B38103"/>
    <w:rsid w:val="3588FAE5"/>
    <w:rsid w:val="35C33163"/>
    <w:rsid w:val="35F620A1"/>
    <w:rsid w:val="36CE41CB"/>
    <w:rsid w:val="36D1B672"/>
    <w:rsid w:val="36D389D4"/>
    <w:rsid w:val="370885E4"/>
    <w:rsid w:val="37DCF3A8"/>
    <w:rsid w:val="38CBDEA4"/>
    <w:rsid w:val="39396B11"/>
    <w:rsid w:val="3999266F"/>
    <w:rsid w:val="3A4E9D1E"/>
    <w:rsid w:val="3AB60AF7"/>
    <w:rsid w:val="3B1D60F0"/>
    <w:rsid w:val="3B338DF3"/>
    <w:rsid w:val="3B4D4481"/>
    <w:rsid w:val="3B90B4E1"/>
    <w:rsid w:val="3BB05D70"/>
    <w:rsid w:val="3C866DAD"/>
    <w:rsid w:val="3C87C83A"/>
    <w:rsid w:val="3CA59B95"/>
    <w:rsid w:val="3CD29DC8"/>
    <w:rsid w:val="3CE21D5C"/>
    <w:rsid w:val="3CE3F968"/>
    <w:rsid w:val="3D0165CF"/>
    <w:rsid w:val="3D9F9B78"/>
    <w:rsid w:val="3E3BCB83"/>
    <w:rsid w:val="3E617D81"/>
    <w:rsid w:val="3E7FEDAA"/>
    <w:rsid w:val="3F32A9EA"/>
    <w:rsid w:val="3FA322A1"/>
    <w:rsid w:val="3FE5927D"/>
    <w:rsid w:val="404FDBA6"/>
    <w:rsid w:val="410E7033"/>
    <w:rsid w:val="418337B8"/>
    <w:rsid w:val="419C7855"/>
    <w:rsid w:val="41E326F9"/>
    <w:rsid w:val="425BF66D"/>
    <w:rsid w:val="42B08B48"/>
    <w:rsid w:val="42B582BE"/>
    <w:rsid w:val="43330A34"/>
    <w:rsid w:val="4367604F"/>
    <w:rsid w:val="43C74220"/>
    <w:rsid w:val="4405AF35"/>
    <w:rsid w:val="44829C52"/>
    <w:rsid w:val="45AAF037"/>
    <w:rsid w:val="46151C21"/>
    <w:rsid w:val="4683D2BB"/>
    <w:rsid w:val="4688A12C"/>
    <w:rsid w:val="468E42E0"/>
    <w:rsid w:val="47A12141"/>
    <w:rsid w:val="47FE1404"/>
    <w:rsid w:val="4824BCA4"/>
    <w:rsid w:val="49492701"/>
    <w:rsid w:val="49B08EC4"/>
    <w:rsid w:val="49C6C07A"/>
    <w:rsid w:val="4ABB600C"/>
    <w:rsid w:val="4AC5C0C2"/>
    <w:rsid w:val="4AC82175"/>
    <w:rsid w:val="4AEF1400"/>
    <w:rsid w:val="4B9AFF13"/>
    <w:rsid w:val="4C0CD98E"/>
    <w:rsid w:val="4C116ED4"/>
    <w:rsid w:val="4C3CDF96"/>
    <w:rsid w:val="4CDE6859"/>
    <w:rsid w:val="4D167237"/>
    <w:rsid w:val="4D2C082B"/>
    <w:rsid w:val="4D5A183B"/>
    <w:rsid w:val="4D5EDE9E"/>
    <w:rsid w:val="4DE6CF14"/>
    <w:rsid w:val="4E08DA83"/>
    <w:rsid w:val="4E0B03C1"/>
    <w:rsid w:val="4ED6AC7A"/>
    <w:rsid w:val="4F280C79"/>
    <w:rsid w:val="4FB42C7A"/>
    <w:rsid w:val="506CD03C"/>
    <w:rsid w:val="50C77061"/>
    <w:rsid w:val="50F87A6D"/>
    <w:rsid w:val="5143AB78"/>
    <w:rsid w:val="514573F9"/>
    <w:rsid w:val="526BEAF9"/>
    <w:rsid w:val="5339A43C"/>
    <w:rsid w:val="538112F2"/>
    <w:rsid w:val="5382FAAD"/>
    <w:rsid w:val="5400B29C"/>
    <w:rsid w:val="541C7319"/>
    <w:rsid w:val="54571949"/>
    <w:rsid w:val="54C27044"/>
    <w:rsid w:val="54D4D82F"/>
    <w:rsid w:val="558659CC"/>
    <w:rsid w:val="55943A40"/>
    <w:rsid w:val="5642D2CE"/>
    <w:rsid w:val="56A9518C"/>
    <w:rsid w:val="56B15F7A"/>
    <w:rsid w:val="56C10707"/>
    <w:rsid w:val="56C5FC59"/>
    <w:rsid w:val="57648121"/>
    <w:rsid w:val="57C4B23C"/>
    <w:rsid w:val="5923E2EF"/>
    <w:rsid w:val="592B328A"/>
    <w:rsid w:val="5946C4F9"/>
    <w:rsid w:val="594F1BDE"/>
    <w:rsid w:val="59A07455"/>
    <w:rsid w:val="59B7F410"/>
    <w:rsid w:val="59D3A399"/>
    <w:rsid w:val="5A55C921"/>
    <w:rsid w:val="5A8229D5"/>
    <w:rsid w:val="5AB3E3F4"/>
    <w:rsid w:val="5AEC74BD"/>
    <w:rsid w:val="5B04DC8C"/>
    <w:rsid w:val="5BCBE383"/>
    <w:rsid w:val="5C481848"/>
    <w:rsid w:val="5CBB9C4C"/>
    <w:rsid w:val="5CC7F87D"/>
    <w:rsid w:val="5CE0FDE4"/>
    <w:rsid w:val="5D5F14DE"/>
    <w:rsid w:val="5D85419C"/>
    <w:rsid w:val="5DB3828C"/>
    <w:rsid w:val="5DC771AB"/>
    <w:rsid w:val="5E3FD62E"/>
    <w:rsid w:val="5EDBFC48"/>
    <w:rsid w:val="5F23A155"/>
    <w:rsid w:val="5FAB3344"/>
    <w:rsid w:val="6071BC7F"/>
    <w:rsid w:val="60F80C67"/>
    <w:rsid w:val="614E24BB"/>
    <w:rsid w:val="6183A5D9"/>
    <w:rsid w:val="61D59A7D"/>
    <w:rsid w:val="62351A62"/>
    <w:rsid w:val="62BF0B16"/>
    <w:rsid w:val="62BFE665"/>
    <w:rsid w:val="6307BC39"/>
    <w:rsid w:val="633B9D79"/>
    <w:rsid w:val="633D0819"/>
    <w:rsid w:val="635937A0"/>
    <w:rsid w:val="63E0CF9C"/>
    <w:rsid w:val="64B68CA5"/>
    <w:rsid w:val="65613CB4"/>
    <w:rsid w:val="65EBE335"/>
    <w:rsid w:val="6656C3F4"/>
    <w:rsid w:val="6678CE67"/>
    <w:rsid w:val="66A546BC"/>
    <w:rsid w:val="66CFF882"/>
    <w:rsid w:val="67250857"/>
    <w:rsid w:val="672F4110"/>
    <w:rsid w:val="6741DB7F"/>
    <w:rsid w:val="6764CB57"/>
    <w:rsid w:val="67A711A2"/>
    <w:rsid w:val="68182A5A"/>
    <w:rsid w:val="683737B0"/>
    <w:rsid w:val="684C5B05"/>
    <w:rsid w:val="68FB2548"/>
    <w:rsid w:val="691F463D"/>
    <w:rsid w:val="69919462"/>
    <w:rsid w:val="6AC3A7DE"/>
    <w:rsid w:val="6B151ABE"/>
    <w:rsid w:val="6BAABA48"/>
    <w:rsid w:val="6BC26289"/>
    <w:rsid w:val="6BC6AF42"/>
    <w:rsid w:val="6BDB08F4"/>
    <w:rsid w:val="6BEEE707"/>
    <w:rsid w:val="6C0B1816"/>
    <w:rsid w:val="6C184FAB"/>
    <w:rsid w:val="6C258F85"/>
    <w:rsid w:val="6C419543"/>
    <w:rsid w:val="6C7A53B9"/>
    <w:rsid w:val="6C8A2C8C"/>
    <w:rsid w:val="6D7DDB87"/>
    <w:rsid w:val="6DA17DDB"/>
    <w:rsid w:val="6DDC021A"/>
    <w:rsid w:val="6E8BCB7F"/>
    <w:rsid w:val="6EC96838"/>
    <w:rsid w:val="6ECF0A8B"/>
    <w:rsid w:val="6EF9A4EB"/>
    <w:rsid w:val="6F2E0A14"/>
    <w:rsid w:val="6F43167C"/>
    <w:rsid w:val="6F4D48FD"/>
    <w:rsid w:val="7004D6B5"/>
    <w:rsid w:val="709EB6DD"/>
    <w:rsid w:val="70ADDA1E"/>
    <w:rsid w:val="70B0C898"/>
    <w:rsid w:val="70F04F99"/>
    <w:rsid w:val="711CF37F"/>
    <w:rsid w:val="71306416"/>
    <w:rsid w:val="7179D1E6"/>
    <w:rsid w:val="717F642D"/>
    <w:rsid w:val="7199B16E"/>
    <w:rsid w:val="72004287"/>
    <w:rsid w:val="72347A1E"/>
    <w:rsid w:val="7267BF77"/>
    <w:rsid w:val="72B75AA5"/>
    <w:rsid w:val="730B2B9B"/>
    <w:rsid w:val="73174D98"/>
    <w:rsid w:val="73230812"/>
    <w:rsid w:val="73B15363"/>
    <w:rsid w:val="741D0E05"/>
    <w:rsid w:val="74A44064"/>
    <w:rsid w:val="7521D5F3"/>
    <w:rsid w:val="756E2BDB"/>
    <w:rsid w:val="75C8648E"/>
    <w:rsid w:val="7656790E"/>
    <w:rsid w:val="7658E797"/>
    <w:rsid w:val="765C1C79"/>
    <w:rsid w:val="76923549"/>
    <w:rsid w:val="76964E25"/>
    <w:rsid w:val="76E8ADCA"/>
    <w:rsid w:val="76F7C7B5"/>
    <w:rsid w:val="774CAFF4"/>
    <w:rsid w:val="777C39EC"/>
    <w:rsid w:val="778E7986"/>
    <w:rsid w:val="77E906FA"/>
    <w:rsid w:val="781F42EB"/>
    <w:rsid w:val="782EF028"/>
    <w:rsid w:val="78B2DABD"/>
    <w:rsid w:val="78D20D40"/>
    <w:rsid w:val="791483E6"/>
    <w:rsid w:val="7918DF8A"/>
    <w:rsid w:val="791D5017"/>
    <w:rsid w:val="79691657"/>
    <w:rsid w:val="798A3C27"/>
    <w:rsid w:val="799694CF"/>
    <w:rsid w:val="79A0EB5B"/>
    <w:rsid w:val="7A0A1B14"/>
    <w:rsid w:val="7A2623D5"/>
    <w:rsid w:val="7A7635AD"/>
    <w:rsid w:val="7AD56761"/>
    <w:rsid w:val="7AE9A7D0"/>
    <w:rsid w:val="7B6D880C"/>
    <w:rsid w:val="7BDB7B06"/>
    <w:rsid w:val="7BDD7C66"/>
    <w:rsid w:val="7C33163D"/>
    <w:rsid w:val="7C5A9AC9"/>
    <w:rsid w:val="7C84F932"/>
    <w:rsid w:val="7CD6F987"/>
    <w:rsid w:val="7D806A19"/>
    <w:rsid w:val="7D88C025"/>
    <w:rsid w:val="7DADD3E3"/>
    <w:rsid w:val="7E199787"/>
    <w:rsid w:val="7E68B171"/>
    <w:rsid w:val="7E85A578"/>
    <w:rsid w:val="7F600A4B"/>
    <w:rsid w:val="7FC0E3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F5BED"/>
  <w15:chartTrackingRefBased/>
  <w15:docId w15:val="{ECA58552-0EC6-495B-8517-2FE5E4C01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46F"/>
    <w:pPr>
      <w:spacing w:after="240" w:line="276" w:lineRule="auto"/>
    </w:pPr>
  </w:style>
  <w:style w:type="paragraph" w:styleId="Heading1">
    <w:name w:val="heading 1"/>
    <w:basedOn w:val="Normal"/>
    <w:next w:val="Normal"/>
    <w:link w:val="Heading1Char"/>
    <w:uiPriority w:val="9"/>
    <w:qFormat/>
    <w:rsid w:val="00017EDF"/>
    <w:pPr>
      <w:keepNext/>
      <w:keepLines/>
      <w:numPr>
        <w:numId w:val="2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242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21B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7131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21B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E4D77"/>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77EA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7131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311F5"/>
    <w:pPr>
      <w:keepNext/>
      <w:jc w:val="both"/>
      <w:outlineLvl w:val="8"/>
    </w:pPr>
    <w:rPr>
      <w:rFonts w:ascii="Calibri" w:eastAsia="Calibri" w:hAnsi="Calibri" w:cs="Calibri"/>
      <w:sz w:val="22"/>
      <w:szCs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3A9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3A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63A9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E56CF"/>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2CC" w:themeFill="accent4" w:themeFillTint="33"/>
    </w:tcPr>
  </w:style>
  <w:style w:type="paragraph" w:styleId="Caption">
    <w:name w:val="caption"/>
    <w:basedOn w:val="Normal"/>
    <w:next w:val="Normal"/>
    <w:uiPriority w:val="35"/>
    <w:unhideWhenUsed/>
    <w:qFormat/>
    <w:rsid w:val="00440B00"/>
    <w:pPr>
      <w:spacing w:before="240"/>
      <w:jc w:val="center"/>
    </w:pPr>
    <w:rPr>
      <w:b/>
      <w:iCs/>
      <w:color w:val="000000" w:themeColor="text1"/>
      <w:szCs w:val="18"/>
    </w:rPr>
  </w:style>
  <w:style w:type="paragraph" w:styleId="ListParagraph">
    <w:name w:val="List Paragraph"/>
    <w:basedOn w:val="Normal"/>
    <w:uiPriority w:val="34"/>
    <w:qFormat/>
    <w:rsid w:val="00F045AC"/>
    <w:pPr>
      <w:ind w:left="720"/>
      <w:contextualSpacing/>
    </w:pPr>
  </w:style>
  <w:style w:type="paragraph" w:styleId="Date">
    <w:name w:val="Date"/>
    <w:basedOn w:val="Normal"/>
    <w:next w:val="Normal"/>
    <w:link w:val="DateChar"/>
    <w:uiPriority w:val="99"/>
    <w:unhideWhenUsed/>
    <w:rsid w:val="00796EF6"/>
  </w:style>
  <w:style w:type="character" w:customStyle="1" w:styleId="DateChar">
    <w:name w:val="Date Char"/>
    <w:basedOn w:val="DefaultParagraphFont"/>
    <w:link w:val="Date"/>
    <w:uiPriority w:val="99"/>
    <w:rsid w:val="00796EF6"/>
  </w:style>
  <w:style w:type="paragraph" w:styleId="Footer">
    <w:name w:val="footer"/>
    <w:basedOn w:val="Normal"/>
    <w:link w:val="FooterChar"/>
    <w:uiPriority w:val="99"/>
    <w:unhideWhenUsed/>
    <w:rsid w:val="000A7ABA"/>
    <w:pPr>
      <w:tabs>
        <w:tab w:val="center" w:pos="4680"/>
        <w:tab w:val="right" w:pos="9360"/>
      </w:tabs>
    </w:pPr>
  </w:style>
  <w:style w:type="character" w:customStyle="1" w:styleId="FooterChar">
    <w:name w:val="Footer Char"/>
    <w:basedOn w:val="DefaultParagraphFont"/>
    <w:link w:val="Footer"/>
    <w:uiPriority w:val="99"/>
    <w:rsid w:val="000A7ABA"/>
  </w:style>
  <w:style w:type="character" w:styleId="PageNumber">
    <w:name w:val="page number"/>
    <w:basedOn w:val="DefaultParagraphFont"/>
    <w:uiPriority w:val="99"/>
    <w:semiHidden/>
    <w:unhideWhenUsed/>
    <w:rsid w:val="000A7ABA"/>
  </w:style>
  <w:style w:type="paragraph" w:styleId="Header">
    <w:name w:val="header"/>
    <w:basedOn w:val="Normal"/>
    <w:link w:val="HeaderChar"/>
    <w:uiPriority w:val="99"/>
    <w:unhideWhenUsed/>
    <w:rsid w:val="000A7ABA"/>
    <w:pPr>
      <w:tabs>
        <w:tab w:val="center" w:pos="4680"/>
        <w:tab w:val="right" w:pos="9360"/>
      </w:tabs>
    </w:pPr>
  </w:style>
  <w:style w:type="character" w:customStyle="1" w:styleId="HeaderChar">
    <w:name w:val="Header Char"/>
    <w:basedOn w:val="DefaultParagraphFont"/>
    <w:link w:val="Header"/>
    <w:uiPriority w:val="99"/>
    <w:rsid w:val="000A7ABA"/>
  </w:style>
  <w:style w:type="character" w:customStyle="1" w:styleId="Heading2Char">
    <w:name w:val="Heading 2 Char"/>
    <w:basedOn w:val="DefaultParagraphFont"/>
    <w:link w:val="Heading2"/>
    <w:uiPriority w:val="9"/>
    <w:rsid w:val="00B6242B"/>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unhideWhenUsed/>
    <w:rsid w:val="00020686"/>
    <w:rPr>
      <w:rFonts w:ascii="Segoe UI" w:hAnsi="Segoe UI" w:cs="Segoe UI"/>
      <w:sz w:val="18"/>
      <w:szCs w:val="18"/>
    </w:rPr>
  </w:style>
  <w:style w:type="character" w:customStyle="1" w:styleId="BalloonTextChar">
    <w:name w:val="Balloon Text Char"/>
    <w:basedOn w:val="DefaultParagraphFont"/>
    <w:link w:val="BalloonText"/>
    <w:uiPriority w:val="99"/>
    <w:rsid w:val="00020686"/>
    <w:rPr>
      <w:rFonts w:ascii="Segoe UI" w:hAnsi="Segoe UI" w:cs="Segoe UI"/>
      <w:sz w:val="18"/>
      <w:szCs w:val="18"/>
    </w:rPr>
  </w:style>
  <w:style w:type="paragraph" w:styleId="BodyText">
    <w:name w:val="Body Text"/>
    <w:basedOn w:val="Normal"/>
    <w:link w:val="BodyTextChar"/>
    <w:uiPriority w:val="99"/>
    <w:unhideWhenUsed/>
    <w:rsid w:val="00C713A9"/>
    <w:pPr>
      <w:jc w:val="both"/>
    </w:pPr>
    <w:rPr>
      <w:sz w:val="22"/>
      <w:szCs w:val="22"/>
    </w:rPr>
  </w:style>
  <w:style w:type="character" w:customStyle="1" w:styleId="BodyTextChar">
    <w:name w:val="Body Text Char"/>
    <w:basedOn w:val="DefaultParagraphFont"/>
    <w:link w:val="BodyText"/>
    <w:uiPriority w:val="99"/>
    <w:rsid w:val="00C713A9"/>
    <w:rPr>
      <w:sz w:val="22"/>
      <w:szCs w:val="22"/>
    </w:rPr>
  </w:style>
  <w:style w:type="character" w:customStyle="1" w:styleId="Heading3Char">
    <w:name w:val="Heading 3 Char"/>
    <w:basedOn w:val="DefaultParagraphFont"/>
    <w:link w:val="Heading3"/>
    <w:uiPriority w:val="9"/>
    <w:rsid w:val="003E21B4"/>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3E21B4"/>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3E21B4"/>
    <w:rPr>
      <w:sz w:val="16"/>
      <w:szCs w:val="16"/>
    </w:rPr>
  </w:style>
  <w:style w:type="paragraph" w:styleId="CommentText">
    <w:name w:val="annotation text"/>
    <w:basedOn w:val="Normal"/>
    <w:link w:val="CommentTextChar"/>
    <w:uiPriority w:val="99"/>
    <w:unhideWhenUsed/>
    <w:rsid w:val="003E21B4"/>
    <w:pPr>
      <w:spacing w:after="160"/>
    </w:pPr>
    <w:rPr>
      <w:rFonts w:ascii="Ideal Sans Light" w:eastAsiaTheme="minorHAnsi" w:hAnsi="Ideal Sans Light"/>
      <w:sz w:val="20"/>
      <w:szCs w:val="20"/>
      <w:lang w:eastAsia="en-US"/>
    </w:rPr>
  </w:style>
  <w:style w:type="character" w:customStyle="1" w:styleId="CommentTextChar">
    <w:name w:val="Comment Text Char"/>
    <w:basedOn w:val="DefaultParagraphFont"/>
    <w:link w:val="CommentText"/>
    <w:uiPriority w:val="99"/>
    <w:rsid w:val="003E21B4"/>
    <w:rPr>
      <w:rFonts w:ascii="Ideal Sans Light" w:eastAsiaTheme="minorHAnsi" w:hAnsi="Ideal Sans Light"/>
      <w:sz w:val="20"/>
      <w:szCs w:val="20"/>
      <w:lang w:eastAsia="en-US"/>
    </w:rPr>
  </w:style>
  <w:style w:type="character" w:customStyle="1" w:styleId="Heading7Char">
    <w:name w:val="Heading 7 Char"/>
    <w:basedOn w:val="DefaultParagraphFont"/>
    <w:link w:val="Heading7"/>
    <w:uiPriority w:val="9"/>
    <w:rsid w:val="00177EA4"/>
    <w:rPr>
      <w:rFonts w:asciiTheme="majorHAnsi" w:eastAsiaTheme="majorEastAsia" w:hAnsiTheme="majorHAnsi" w:cstheme="majorBidi"/>
      <w:i/>
      <w:iCs/>
      <w:color w:val="1F3763" w:themeColor="accent1" w:themeShade="7F"/>
    </w:rPr>
  </w:style>
  <w:style w:type="character" w:customStyle="1" w:styleId="Heading6Char">
    <w:name w:val="Heading 6 Char"/>
    <w:basedOn w:val="DefaultParagraphFont"/>
    <w:link w:val="Heading6"/>
    <w:uiPriority w:val="9"/>
    <w:rsid w:val="00DE4D7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71312"/>
    <w:rPr>
      <w:rFonts w:asciiTheme="majorHAnsi" w:eastAsiaTheme="majorEastAsia" w:hAnsiTheme="majorHAnsi" w:cstheme="majorBidi"/>
      <w:i/>
      <w:iCs/>
      <w:color w:val="2F5496" w:themeColor="accent1" w:themeShade="BF"/>
    </w:rPr>
  </w:style>
  <w:style w:type="character" w:customStyle="1" w:styleId="Heading8Char">
    <w:name w:val="Heading 8 Char"/>
    <w:basedOn w:val="DefaultParagraphFont"/>
    <w:link w:val="Heading8"/>
    <w:uiPriority w:val="9"/>
    <w:rsid w:val="006713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311F5"/>
    <w:rPr>
      <w:rFonts w:ascii="Calibri" w:eastAsia="Calibri" w:hAnsi="Calibri" w:cs="Calibri"/>
      <w:sz w:val="22"/>
      <w:szCs w:val="22"/>
      <w:u w:val="single"/>
    </w:rPr>
  </w:style>
  <w:style w:type="paragraph" w:styleId="BodyText2">
    <w:name w:val="Body Text 2"/>
    <w:basedOn w:val="Normal"/>
    <w:link w:val="BodyText2Char"/>
    <w:uiPriority w:val="99"/>
    <w:unhideWhenUsed/>
    <w:rsid w:val="00B56E50"/>
    <w:pPr>
      <w:jc w:val="both"/>
    </w:pPr>
    <w:rPr>
      <w:rFonts w:eastAsia="Ideal Sans Light" w:cstheme="minorHAnsi"/>
    </w:rPr>
  </w:style>
  <w:style w:type="character" w:customStyle="1" w:styleId="BodyText2Char">
    <w:name w:val="Body Text 2 Char"/>
    <w:basedOn w:val="DefaultParagraphFont"/>
    <w:link w:val="BodyText2"/>
    <w:uiPriority w:val="99"/>
    <w:rsid w:val="00B56E50"/>
    <w:rPr>
      <w:rFonts w:eastAsia="Ideal Sans Light" w:cstheme="minorHAnsi"/>
    </w:rPr>
  </w:style>
  <w:style w:type="paragraph" w:styleId="TOC1">
    <w:name w:val="toc 1"/>
    <w:basedOn w:val="Normal"/>
    <w:next w:val="Normal"/>
    <w:autoRedefine/>
    <w:uiPriority w:val="39"/>
    <w:unhideWhenUsed/>
    <w:rsid w:val="004A77B0"/>
    <w:pPr>
      <w:spacing w:before="120" w:after="120"/>
    </w:pPr>
    <w:rPr>
      <w:rFonts w:cstheme="minorHAnsi"/>
      <w:b/>
      <w:bCs/>
      <w:caps/>
      <w:sz w:val="20"/>
    </w:rPr>
  </w:style>
  <w:style w:type="paragraph" w:styleId="TOC2">
    <w:name w:val="toc 2"/>
    <w:basedOn w:val="Normal"/>
    <w:next w:val="Normal"/>
    <w:autoRedefine/>
    <w:uiPriority w:val="39"/>
    <w:unhideWhenUsed/>
    <w:rsid w:val="004A77B0"/>
    <w:pPr>
      <w:spacing w:after="0"/>
      <w:ind w:left="240"/>
    </w:pPr>
    <w:rPr>
      <w:rFonts w:cstheme="minorHAnsi"/>
      <w:smallCaps/>
      <w:sz w:val="20"/>
    </w:rPr>
  </w:style>
  <w:style w:type="paragraph" w:styleId="TOC3">
    <w:name w:val="toc 3"/>
    <w:basedOn w:val="Normal"/>
    <w:next w:val="Normal"/>
    <w:autoRedefine/>
    <w:uiPriority w:val="39"/>
    <w:unhideWhenUsed/>
    <w:rsid w:val="004A77B0"/>
    <w:pPr>
      <w:spacing w:after="0"/>
      <w:ind w:left="480"/>
    </w:pPr>
    <w:rPr>
      <w:rFonts w:cstheme="minorHAnsi"/>
      <w:i/>
      <w:iCs/>
      <w:sz w:val="20"/>
    </w:rPr>
  </w:style>
  <w:style w:type="paragraph" w:styleId="TOC4">
    <w:name w:val="toc 4"/>
    <w:basedOn w:val="Normal"/>
    <w:next w:val="Normal"/>
    <w:autoRedefine/>
    <w:uiPriority w:val="39"/>
    <w:unhideWhenUsed/>
    <w:rsid w:val="004A77B0"/>
    <w:pPr>
      <w:spacing w:after="0"/>
      <w:ind w:left="720"/>
    </w:pPr>
    <w:rPr>
      <w:rFonts w:cstheme="minorHAnsi"/>
      <w:sz w:val="18"/>
      <w:szCs w:val="21"/>
    </w:rPr>
  </w:style>
  <w:style w:type="paragraph" w:styleId="TOC5">
    <w:name w:val="toc 5"/>
    <w:basedOn w:val="Normal"/>
    <w:next w:val="Normal"/>
    <w:autoRedefine/>
    <w:uiPriority w:val="39"/>
    <w:unhideWhenUsed/>
    <w:rsid w:val="004A77B0"/>
    <w:pPr>
      <w:spacing w:after="0"/>
      <w:ind w:left="960"/>
    </w:pPr>
    <w:rPr>
      <w:rFonts w:cstheme="minorHAnsi"/>
      <w:sz w:val="18"/>
      <w:szCs w:val="21"/>
    </w:rPr>
  </w:style>
  <w:style w:type="paragraph" w:styleId="TOC6">
    <w:name w:val="toc 6"/>
    <w:basedOn w:val="Normal"/>
    <w:next w:val="Normal"/>
    <w:autoRedefine/>
    <w:uiPriority w:val="39"/>
    <w:unhideWhenUsed/>
    <w:rsid w:val="004A77B0"/>
    <w:pPr>
      <w:spacing w:after="0"/>
      <w:ind w:left="1200"/>
    </w:pPr>
    <w:rPr>
      <w:rFonts w:cstheme="minorHAnsi"/>
      <w:sz w:val="18"/>
      <w:szCs w:val="21"/>
    </w:rPr>
  </w:style>
  <w:style w:type="paragraph" w:styleId="TOC7">
    <w:name w:val="toc 7"/>
    <w:basedOn w:val="Normal"/>
    <w:next w:val="Normal"/>
    <w:autoRedefine/>
    <w:uiPriority w:val="39"/>
    <w:unhideWhenUsed/>
    <w:rsid w:val="004A77B0"/>
    <w:pPr>
      <w:spacing w:after="0"/>
      <w:ind w:left="1440"/>
    </w:pPr>
    <w:rPr>
      <w:rFonts w:cstheme="minorHAnsi"/>
      <w:sz w:val="18"/>
      <w:szCs w:val="21"/>
    </w:rPr>
  </w:style>
  <w:style w:type="paragraph" w:styleId="TOC8">
    <w:name w:val="toc 8"/>
    <w:basedOn w:val="Normal"/>
    <w:next w:val="Normal"/>
    <w:autoRedefine/>
    <w:uiPriority w:val="39"/>
    <w:unhideWhenUsed/>
    <w:rsid w:val="004A77B0"/>
    <w:pPr>
      <w:spacing w:after="0"/>
      <w:ind w:left="1680"/>
    </w:pPr>
    <w:rPr>
      <w:rFonts w:cstheme="minorHAnsi"/>
      <w:sz w:val="18"/>
      <w:szCs w:val="21"/>
    </w:rPr>
  </w:style>
  <w:style w:type="paragraph" w:styleId="TOC9">
    <w:name w:val="toc 9"/>
    <w:basedOn w:val="Normal"/>
    <w:next w:val="Normal"/>
    <w:autoRedefine/>
    <w:uiPriority w:val="39"/>
    <w:unhideWhenUsed/>
    <w:rsid w:val="004A77B0"/>
    <w:pPr>
      <w:spacing w:after="0"/>
      <w:ind w:left="1920"/>
    </w:pPr>
    <w:rPr>
      <w:rFonts w:cstheme="minorHAnsi"/>
      <w:sz w:val="18"/>
      <w:szCs w:val="21"/>
    </w:rPr>
  </w:style>
  <w:style w:type="character" w:styleId="Hyperlink">
    <w:name w:val="Hyperlink"/>
    <w:basedOn w:val="DefaultParagraphFont"/>
    <w:uiPriority w:val="99"/>
    <w:unhideWhenUsed/>
    <w:rsid w:val="004A77B0"/>
    <w:rPr>
      <w:color w:val="0563C1" w:themeColor="hyperlink"/>
      <w:u w:val="single"/>
    </w:rPr>
  </w:style>
  <w:style w:type="paragraph" w:styleId="TOCHeading">
    <w:name w:val="TOC Heading"/>
    <w:basedOn w:val="Heading1"/>
    <w:next w:val="Normal"/>
    <w:uiPriority w:val="39"/>
    <w:unhideWhenUsed/>
    <w:qFormat/>
    <w:rsid w:val="00D57337"/>
    <w:pPr>
      <w:spacing w:line="259" w:lineRule="auto"/>
      <w:outlineLvl w:val="9"/>
    </w:pPr>
    <w:rPr>
      <w:lang w:eastAsia="en-US"/>
    </w:rPr>
  </w:style>
  <w:style w:type="paragraph" w:styleId="CommentSubject">
    <w:name w:val="annotation subject"/>
    <w:basedOn w:val="CommentText"/>
    <w:next w:val="CommentText"/>
    <w:link w:val="CommentSubjectChar"/>
    <w:uiPriority w:val="99"/>
    <w:semiHidden/>
    <w:unhideWhenUsed/>
    <w:rsid w:val="004B7B32"/>
    <w:pPr>
      <w:spacing w:after="0"/>
    </w:pPr>
    <w:rPr>
      <w:rFonts w:asciiTheme="minorHAnsi" w:eastAsiaTheme="minorEastAsia" w:hAnsiTheme="minorHAnsi"/>
      <w:b/>
      <w:bCs/>
      <w:lang w:eastAsia="zh-CN"/>
    </w:rPr>
  </w:style>
  <w:style w:type="character" w:customStyle="1" w:styleId="CommentSubjectChar">
    <w:name w:val="Comment Subject Char"/>
    <w:basedOn w:val="CommentTextChar"/>
    <w:link w:val="CommentSubject"/>
    <w:uiPriority w:val="99"/>
    <w:semiHidden/>
    <w:rsid w:val="004B7B32"/>
    <w:rPr>
      <w:rFonts w:ascii="Ideal Sans Light" w:eastAsiaTheme="minorHAnsi" w:hAnsi="Ideal Sans Light"/>
      <w:b/>
      <w:bCs/>
      <w:sz w:val="20"/>
      <w:szCs w:val="20"/>
      <w:lang w:eastAsia="en-US"/>
    </w:rPr>
  </w:style>
  <w:style w:type="character" w:styleId="UnresolvedMention">
    <w:name w:val="Unresolved Mention"/>
    <w:basedOn w:val="DefaultParagraphFont"/>
    <w:uiPriority w:val="99"/>
    <w:semiHidden/>
    <w:unhideWhenUsed/>
    <w:rsid w:val="00BA2BA4"/>
    <w:rPr>
      <w:color w:val="605E5C"/>
      <w:shd w:val="clear" w:color="auto" w:fill="E1DFDD"/>
    </w:rPr>
  </w:style>
  <w:style w:type="character" w:styleId="PlaceholderText">
    <w:name w:val="Placeholder Text"/>
    <w:basedOn w:val="DefaultParagraphFont"/>
    <w:uiPriority w:val="99"/>
    <w:semiHidden/>
    <w:rsid w:val="00A11674"/>
    <w:rPr>
      <w:color w:val="808080"/>
    </w:rPr>
  </w:style>
  <w:style w:type="paragraph" w:styleId="FootnoteText">
    <w:name w:val="footnote text"/>
    <w:basedOn w:val="Normal"/>
    <w:link w:val="FootnoteTextChar"/>
    <w:uiPriority w:val="99"/>
    <w:semiHidden/>
    <w:unhideWhenUsed/>
    <w:rsid w:val="0015317A"/>
    <w:pPr>
      <w:spacing w:line="240" w:lineRule="auto"/>
    </w:pPr>
    <w:rPr>
      <w:sz w:val="20"/>
      <w:szCs w:val="20"/>
    </w:rPr>
  </w:style>
  <w:style w:type="character" w:customStyle="1" w:styleId="FootnoteTextChar">
    <w:name w:val="Footnote Text Char"/>
    <w:basedOn w:val="DefaultParagraphFont"/>
    <w:link w:val="FootnoteText"/>
    <w:uiPriority w:val="99"/>
    <w:semiHidden/>
    <w:rsid w:val="0015317A"/>
    <w:rPr>
      <w:sz w:val="20"/>
      <w:szCs w:val="20"/>
    </w:rPr>
  </w:style>
  <w:style w:type="character" w:styleId="FootnoteReference">
    <w:name w:val="footnote reference"/>
    <w:basedOn w:val="DefaultParagraphFont"/>
    <w:uiPriority w:val="99"/>
    <w:semiHidden/>
    <w:unhideWhenUsed/>
    <w:rsid w:val="0015317A"/>
    <w:rPr>
      <w:vertAlign w:val="superscript"/>
    </w:rPr>
  </w:style>
  <w:style w:type="paragraph" w:styleId="NormalWeb">
    <w:name w:val="Normal (Web)"/>
    <w:basedOn w:val="Normal"/>
    <w:uiPriority w:val="99"/>
    <w:semiHidden/>
    <w:unhideWhenUsed/>
    <w:rsid w:val="001014A4"/>
    <w:pPr>
      <w:spacing w:before="100" w:beforeAutospacing="1" w:after="100" w:afterAutospacing="1" w:line="240" w:lineRule="auto"/>
    </w:pPr>
    <w:rPr>
      <w:rFonts w:ascii="Times New Roman" w:eastAsia="Times New Roman" w:hAnsi="Times New Roman" w:cs="Times New Roman"/>
      <w:lang w:bidi="he-IL"/>
    </w:rPr>
  </w:style>
  <w:style w:type="character" w:styleId="LineNumber">
    <w:name w:val="line number"/>
    <w:basedOn w:val="DefaultParagraphFont"/>
    <w:uiPriority w:val="99"/>
    <w:semiHidden/>
    <w:unhideWhenUsed/>
    <w:rsid w:val="00A63B35"/>
  </w:style>
  <w:style w:type="numbering" w:customStyle="1" w:styleId="CurrentList1">
    <w:name w:val="Current List1"/>
    <w:uiPriority w:val="99"/>
    <w:rsid w:val="00017EDF"/>
    <w:pPr>
      <w:numPr>
        <w:numId w:val="26"/>
      </w:numPr>
    </w:pPr>
  </w:style>
  <w:style w:type="numbering" w:customStyle="1" w:styleId="CurrentList2">
    <w:name w:val="Current List2"/>
    <w:uiPriority w:val="99"/>
    <w:rsid w:val="00017EDF"/>
    <w:pPr>
      <w:numPr>
        <w:numId w:val="27"/>
      </w:numPr>
    </w:pPr>
  </w:style>
  <w:style w:type="paragraph" w:customStyle="1" w:styleId="BoxReferences">
    <w:name w:val="Box References"/>
    <w:basedOn w:val="Box"/>
    <w:qFormat/>
    <w:rsid w:val="00DC0383"/>
    <w:pPr>
      <w:ind w:left="284" w:hanging="284"/>
    </w:pPr>
  </w:style>
  <w:style w:type="paragraph" w:customStyle="1" w:styleId="Notes">
    <w:name w:val="Notes"/>
    <w:basedOn w:val="Normal"/>
    <w:qFormat/>
    <w:rsid w:val="004533A2"/>
    <w:pPr>
      <w:tabs>
        <w:tab w:val="left" w:pos="709"/>
      </w:tabs>
      <w:spacing w:after="120" w:line="240" w:lineRule="auto"/>
      <w:ind w:left="709" w:hanging="709"/>
    </w:pPr>
    <w:rPr>
      <w:sz w:val="16"/>
    </w:rPr>
  </w:style>
  <w:style w:type="paragraph" w:customStyle="1" w:styleId="NotesAbbreviations">
    <w:name w:val="Notes Abbreviations"/>
    <w:basedOn w:val="Notes"/>
    <w:qFormat/>
    <w:rsid w:val="004533A2"/>
    <w:pPr>
      <w:ind w:left="0" w:firstLine="0"/>
    </w:pPr>
  </w:style>
  <w:style w:type="paragraph" w:styleId="TableofFigures">
    <w:name w:val="table of figures"/>
    <w:basedOn w:val="Normal"/>
    <w:next w:val="Normal"/>
    <w:uiPriority w:val="99"/>
    <w:unhideWhenUsed/>
    <w:rsid w:val="004B7F63"/>
    <w:pPr>
      <w:spacing w:after="0"/>
    </w:pPr>
  </w:style>
  <w:style w:type="paragraph" w:customStyle="1" w:styleId="References">
    <w:name w:val="References"/>
    <w:basedOn w:val="Normal"/>
    <w:qFormat/>
    <w:rsid w:val="00EC4CDE"/>
    <w:pPr>
      <w:ind w:left="567" w:hanging="567"/>
    </w:pPr>
    <w:rPr>
      <w:rFonts w:ascii="Calibri" w:eastAsia="Calibri" w:hAnsi="Calibri" w:cs="Calibri"/>
    </w:rPr>
  </w:style>
  <w:style w:type="paragraph" w:customStyle="1" w:styleId="Box">
    <w:name w:val="Box"/>
    <w:basedOn w:val="Normal"/>
    <w:qFormat/>
    <w:rsid w:val="00DE56CF"/>
    <w:pPr>
      <w:spacing w:after="120"/>
    </w:pPr>
    <w:rPr>
      <w:rFonts w:eastAsia="Calibri" w:cstheme="minorHAnsi"/>
      <w:color w:val="000000" w:themeColor="text1"/>
      <w:sz w:val="20"/>
      <w:szCs w:val="22"/>
    </w:rPr>
  </w:style>
  <w:style w:type="paragraph" w:customStyle="1" w:styleId="NotesBottom">
    <w:name w:val="Notes Bottom"/>
    <w:basedOn w:val="Notes"/>
    <w:qFormat/>
    <w:rsid w:val="004533A2"/>
    <w:pPr>
      <w:spacing w:after="360"/>
    </w:pPr>
  </w:style>
  <w:style w:type="character" w:styleId="Strong">
    <w:name w:val="Strong"/>
    <w:basedOn w:val="DefaultParagraphFont"/>
    <w:uiPriority w:val="22"/>
    <w:qFormat/>
    <w:rsid w:val="00A76DD5"/>
    <w:rPr>
      <w:b/>
      <w:bCs/>
    </w:rPr>
  </w:style>
  <w:style w:type="paragraph" w:styleId="ListNumber">
    <w:name w:val="List Number"/>
    <w:basedOn w:val="Normal"/>
    <w:uiPriority w:val="99"/>
    <w:semiHidden/>
    <w:unhideWhenUsed/>
    <w:rsid w:val="00732F58"/>
    <w:pPr>
      <w:numPr>
        <w:numId w:val="3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50211">
      <w:bodyDiv w:val="1"/>
      <w:marLeft w:val="0"/>
      <w:marRight w:val="0"/>
      <w:marTop w:val="0"/>
      <w:marBottom w:val="0"/>
      <w:divBdr>
        <w:top w:val="none" w:sz="0" w:space="0" w:color="auto"/>
        <w:left w:val="none" w:sz="0" w:space="0" w:color="auto"/>
        <w:bottom w:val="none" w:sz="0" w:space="0" w:color="auto"/>
        <w:right w:val="none" w:sz="0" w:space="0" w:color="auto"/>
      </w:divBdr>
      <w:divsChild>
        <w:div w:id="1052729728">
          <w:marLeft w:val="0"/>
          <w:marRight w:val="0"/>
          <w:marTop w:val="0"/>
          <w:marBottom w:val="0"/>
          <w:divBdr>
            <w:top w:val="none" w:sz="0" w:space="0" w:color="auto"/>
            <w:left w:val="none" w:sz="0" w:space="0" w:color="auto"/>
            <w:bottom w:val="none" w:sz="0" w:space="0" w:color="auto"/>
            <w:right w:val="none" w:sz="0" w:space="0" w:color="auto"/>
          </w:divBdr>
          <w:divsChild>
            <w:div w:id="949779720">
              <w:marLeft w:val="0"/>
              <w:marRight w:val="0"/>
              <w:marTop w:val="0"/>
              <w:marBottom w:val="0"/>
              <w:divBdr>
                <w:top w:val="none" w:sz="0" w:space="0" w:color="auto"/>
                <w:left w:val="none" w:sz="0" w:space="0" w:color="auto"/>
                <w:bottom w:val="none" w:sz="0" w:space="0" w:color="auto"/>
                <w:right w:val="none" w:sz="0" w:space="0" w:color="auto"/>
              </w:divBdr>
              <w:divsChild>
                <w:div w:id="630942422">
                  <w:marLeft w:val="0"/>
                  <w:marRight w:val="0"/>
                  <w:marTop w:val="0"/>
                  <w:marBottom w:val="0"/>
                  <w:divBdr>
                    <w:top w:val="none" w:sz="0" w:space="0" w:color="auto"/>
                    <w:left w:val="none" w:sz="0" w:space="0" w:color="auto"/>
                    <w:bottom w:val="none" w:sz="0" w:space="0" w:color="auto"/>
                    <w:right w:val="none" w:sz="0" w:space="0" w:color="auto"/>
                  </w:divBdr>
                  <w:divsChild>
                    <w:div w:id="24885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028024">
      <w:bodyDiv w:val="1"/>
      <w:marLeft w:val="0"/>
      <w:marRight w:val="0"/>
      <w:marTop w:val="0"/>
      <w:marBottom w:val="0"/>
      <w:divBdr>
        <w:top w:val="none" w:sz="0" w:space="0" w:color="auto"/>
        <w:left w:val="none" w:sz="0" w:space="0" w:color="auto"/>
        <w:bottom w:val="none" w:sz="0" w:space="0" w:color="auto"/>
        <w:right w:val="none" w:sz="0" w:space="0" w:color="auto"/>
      </w:divBdr>
    </w:div>
    <w:div w:id="1029916478">
      <w:bodyDiv w:val="1"/>
      <w:marLeft w:val="0"/>
      <w:marRight w:val="0"/>
      <w:marTop w:val="0"/>
      <w:marBottom w:val="0"/>
      <w:divBdr>
        <w:top w:val="none" w:sz="0" w:space="0" w:color="auto"/>
        <w:left w:val="none" w:sz="0" w:space="0" w:color="auto"/>
        <w:bottom w:val="none" w:sz="0" w:space="0" w:color="auto"/>
        <w:right w:val="none" w:sz="0" w:space="0" w:color="auto"/>
      </w:divBdr>
      <w:divsChild>
        <w:div w:id="401488415">
          <w:marLeft w:val="0"/>
          <w:marRight w:val="0"/>
          <w:marTop w:val="0"/>
          <w:marBottom w:val="0"/>
          <w:divBdr>
            <w:top w:val="none" w:sz="0" w:space="0" w:color="auto"/>
            <w:left w:val="none" w:sz="0" w:space="0" w:color="auto"/>
            <w:bottom w:val="none" w:sz="0" w:space="0" w:color="auto"/>
            <w:right w:val="none" w:sz="0" w:space="0" w:color="auto"/>
          </w:divBdr>
          <w:divsChild>
            <w:div w:id="599068667">
              <w:marLeft w:val="0"/>
              <w:marRight w:val="0"/>
              <w:marTop w:val="0"/>
              <w:marBottom w:val="0"/>
              <w:divBdr>
                <w:top w:val="none" w:sz="0" w:space="0" w:color="auto"/>
                <w:left w:val="none" w:sz="0" w:space="0" w:color="auto"/>
                <w:bottom w:val="none" w:sz="0" w:space="0" w:color="auto"/>
                <w:right w:val="none" w:sz="0" w:space="0" w:color="auto"/>
              </w:divBdr>
              <w:divsChild>
                <w:div w:id="160533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747570">
      <w:bodyDiv w:val="1"/>
      <w:marLeft w:val="0"/>
      <w:marRight w:val="0"/>
      <w:marTop w:val="0"/>
      <w:marBottom w:val="0"/>
      <w:divBdr>
        <w:top w:val="none" w:sz="0" w:space="0" w:color="auto"/>
        <w:left w:val="none" w:sz="0" w:space="0" w:color="auto"/>
        <w:bottom w:val="none" w:sz="0" w:space="0" w:color="auto"/>
        <w:right w:val="none" w:sz="0" w:space="0" w:color="auto"/>
      </w:divBdr>
      <w:divsChild>
        <w:div w:id="1915818037">
          <w:marLeft w:val="0"/>
          <w:marRight w:val="0"/>
          <w:marTop w:val="0"/>
          <w:marBottom w:val="0"/>
          <w:divBdr>
            <w:top w:val="none" w:sz="0" w:space="0" w:color="auto"/>
            <w:left w:val="none" w:sz="0" w:space="0" w:color="auto"/>
            <w:bottom w:val="none" w:sz="0" w:space="0" w:color="auto"/>
            <w:right w:val="none" w:sz="0" w:space="0" w:color="auto"/>
          </w:divBdr>
          <w:divsChild>
            <w:div w:id="947083456">
              <w:marLeft w:val="0"/>
              <w:marRight w:val="0"/>
              <w:marTop w:val="0"/>
              <w:marBottom w:val="0"/>
              <w:divBdr>
                <w:top w:val="none" w:sz="0" w:space="0" w:color="auto"/>
                <w:left w:val="none" w:sz="0" w:space="0" w:color="auto"/>
                <w:bottom w:val="none" w:sz="0" w:space="0" w:color="auto"/>
                <w:right w:val="none" w:sz="0" w:space="0" w:color="auto"/>
              </w:divBdr>
              <w:divsChild>
                <w:div w:id="2029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821249">
      <w:bodyDiv w:val="1"/>
      <w:marLeft w:val="0"/>
      <w:marRight w:val="0"/>
      <w:marTop w:val="0"/>
      <w:marBottom w:val="0"/>
      <w:divBdr>
        <w:top w:val="none" w:sz="0" w:space="0" w:color="auto"/>
        <w:left w:val="none" w:sz="0" w:space="0" w:color="auto"/>
        <w:bottom w:val="none" w:sz="0" w:space="0" w:color="auto"/>
        <w:right w:val="none" w:sz="0" w:space="0" w:color="auto"/>
      </w:divBdr>
    </w:div>
    <w:div w:id="1264653003">
      <w:bodyDiv w:val="1"/>
      <w:marLeft w:val="0"/>
      <w:marRight w:val="0"/>
      <w:marTop w:val="0"/>
      <w:marBottom w:val="0"/>
      <w:divBdr>
        <w:top w:val="none" w:sz="0" w:space="0" w:color="auto"/>
        <w:left w:val="none" w:sz="0" w:space="0" w:color="auto"/>
        <w:bottom w:val="none" w:sz="0" w:space="0" w:color="auto"/>
        <w:right w:val="none" w:sz="0" w:space="0" w:color="auto"/>
      </w:divBdr>
      <w:divsChild>
        <w:div w:id="191918582">
          <w:marLeft w:val="0"/>
          <w:marRight w:val="0"/>
          <w:marTop w:val="0"/>
          <w:marBottom w:val="0"/>
          <w:divBdr>
            <w:top w:val="none" w:sz="0" w:space="0" w:color="auto"/>
            <w:left w:val="none" w:sz="0" w:space="0" w:color="auto"/>
            <w:bottom w:val="none" w:sz="0" w:space="0" w:color="auto"/>
            <w:right w:val="none" w:sz="0" w:space="0" w:color="auto"/>
          </w:divBdr>
          <w:divsChild>
            <w:div w:id="769159730">
              <w:marLeft w:val="0"/>
              <w:marRight w:val="0"/>
              <w:marTop w:val="0"/>
              <w:marBottom w:val="0"/>
              <w:divBdr>
                <w:top w:val="none" w:sz="0" w:space="0" w:color="auto"/>
                <w:left w:val="none" w:sz="0" w:space="0" w:color="auto"/>
                <w:bottom w:val="none" w:sz="0" w:space="0" w:color="auto"/>
                <w:right w:val="none" w:sz="0" w:space="0" w:color="auto"/>
              </w:divBdr>
            </w:div>
          </w:divsChild>
        </w:div>
        <w:div w:id="511384721">
          <w:marLeft w:val="0"/>
          <w:marRight w:val="0"/>
          <w:marTop w:val="0"/>
          <w:marBottom w:val="0"/>
          <w:divBdr>
            <w:top w:val="none" w:sz="0" w:space="0" w:color="auto"/>
            <w:left w:val="none" w:sz="0" w:space="0" w:color="auto"/>
            <w:bottom w:val="none" w:sz="0" w:space="0" w:color="auto"/>
            <w:right w:val="none" w:sz="0" w:space="0" w:color="auto"/>
          </w:divBdr>
          <w:divsChild>
            <w:div w:id="342704363">
              <w:marLeft w:val="0"/>
              <w:marRight w:val="0"/>
              <w:marTop w:val="0"/>
              <w:marBottom w:val="0"/>
              <w:divBdr>
                <w:top w:val="none" w:sz="0" w:space="0" w:color="auto"/>
                <w:left w:val="none" w:sz="0" w:space="0" w:color="auto"/>
                <w:bottom w:val="none" w:sz="0" w:space="0" w:color="auto"/>
                <w:right w:val="none" w:sz="0" w:space="0" w:color="auto"/>
              </w:divBdr>
            </w:div>
            <w:div w:id="552811341">
              <w:marLeft w:val="0"/>
              <w:marRight w:val="0"/>
              <w:marTop w:val="0"/>
              <w:marBottom w:val="0"/>
              <w:divBdr>
                <w:top w:val="none" w:sz="0" w:space="0" w:color="auto"/>
                <w:left w:val="none" w:sz="0" w:space="0" w:color="auto"/>
                <w:bottom w:val="none" w:sz="0" w:space="0" w:color="auto"/>
                <w:right w:val="none" w:sz="0" w:space="0" w:color="auto"/>
              </w:divBdr>
            </w:div>
          </w:divsChild>
        </w:div>
        <w:div w:id="555549006">
          <w:marLeft w:val="0"/>
          <w:marRight w:val="0"/>
          <w:marTop w:val="0"/>
          <w:marBottom w:val="0"/>
          <w:divBdr>
            <w:top w:val="none" w:sz="0" w:space="0" w:color="auto"/>
            <w:left w:val="none" w:sz="0" w:space="0" w:color="auto"/>
            <w:bottom w:val="none" w:sz="0" w:space="0" w:color="auto"/>
            <w:right w:val="none" w:sz="0" w:space="0" w:color="auto"/>
          </w:divBdr>
          <w:divsChild>
            <w:div w:id="1642610203">
              <w:marLeft w:val="0"/>
              <w:marRight w:val="0"/>
              <w:marTop w:val="0"/>
              <w:marBottom w:val="0"/>
              <w:divBdr>
                <w:top w:val="none" w:sz="0" w:space="0" w:color="auto"/>
                <w:left w:val="none" w:sz="0" w:space="0" w:color="auto"/>
                <w:bottom w:val="none" w:sz="0" w:space="0" w:color="auto"/>
                <w:right w:val="none" w:sz="0" w:space="0" w:color="auto"/>
              </w:divBdr>
            </w:div>
          </w:divsChild>
        </w:div>
        <w:div w:id="559831811">
          <w:marLeft w:val="0"/>
          <w:marRight w:val="0"/>
          <w:marTop w:val="0"/>
          <w:marBottom w:val="0"/>
          <w:divBdr>
            <w:top w:val="none" w:sz="0" w:space="0" w:color="auto"/>
            <w:left w:val="none" w:sz="0" w:space="0" w:color="auto"/>
            <w:bottom w:val="none" w:sz="0" w:space="0" w:color="auto"/>
            <w:right w:val="none" w:sz="0" w:space="0" w:color="auto"/>
          </w:divBdr>
          <w:divsChild>
            <w:div w:id="2114283575">
              <w:marLeft w:val="0"/>
              <w:marRight w:val="0"/>
              <w:marTop w:val="0"/>
              <w:marBottom w:val="0"/>
              <w:divBdr>
                <w:top w:val="none" w:sz="0" w:space="0" w:color="auto"/>
                <w:left w:val="none" w:sz="0" w:space="0" w:color="auto"/>
                <w:bottom w:val="none" w:sz="0" w:space="0" w:color="auto"/>
                <w:right w:val="none" w:sz="0" w:space="0" w:color="auto"/>
              </w:divBdr>
            </w:div>
          </w:divsChild>
        </w:div>
        <w:div w:id="648946366">
          <w:marLeft w:val="0"/>
          <w:marRight w:val="0"/>
          <w:marTop w:val="0"/>
          <w:marBottom w:val="0"/>
          <w:divBdr>
            <w:top w:val="none" w:sz="0" w:space="0" w:color="auto"/>
            <w:left w:val="none" w:sz="0" w:space="0" w:color="auto"/>
            <w:bottom w:val="none" w:sz="0" w:space="0" w:color="auto"/>
            <w:right w:val="none" w:sz="0" w:space="0" w:color="auto"/>
          </w:divBdr>
          <w:divsChild>
            <w:div w:id="1596354132">
              <w:marLeft w:val="0"/>
              <w:marRight w:val="0"/>
              <w:marTop w:val="0"/>
              <w:marBottom w:val="0"/>
              <w:divBdr>
                <w:top w:val="none" w:sz="0" w:space="0" w:color="auto"/>
                <w:left w:val="none" w:sz="0" w:space="0" w:color="auto"/>
                <w:bottom w:val="none" w:sz="0" w:space="0" w:color="auto"/>
                <w:right w:val="none" w:sz="0" w:space="0" w:color="auto"/>
              </w:divBdr>
            </w:div>
          </w:divsChild>
        </w:div>
        <w:div w:id="938492096">
          <w:marLeft w:val="0"/>
          <w:marRight w:val="0"/>
          <w:marTop w:val="0"/>
          <w:marBottom w:val="0"/>
          <w:divBdr>
            <w:top w:val="none" w:sz="0" w:space="0" w:color="auto"/>
            <w:left w:val="none" w:sz="0" w:space="0" w:color="auto"/>
            <w:bottom w:val="none" w:sz="0" w:space="0" w:color="auto"/>
            <w:right w:val="none" w:sz="0" w:space="0" w:color="auto"/>
          </w:divBdr>
          <w:divsChild>
            <w:div w:id="493766469">
              <w:marLeft w:val="0"/>
              <w:marRight w:val="0"/>
              <w:marTop w:val="0"/>
              <w:marBottom w:val="0"/>
              <w:divBdr>
                <w:top w:val="none" w:sz="0" w:space="0" w:color="auto"/>
                <w:left w:val="none" w:sz="0" w:space="0" w:color="auto"/>
                <w:bottom w:val="none" w:sz="0" w:space="0" w:color="auto"/>
                <w:right w:val="none" w:sz="0" w:space="0" w:color="auto"/>
              </w:divBdr>
            </w:div>
          </w:divsChild>
        </w:div>
        <w:div w:id="976759261">
          <w:marLeft w:val="0"/>
          <w:marRight w:val="0"/>
          <w:marTop w:val="0"/>
          <w:marBottom w:val="0"/>
          <w:divBdr>
            <w:top w:val="none" w:sz="0" w:space="0" w:color="auto"/>
            <w:left w:val="none" w:sz="0" w:space="0" w:color="auto"/>
            <w:bottom w:val="none" w:sz="0" w:space="0" w:color="auto"/>
            <w:right w:val="none" w:sz="0" w:space="0" w:color="auto"/>
          </w:divBdr>
          <w:divsChild>
            <w:div w:id="81688993">
              <w:marLeft w:val="0"/>
              <w:marRight w:val="0"/>
              <w:marTop w:val="0"/>
              <w:marBottom w:val="0"/>
              <w:divBdr>
                <w:top w:val="none" w:sz="0" w:space="0" w:color="auto"/>
                <w:left w:val="none" w:sz="0" w:space="0" w:color="auto"/>
                <w:bottom w:val="none" w:sz="0" w:space="0" w:color="auto"/>
                <w:right w:val="none" w:sz="0" w:space="0" w:color="auto"/>
              </w:divBdr>
            </w:div>
          </w:divsChild>
        </w:div>
        <w:div w:id="1243881054">
          <w:marLeft w:val="0"/>
          <w:marRight w:val="0"/>
          <w:marTop w:val="0"/>
          <w:marBottom w:val="0"/>
          <w:divBdr>
            <w:top w:val="none" w:sz="0" w:space="0" w:color="auto"/>
            <w:left w:val="none" w:sz="0" w:space="0" w:color="auto"/>
            <w:bottom w:val="none" w:sz="0" w:space="0" w:color="auto"/>
            <w:right w:val="none" w:sz="0" w:space="0" w:color="auto"/>
          </w:divBdr>
          <w:divsChild>
            <w:div w:id="592586993">
              <w:marLeft w:val="0"/>
              <w:marRight w:val="0"/>
              <w:marTop w:val="0"/>
              <w:marBottom w:val="0"/>
              <w:divBdr>
                <w:top w:val="none" w:sz="0" w:space="0" w:color="auto"/>
                <w:left w:val="none" w:sz="0" w:space="0" w:color="auto"/>
                <w:bottom w:val="none" w:sz="0" w:space="0" w:color="auto"/>
                <w:right w:val="none" w:sz="0" w:space="0" w:color="auto"/>
              </w:divBdr>
            </w:div>
          </w:divsChild>
        </w:div>
        <w:div w:id="1288779052">
          <w:marLeft w:val="0"/>
          <w:marRight w:val="0"/>
          <w:marTop w:val="0"/>
          <w:marBottom w:val="0"/>
          <w:divBdr>
            <w:top w:val="none" w:sz="0" w:space="0" w:color="auto"/>
            <w:left w:val="none" w:sz="0" w:space="0" w:color="auto"/>
            <w:bottom w:val="none" w:sz="0" w:space="0" w:color="auto"/>
            <w:right w:val="none" w:sz="0" w:space="0" w:color="auto"/>
          </w:divBdr>
          <w:divsChild>
            <w:div w:id="551157962">
              <w:marLeft w:val="0"/>
              <w:marRight w:val="0"/>
              <w:marTop w:val="0"/>
              <w:marBottom w:val="0"/>
              <w:divBdr>
                <w:top w:val="none" w:sz="0" w:space="0" w:color="auto"/>
                <w:left w:val="none" w:sz="0" w:space="0" w:color="auto"/>
                <w:bottom w:val="none" w:sz="0" w:space="0" w:color="auto"/>
                <w:right w:val="none" w:sz="0" w:space="0" w:color="auto"/>
              </w:divBdr>
            </w:div>
          </w:divsChild>
        </w:div>
        <w:div w:id="1420830103">
          <w:marLeft w:val="0"/>
          <w:marRight w:val="0"/>
          <w:marTop w:val="0"/>
          <w:marBottom w:val="0"/>
          <w:divBdr>
            <w:top w:val="none" w:sz="0" w:space="0" w:color="auto"/>
            <w:left w:val="none" w:sz="0" w:space="0" w:color="auto"/>
            <w:bottom w:val="none" w:sz="0" w:space="0" w:color="auto"/>
            <w:right w:val="none" w:sz="0" w:space="0" w:color="auto"/>
          </w:divBdr>
          <w:divsChild>
            <w:div w:id="184559464">
              <w:marLeft w:val="0"/>
              <w:marRight w:val="0"/>
              <w:marTop w:val="0"/>
              <w:marBottom w:val="0"/>
              <w:divBdr>
                <w:top w:val="none" w:sz="0" w:space="0" w:color="auto"/>
                <w:left w:val="none" w:sz="0" w:space="0" w:color="auto"/>
                <w:bottom w:val="none" w:sz="0" w:space="0" w:color="auto"/>
                <w:right w:val="none" w:sz="0" w:space="0" w:color="auto"/>
              </w:divBdr>
            </w:div>
          </w:divsChild>
        </w:div>
        <w:div w:id="1637025360">
          <w:marLeft w:val="0"/>
          <w:marRight w:val="0"/>
          <w:marTop w:val="0"/>
          <w:marBottom w:val="0"/>
          <w:divBdr>
            <w:top w:val="none" w:sz="0" w:space="0" w:color="auto"/>
            <w:left w:val="none" w:sz="0" w:space="0" w:color="auto"/>
            <w:bottom w:val="none" w:sz="0" w:space="0" w:color="auto"/>
            <w:right w:val="none" w:sz="0" w:space="0" w:color="auto"/>
          </w:divBdr>
          <w:divsChild>
            <w:div w:id="465970548">
              <w:marLeft w:val="0"/>
              <w:marRight w:val="0"/>
              <w:marTop w:val="0"/>
              <w:marBottom w:val="0"/>
              <w:divBdr>
                <w:top w:val="none" w:sz="0" w:space="0" w:color="auto"/>
                <w:left w:val="none" w:sz="0" w:space="0" w:color="auto"/>
                <w:bottom w:val="none" w:sz="0" w:space="0" w:color="auto"/>
                <w:right w:val="none" w:sz="0" w:space="0" w:color="auto"/>
              </w:divBdr>
            </w:div>
          </w:divsChild>
        </w:div>
        <w:div w:id="1822425782">
          <w:marLeft w:val="0"/>
          <w:marRight w:val="0"/>
          <w:marTop w:val="0"/>
          <w:marBottom w:val="0"/>
          <w:divBdr>
            <w:top w:val="none" w:sz="0" w:space="0" w:color="auto"/>
            <w:left w:val="none" w:sz="0" w:space="0" w:color="auto"/>
            <w:bottom w:val="none" w:sz="0" w:space="0" w:color="auto"/>
            <w:right w:val="none" w:sz="0" w:space="0" w:color="auto"/>
          </w:divBdr>
          <w:divsChild>
            <w:div w:id="114696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81780">
      <w:bodyDiv w:val="1"/>
      <w:marLeft w:val="0"/>
      <w:marRight w:val="0"/>
      <w:marTop w:val="0"/>
      <w:marBottom w:val="0"/>
      <w:divBdr>
        <w:top w:val="none" w:sz="0" w:space="0" w:color="auto"/>
        <w:left w:val="none" w:sz="0" w:space="0" w:color="auto"/>
        <w:bottom w:val="none" w:sz="0" w:space="0" w:color="auto"/>
        <w:right w:val="none" w:sz="0" w:space="0" w:color="auto"/>
      </w:divBdr>
      <w:divsChild>
        <w:div w:id="900023760">
          <w:marLeft w:val="0"/>
          <w:marRight w:val="0"/>
          <w:marTop w:val="0"/>
          <w:marBottom w:val="0"/>
          <w:divBdr>
            <w:top w:val="none" w:sz="0" w:space="0" w:color="auto"/>
            <w:left w:val="none" w:sz="0" w:space="0" w:color="auto"/>
            <w:bottom w:val="none" w:sz="0" w:space="0" w:color="auto"/>
            <w:right w:val="none" w:sz="0" w:space="0" w:color="auto"/>
          </w:divBdr>
          <w:divsChild>
            <w:div w:id="663898001">
              <w:marLeft w:val="0"/>
              <w:marRight w:val="0"/>
              <w:marTop w:val="0"/>
              <w:marBottom w:val="0"/>
              <w:divBdr>
                <w:top w:val="none" w:sz="0" w:space="0" w:color="auto"/>
                <w:left w:val="none" w:sz="0" w:space="0" w:color="auto"/>
                <w:bottom w:val="none" w:sz="0" w:space="0" w:color="auto"/>
                <w:right w:val="none" w:sz="0" w:space="0" w:color="auto"/>
              </w:divBdr>
              <w:divsChild>
                <w:div w:id="454786748">
                  <w:marLeft w:val="0"/>
                  <w:marRight w:val="0"/>
                  <w:marTop w:val="0"/>
                  <w:marBottom w:val="0"/>
                  <w:divBdr>
                    <w:top w:val="none" w:sz="0" w:space="0" w:color="auto"/>
                    <w:left w:val="none" w:sz="0" w:space="0" w:color="auto"/>
                    <w:bottom w:val="none" w:sz="0" w:space="0" w:color="auto"/>
                    <w:right w:val="none" w:sz="0" w:space="0" w:color="auto"/>
                  </w:divBdr>
                  <w:divsChild>
                    <w:div w:id="20015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86165">
      <w:bodyDiv w:val="1"/>
      <w:marLeft w:val="0"/>
      <w:marRight w:val="0"/>
      <w:marTop w:val="0"/>
      <w:marBottom w:val="0"/>
      <w:divBdr>
        <w:top w:val="none" w:sz="0" w:space="0" w:color="auto"/>
        <w:left w:val="none" w:sz="0" w:space="0" w:color="auto"/>
        <w:bottom w:val="none" w:sz="0" w:space="0" w:color="auto"/>
        <w:right w:val="none" w:sz="0" w:space="0" w:color="auto"/>
      </w:divBdr>
    </w:div>
    <w:div w:id="1751582436">
      <w:bodyDiv w:val="1"/>
      <w:marLeft w:val="0"/>
      <w:marRight w:val="0"/>
      <w:marTop w:val="0"/>
      <w:marBottom w:val="0"/>
      <w:divBdr>
        <w:top w:val="none" w:sz="0" w:space="0" w:color="auto"/>
        <w:left w:val="none" w:sz="0" w:space="0" w:color="auto"/>
        <w:bottom w:val="none" w:sz="0" w:space="0" w:color="auto"/>
        <w:right w:val="none" w:sz="0" w:space="0" w:color="auto"/>
      </w:divBdr>
      <w:divsChild>
        <w:div w:id="673996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fontTable" Target="fontTable.xml"/><Relationship Id="rId21" Type="http://schemas.openxmlformats.org/officeDocument/2006/relationships/image" Target="media/image9.emf"/><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emf"/><Relationship Id="rId17" Type="http://schemas.microsoft.com/office/2007/relationships/diagramDrawing" Target="diagrams/drawing1.xml"/><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8.e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png"/><Relationship Id="rId10" Type="http://schemas.openxmlformats.org/officeDocument/2006/relationships/image" Target="media/image3.emf"/><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Layout" Target="diagrams/layout1.xml"/><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png"/><Relationship Id="rId8" Type="http://schemas.openxmlformats.org/officeDocument/2006/relationships/image" Target="media/image1.emf"/><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DD3A76-7468-3040-9844-7B230A993803}"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A34195A7-FC3E-E348-A100-304C270FB0DA}">
      <dgm:prSet phldrT="[Text]" custT="1"/>
      <dgm:spPr>
        <a:solidFill>
          <a:schemeClr val="bg1"/>
        </a:solidFill>
        <a:ln w="12700">
          <a:solidFill>
            <a:schemeClr val="tx1"/>
          </a:solidFill>
        </a:ln>
      </dgm:spPr>
      <dgm:t>
        <a:bodyPr/>
        <a:lstStyle/>
        <a:p>
          <a:r>
            <a:rPr lang="en-US" sz="1000">
              <a:solidFill>
                <a:sysClr val="windowText" lastClr="000000"/>
              </a:solidFill>
            </a:rPr>
            <a:t>Gross</a:t>
          </a:r>
          <a:br>
            <a:rPr lang="en-US" sz="1000">
              <a:solidFill>
                <a:sysClr val="windowText" lastClr="000000"/>
              </a:solidFill>
            </a:rPr>
          </a:br>
          <a:r>
            <a:rPr lang="en-US" sz="1000">
              <a:solidFill>
                <a:sysClr val="windowText" lastClr="000000"/>
              </a:solidFill>
            </a:rPr>
            <a:t>exports </a:t>
          </a:r>
          <a:br>
            <a:rPr lang="en-US" sz="1000">
              <a:solidFill>
                <a:sysClr val="windowText" lastClr="000000"/>
              </a:solidFill>
            </a:rPr>
          </a:br>
          <a:r>
            <a:rPr lang="en-US" sz="1000">
              <a:solidFill>
                <a:sysClr val="windowText" lastClr="000000"/>
              </a:solidFill>
            </a:rPr>
            <a:t>by </a:t>
          </a:r>
          <a:r>
            <a:rPr lang="en-US" sz="1000" i="1">
              <a:solidFill>
                <a:sysClr val="windowText" lastClr="000000"/>
              </a:solidFill>
            </a:rPr>
            <a:t>H</a:t>
          </a:r>
          <a:r>
            <a:rPr lang="en-US" sz="1000">
              <a:solidFill>
                <a:sysClr val="windowText" lastClr="000000"/>
              </a:solidFill>
            </a:rPr>
            <a:t> to </a:t>
          </a:r>
          <a:r>
            <a:rPr lang="en-US" sz="1000" i="1">
              <a:solidFill>
                <a:sysClr val="windowText" lastClr="000000"/>
              </a:solidFill>
            </a:rPr>
            <a:t>P</a:t>
          </a:r>
        </a:p>
      </dgm:t>
    </dgm:pt>
    <dgm:pt modelId="{CCF8D461-7380-5146-964E-3882224B466A}" type="parTrans" cxnId="{0571F94E-64B6-DB4F-992F-7F6445D5B711}">
      <dgm:prSet/>
      <dgm:spPr/>
      <dgm:t>
        <a:bodyPr/>
        <a:lstStyle/>
        <a:p>
          <a:endParaRPr lang="en-US" sz="1100">
            <a:solidFill>
              <a:sysClr val="windowText" lastClr="000000"/>
            </a:solidFill>
          </a:endParaRPr>
        </a:p>
      </dgm:t>
    </dgm:pt>
    <dgm:pt modelId="{5FEB777C-C9FA-AF42-BFD1-3DD6D1DD0375}" type="sibTrans" cxnId="{0571F94E-64B6-DB4F-992F-7F6445D5B711}">
      <dgm:prSet/>
      <dgm:spPr/>
      <dgm:t>
        <a:bodyPr/>
        <a:lstStyle/>
        <a:p>
          <a:endParaRPr lang="en-US" sz="1100">
            <a:solidFill>
              <a:sysClr val="windowText" lastClr="000000"/>
            </a:solidFill>
          </a:endParaRPr>
        </a:p>
      </dgm:t>
    </dgm:pt>
    <dgm:pt modelId="{C19F05D8-13C3-3F4E-BFD4-16C01A3FE872}">
      <dgm:prSet phldrT="[Text]" custT="1"/>
      <dgm:spPr>
        <a:solidFill>
          <a:schemeClr val="bg1"/>
        </a:solidFill>
        <a:ln w="12700">
          <a:solidFill>
            <a:schemeClr val="tx1"/>
          </a:solidFill>
        </a:ln>
      </dgm:spPr>
      <dgm:t>
        <a:bodyPr/>
        <a:lstStyle/>
        <a:p>
          <a:r>
            <a:rPr lang="en-US" sz="1000">
              <a:solidFill>
                <a:sysClr val="windowText" lastClr="000000"/>
              </a:solidFill>
            </a:rPr>
            <a:t>Domestic value added</a:t>
          </a:r>
        </a:p>
      </dgm:t>
    </dgm:pt>
    <dgm:pt modelId="{1E791FC9-314F-2649-9D3C-09DDF5BF7AD4}" type="parTrans" cxnId="{C3959937-5143-C64E-8535-10AE7070D0DF}">
      <dgm:prSet/>
      <dgm:spPr>
        <a:ln>
          <a:solidFill>
            <a:schemeClr val="tx1"/>
          </a:solidFill>
        </a:ln>
      </dgm:spPr>
      <dgm:t>
        <a:bodyPr/>
        <a:lstStyle/>
        <a:p>
          <a:endParaRPr lang="en-US" sz="1100">
            <a:solidFill>
              <a:sysClr val="windowText" lastClr="000000"/>
            </a:solidFill>
          </a:endParaRPr>
        </a:p>
      </dgm:t>
    </dgm:pt>
    <dgm:pt modelId="{001B3602-8783-1F45-898E-FAA72C8C2478}" type="sibTrans" cxnId="{C3959937-5143-C64E-8535-10AE7070D0DF}">
      <dgm:prSet/>
      <dgm:spPr/>
      <dgm:t>
        <a:bodyPr/>
        <a:lstStyle/>
        <a:p>
          <a:endParaRPr lang="en-US" sz="1100">
            <a:solidFill>
              <a:sysClr val="windowText" lastClr="000000"/>
            </a:solidFill>
          </a:endParaRPr>
        </a:p>
      </dgm:t>
    </dgm:pt>
    <dgm:pt modelId="{D67C7094-7850-8243-96D2-BFB0CCA8E1E4}">
      <dgm:prSet custT="1"/>
      <dgm:spPr>
        <a:solidFill>
          <a:schemeClr val="bg1"/>
        </a:solidFill>
        <a:ln w="12700">
          <a:solidFill>
            <a:schemeClr val="tx1"/>
          </a:solidFill>
        </a:ln>
      </dgm:spPr>
      <dgm:t>
        <a:bodyPr/>
        <a:lstStyle/>
        <a:p>
          <a:r>
            <a:rPr lang="en-US" sz="1000">
              <a:solidFill>
                <a:sysClr val="windowText" lastClr="000000"/>
              </a:solidFill>
            </a:rPr>
            <a:t>Foreign</a:t>
          </a:r>
          <a:br>
            <a:rPr lang="en-US" sz="1000">
              <a:solidFill>
                <a:sysClr val="windowText" lastClr="000000"/>
              </a:solidFill>
            </a:rPr>
          </a:br>
          <a:r>
            <a:rPr lang="en-US" sz="1000">
              <a:solidFill>
                <a:sysClr val="windowText" lastClr="000000"/>
              </a:solidFill>
            </a:rPr>
            <a:t>value added</a:t>
          </a:r>
        </a:p>
        <a:p>
          <a:r>
            <a:rPr lang="en-US" sz="1000" b="1">
              <a:solidFill>
                <a:sysClr val="windowText" lastClr="000000"/>
              </a:solidFill>
            </a:rPr>
            <a:t>FVA</a:t>
          </a:r>
        </a:p>
      </dgm:t>
    </dgm:pt>
    <dgm:pt modelId="{EF1BFA49-049F-3B46-818D-4D1ED8FCFE2C}" type="parTrans" cxnId="{3C686C01-262A-5146-A25E-AD5D09276FDA}">
      <dgm:prSet/>
      <dgm:spPr>
        <a:ln>
          <a:solidFill>
            <a:schemeClr val="tx1"/>
          </a:solidFill>
        </a:ln>
      </dgm:spPr>
      <dgm:t>
        <a:bodyPr/>
        <a:lstStyle/>
        <a:p>
          <a:endParaRPr lang="en-US"/>
        </a:p>
      </dgm:t>
    </dgm:pt>
    <dgm:pt modelId="{F0A8344C-2591-A64E-AC6B-41F0A1E70AB4}" type="sibTrans" cxnId="{3C686C01-262A-5146-A25E-AD5D09276FDA}">
      <dgm:prSet/>
      <dgm:spPr/>
      <dgm:t>
        <a:bodyPr/>
        <a:lstStyle/>
        <a:p>
          <a:endParaRPr lang="en-US"/>
        </a:p>
      </dgm:t>
    </dgm:pt>
    <dgm:pt modelId="{38AD81CF-F038-1040-AB88-E7471F99F77C}">
      <dgm:prSet custT="1"/>
      <dgm:spPr>
        <a:solidFill>
          <a:schemeClr val="bg1"/>
        </a:solidFill>
        <a:ln>
          <a:solidFill>
            <a:schemeClr val="tx1"/>
          </a:solidFill>
        </a:ln>
      </dgm:spPr>
      <dgm:t>
        <a:bodyPr/>
        <a:lstStyle/>
        <a:p>
          <a:r>
            <a:rPr lang="en-US" sz="1000">
              <a:solidFill>
                <a:sysClr val="windowText" lastClr="000000"/>
              </a:solidFill>
            </a:rPr>
            <a:t>Pure</a:t>
          </a:r>
          <a:br>
            <a:rPr lang="en-US" sz="1000">
              <a:solidFill>
                <a:sysClr val="windowText" lastClr="000000"/>
              </a:solidFill>
            </a:rPr>
          </a:br>
          <a:r>
            <a:rPr lang="en-US" sz="1000">
              <a:solidFill>
                <a:sysClr val="windowText" lastClr="000000"/>
              </a:solidFill>
            </a:rPr>
            <a:t>double-counting</a:t>
          </a:r>
        </a:p>
        <a:p>
          <a:r>
            <a:rPr lang="en-US" sz="1000" b="1">
              <a:solidFill>
                <a:sysClr val="windowText" lastClr="000000"/>
              </a:solidFill>
            </a:rPr>
            <a:t>PDC</a:t>
          </a:r>
        </a:p>
      </dgm:t>
    </dgm:pt>
    <dgm:pt modelId="{4EA97F6A-7053-5841-8CBD-09854139C347}" type="parTrans" cxnId="{4F911ABC-3252-F845-8DC5-8B40BF08A985}">
      <dgm:prSet/>
      <dgm:spPr>
        <a:ln>
          <a:solidFill>
            <a:schemeClr val="tx1"/>
          </a:solidFill>
        </a:ln>
      </dgm:spPr>
      <dgm:t>
        <a:bodyPr/>
        <a:lstStyle/>
        <a:p>
          <a:endParaRPr lang="en-US"/>
        </a:p>
      </dgm:t>
    </dgm:pt>
    <dgm:pt modelId="{630DF37E-E7E1-9A4A-9DE8-2A33CD746AC2}" type="sibTrans" cxnId="{4F911ABC-3252-F845-8DC5-8B40BF08A985}">
      <dgm:prSet/>
      <dgm:spPr/>
      <dgm:t>
        <a:bodyPr/>
        <a:lstStyle/>
        <a:p>
          <a:endParaRPr lang="en-US"/>
        </a:p>
      </dgm:t>
    </dgm:pt>
    <dgm:pt modelId="{2EF7CB5F-130B-CB46-914C-E4AAF8009D56}">
      <dgm:prSet custT="1"/>
      <dgm:spPr>
        <a:solidFill>
          <a:schemeClr val="bg1"/>
        </a:solidFill>
        <a:ln>
          <a:solidFill>
            <a:schemeClr val="tx1"/>
          </a:solidFill>
        </a:ln>
      </dgm:spPr>
      <dgm:t>
        <a:bodyPr/>
        <a:lstStyle/>
        <a:p>
          <a:r>
            <a:rPr lang="en-US" sz="1000">
              <a:solidFill>
                <a:sysClr val="windowText" lastClr="000000"/>
              </a:solidFill>
            </a:rPr>
            <a:t>Directly </a:t>
          </a:r>
          <a:br>
            <a:rPr lang="en-US" sz="1000">
              <a:solidFill>
                <a:sysClr val="windowText" lastClr="000000"/>
              </a:solidFill>
            </a:rPr>
          </a:br>
          <a:r>
            <a:rPr lang="en-US" sz="1000">
              <a:solidFill>
                <a:sysClr val="windowText" lastClr="000000"/>
              </a:solidFill>
            </a:rPr>
            <a:t>absorbed by </a:t>
          </a:r>
          <a:r>
            <a:rPr lang="en-US" sz="1000" i="1">
              <a:solidFill>
                <a:sysClr val="windowText" lastClr="000000"/>
              </a:solidFill>
            </a:rPr>
            <a:t>P</a:t>
          </a:r>
        </a:p>
        <a:p>
          <a:r>
            <a:rPr lang="en-US" sz="1000" b="1" i="0">
              <a:solidFill>
                <a:sysClr val="windowText" lastClr="000000"/>
              </a:solidFill>
            </a:rPr>
            <a:t>DAVAX</a:t>
          </a:r>
        </a:p>
      </dgm:t>
    </dgm:pt>
    <dgm:pt modelId="{5091D2C5-D48E-0340-8C22-3FD5958BB231}" type="parTrans" cxnId="{048BD2BE-5889-0141-8E44-85EEF79025E1}">
      <dgm:prSet/>
      <dgm:spPr>
        <a:ln>
          <a:solidFill>
            <a:schemeClr val="tx1"/>
          </a:solidFill>
        </a:ln>
      </dgm:spPr>
      <dgm:t>
        <a:bodyPr/>
        <a:lstStyle/>
        <a:p>
          <a:endParaRPr lang="en-US"/>
        </a:p>
      </dgm:t>
    </dgm:pt>
    <dgm:pt modelId="{9371C640-BC84-464D-9654-60C3A2C7580D}" type="sibTrans" cxnId="{048BD2BE-5889-0141-8E44-85EEF79025E1}">
      <dgm:prSet/>
      <dgm:spPr/>
      <dgm:t>
        <a:bodyPr/>
        <a:lstStyle/>
        <a:p>
          <a:endParaRPr lang="en-US"/>
        </a:p>
      </dgm:t>
    </dgm:pt>
    <dgm:pt modelId="{FDD445C5-9470-2645-89D6-8E7B97B999C9}">
      <dgm:prSet custT="1"/>
      <dgm:spPr>
        <a:solidFill>
          <a:schemeClr val="bg1"/>
        </a:solidFill>
        <a:ln>
          <a:solidFill>
            <a:schemeClr val="tx1"/>
          </a:solidFill>
        </a:ln>
      </dgm:spPr>
      <dgm:t>
        <a:bodyPr/>
        <a:lstStyle/>
        <a:p>
          <a:r>
            <a:rPr lang="en-US" sz="1000">
              <a:solidFill>
                <a:sysClr val="windowText" lastClr="000000"/>
              </a:solidFill>
            </a:rPr>
            <a:t>As </a:t>
          </a:r>
          <a:br>
            <a:rPr lang="en-US" sz="1000">
              <a:solidFill>
                <a:sysClr val="windowText" lastClr="000000"/>
              </a:solidFill>
            </a:rPr>
          </a:br>
          <a:r>
            <a:rPr lang="en-US" sz="1000">
              <a:solidFill>
                <a:sysClr val="windowText" lastClr="000000"/>
              </a:solidFill>
            </a:rPr>
            <a:t>final goods</a:t>
          </a:r>
        </a:p>
        <a:p>
          <a:r>
            <a:rPr lang="en-US" sz="1000" b="1">
              <a:solidFill>
                <a:sysClr val="windowText" lastClr="000000"/>
              </a:solidFill>
            </a:rPr>
            <a:t>DAVAX1</a:t>
          </a:r>
        </a:p>
      </dgm:t>
    </dgm:pt>
    <dgm:pt modelId="{8A3B04AF-B1F4-D643-8367-24CA470E0A3E}" type="parTrans" cxnId="{DABDE0B8-9451-D648-AB40-F66EA4C1AE3A}">
      <dgm:prSet/>
      <dgm:spPr>
        <a:ln>
          <a:solidFill>
            <a:schemeClr val="tx1"/>
          </a:solidFill>
        </a:ln>
      </dgm:spPr>
      <dgm:t>
        <a:bodyPr/>
        <a:lstStyle/>
        <a:p>
          <a:endParaRPr lang="en-US"/>
        </a:p>
      </dgm:t>
    </dgm:pt>
    <dgm:pt modelId="{5C42BA00-A2E0-F040-8AFB-2E940DC0CB0B}" type="sibTrans" cxnId="{DABDE0B8-9451-D648-AB40-F66EA4C1AE3A}">
      <dgm:prSet/>
      <dgm:spPr/>
      <dgm:t>
        <a:bodyPr/>
        <a:lstStyle/>
        <a:p>
          <a:endParaRPr lang="en-US"/>
        </a:p>
      </dgm:t>
    </dgm:pt>
    <dgm:pt modelId="{67F259FC-0113-2142-94AC-44A6635AB79A}">
      <dgm:prSet custT="1"/>
      <dgm:spPr>
        <a:solidFill>
          <a:schemeClr val="bg1"/>
        </a:solidFill>
        <a:ln>
          <a:solidFill>
            <a:schemeClr val="tx1"/>
          </a:solidFill>
        </a:ln>
      </dgm:spPr>
      <dgm:t>
        <a:bodyPr/>
        <a:lstStyle/>
        <a:p>
          <a:r>
            <a:rPr lang="en-US" sz="1000">
              <a:solidFill>
                <a:sysClr val="windowText" lastClr="000000"/>
              </a:solidFill>
            </a:rPr>
            <a:t>As</a:t>
          </a:r>
          <a:br>
            <a:rPr lang="en-US" sz="1000">
              <a:solidFill>
                <a:sysClr val="windowText" lastClr="000000"/>
              </a:solidFill>
            </a:rPr>
          </a:br>
          <a:r>
            <a:rPr lang="en-US" sz="1000">
              <a:solidFill>
                <a:sysClr val="windowText" lastClr="000000"/>
              </a:solidFill>
            </a:rPr>
            <a:t>intermediates</a:t>
          </a:r>
        </a:p>
        <a:p>
          <a:r>
            <a:rPr lang="en-US" sz="1000" b="1">
              <a:solidFill>
                <a:sysClr val="windowText" lastClr="000000"/>
              </a:solidFill>
            </a:rPr>
            <a:t>DAVAX2</a:t>
          </a:r>
        </a:p>
      </dgm:t>
    </dgm:pt>
    <dgm:pt modelId="{97971D6B-1900-B944-9AAA-84D73CAE53C2}" type="parTrans" cxnId="{297FE843-026D-734D-9894-977E0E493723}">
      <dgm:prSet/>
      <dgm:spPr>
        <a:ln>
          <a:solidFill>
            <a:schemeClr val="tx1"/>
          </a:solidFill>
        </a:ln>
      </dgm:spPr>
      <dgm:t>
        <a:bodyPr/>
        <a:lstStyle/>
        <a:p>
          <a:endParaRPr lang="en-US"/>
        </a:p>
      </dgm:t>
    </dgm:pt>
    <dgm:pt modelId="{86C9AE34-B204-214C-9136-5E5F068D1605}" type="sibTrans" cxnId="{297FE843-026D-734D-9894-977E0E493723}">
      <dgm:prSet/>
      <dgm:spPr/>
      <dgm:t>
        <a:bodyPr/>
        <a:lstStyle/>
        <a:p>
          <a:endParaRPr lang="en-US"/>
        </a:p>
      </dgm:t>
    </dgm:pt>
    <dgm:pt modelId="{61A5C46C-9D2D-7E4E-B7F4-F3340AB14049}">
      <dgm:prSet custT="1"/>
      <dgm:spPr>
        <a:solidFill>
          <a:schemeClr val="bg1"/>
        </a:solidFill>
        <a:ln>
          <a:solidFill>
            <a:schemeClr val="tx1"/>
          </a:solidFill>
        </a:ln>
      </dgm:spPr>
      <dgm:t>
        <a:bodyPr/>
        <a:lstStyle/>
        <a:p>
          <a:r>
            <a:rPr lang="en-US" sz="1000">
              <a:solidFill>
                <a:sysClr val="windowText" lastClr="000000"/>
              </a:solidFill>
            </a:rPr>
            <a:t>Re-exported </a:t>
          </a:r>
          <a:br>
            <a:rPr lang="en-US" sz="1000">
              <a:solidFill>
                <a:sysClr val="windowText" lastClr="000000"/>
              </a:solidFill>
            </a:rPr>
          </a:br>
          <a:r>
            <a:rPr lang="en-US" sz="1000">
              <a:solidFill>
                <a:sysClr val="windowText" lastClr="000000"/>
              </a:solidFill>
            </a:rPr>
            <a:t>by </a:t>
          </a:r>
          <a:r>
            <a:rPr lang="en-US" sz="1000" i="1">
              <a:solidFill>
                <a:sysClr val="windowText" lastClr="000000"/>
              </a:solidFill>
            </a:rPr>
            <a:t>P</a:t>
          </a:r>
          <a:r>
            <a:rPr lang="en-US" sz="1000" i="0">
              <a:solidFill>
                <a:sysClr val="windowText" lastClr="000000"/>
              </a:solidFill>
            </a:rPr>
            <a:t> and eventually absorbed abroad</a:t>
          </a:r>
        </a:p>
        <a:p>
          <a:r>
            <a:rPr lang="en-US" sz="1000" b="1" i="0">
              <a:solidFill>
                <a:sysClr val="windowText" lastClr="000000"/>
              </a:solidFill>
            </a:rPr>
            <a:t>REX</a:t>
          </a:r>
        </a:p>
      </dgm:t>
    </dgm:pt>
    <dgm:pt modelId="{22B2FD53-86B1-6943-90DE-2DCA4710C2AE}" type="parTrans" cxnId="{5E2EC4A6-CE07-4C41-9F7B-04BBBCB06AF3}">
      <dgm:prSet/>
      <dgm:spPr>
        <a:ln>
          <a:solidFill>
            <a:schemeClr val="tx1"/>
          </a:solidFill>
        </a:ln>
      </dgm:spPr>
      <dgm:t>
        <a:bodyPr/>
        <a:lstStyle/>
        <a:p>
          <a:endParaRPr lang="en-US"/>
        </a:p>
      </dgm:t>
    </dgm:pt>
    <dgm:pt modelId="{EC699C8F-D4B9-524E-B0C0-C337FCDF1AEC}" type="sibTrans" cxnId="{5E2EC4A6-CE07-4C41-9F7B-04BBBCB06AF3}">
      <dgm:prSet/>
      <dgm:spPr/>
      <dgm:t>
        <a:bodyPr/>
        <a:lstStyle/>
        <a:p>
          <a:endParaRPr lang="en-US"/>
        </a:p>
      </dgm:t>
    </dgm:pt>
    <dgm:pt modelId="{916DB513-6AC2-2B45-A5BC-7F1AB462F03E}">
      <dgm:prSet custT="1"/>
      <dgm:spPr>
        <a:solidFill>
          <a:schemeClr val="bg1"/>
        </a:solidFill>
        <a:ln>
          <a:solidFill>
            <a:schemeClr val="tx1"/>
          </a:solidFill>
        </a:ln>
      </dgm:spPr>
      <dgm:t>
        <a:bodyPr/>
        <a:lstStyle/>
        <a:p>
          <a:r>
            <a:rPr lang="en-US" sz="1000">
              <a:solidFill>
                <a:sysClr val="windowText" lastClr="000000"/>
              </a:solidFill>
            </a:rPr>
            <a:t>Re-exported </a:t>
          </a:r>
          <a:br>
            <a:rPr lang="en-US" sz="1000">
              <a:solidFill>
                <a:sysClr val="windowText" lastClr="000000"/>
              </a:solidFill>
            </a:rPr>
          </a:br>
          <a:r>
            <a:rPr lang="en-US" sz="1000">
              <a:solidFill>
                <a:sysClr val="windowText" lastClr="000000"/>
              </a:solidFill>
            </a:rPr>
            <a:t>by </a:t>
          </a:r>
          <a:r>
            <a:rPr lang="en-US" sz="1000" i="1">
              <a:solidFill>
                <a:sysClr val="windowText" lastClr="000000"/>
              </a:solidFill>
            </a:rPr>
            <a:t>P</a:t>
          </a:r>
          <a:r>
            <a:rPr lang="en-US" sz="1000" i="0">
              <a:solidFill>
                <a:sysClr val="windowText" lastClr="000000"/>
              </a:solidFill>
            </a:rPr>
            <a:t> and eventually absorbed by </a:t>
          </a:r>
          <a:r>
            <a:rPr lang="en-US" sz="1000" i="1">
              <a:solidFill>
                <a:sysClr val="windowText" lastClr="000000"/>
              </a:solidFill>
            </a:rPr>
            <a:t>H</a:t>
          </a:r>
        </a:p>
        <a:p>
          <a:r>
            <a:rPr lang="en-US" sz="1000" b="1">
              <a:solidFill>
                <a:schemeClr val="tx1"/>
              </a:solidFill>
            </a:rPr>
            <a:t>REF</a:t>
          </a:r>
        </a:p>
      </dgm:t>
    </dgm:pt>
    <dgm:pt modelId="{E079B541-23AE-6547-B0C5-6BE5E97E7580}" type="parTrans" cxnId="{FFC9BDD5-31F3-AB48-945D-B635E532DCCC}">
      <dgm:prSet/>
      <dgm:spPr>
        <a:ln>
          <a:solidFill>
            <a:schemeClr val="tx1"/>
          </a:solidFill>
        </a:ln>
      </dgm:spPr>
      <dgm:t>
        <a:bodyPr/>
        <a:lstStyle/>
        <a:p>
          <a:endParaRPr lang="en-US"/>
        </a:p>
      </dgm:t>
    </dgm:pt>
    <dgm:pt modelId="{C402895C-9166-614E-913F-8EF8C7ACD01D}" type="sibTrans" cxnId="{FFC9BDD5-31F3-AB48-945D-B635E532DCCC}">
      <dgm:prSet/>
      <dgm:spPr/>
      <dgm:t>
        <a:bodyPr/>
        <a:lstStyle/>
        <a:p>
          <a:endParaRPr lang="en-US"/>
        </a:p>
      </dgm:t>
    </dgm:pt>
    <dgm:pt modelId="{619349EC-4798-9444-A846-F097ED3950E1}" type="pres">
      <dgm:prSet presAssocID="{19DD3A76-7468-3040-9844-7B230A993803}" presName="hierChild1" presStyleCnt="0">
        <dgm:presLayoutVars>
          <dgm:orgChart val="1"/>
          <dgm:chPref val="1"/>
          <dgm:dir/>
          <dgm:animOne val="branch"/>
          <dgm:animLvl val="lvl"/>
          <dgm:resizeHandles/>
        </dgm:presLayoutVars>
      </dgm:prSet>
      <dgm:spPr/>
    </dgm:pt>
    <dgm:pt modelId="{8C92BD17-083E-4444-A334-185661579A21}" type="pres">
      <dgm:prSet presAssocID="{A34195A7-FC3E-E348-A100-304C270FB0DA}" presName="hierRoot1" presStyleCnt="0">
        <dgm:presLayoutVars>
          <dgm:hierBranch/>
        </dgm:presLayoutVars>
      </dgm:prSet>
      <dgm:spPr/>
    </dgm:pt>
    <dgm:pt modelId="{C3E64741-237D-A142-A4F1-C2218D482174}" type="pres">
      <dgm:prSet presAssocID="{A34195A7-FC3E-E348-A100-304C270FB0DA}" presName="rootComposite1" presStyleCnt="0"/>
      <dgm:spPr/>
    </dgm:pt>
    <dgm:pt modelId="{773FA9B0-C4C0-B241-95AD-D916F9052F9E}" type="pres">
      <dgm:prSet presAssocID="{A34195A7-FC3E-E348-A100-304C270FB0DA}" presName="rootText1" presStyleLbl="node0" presStyleIdx="0" presStyleCnt="1" custScaleX="100369" custScaleY="139884">
        <dgm:presLayoutVars>
          <dgm:chPref val="3"/>
        </dgm:presLayoutVars>
      </dgm:prSet>
      <dgm:spPr/>
    </dgm:pt>
    <dgm:pt modelId="{37D4F368-7A1A-994F-96A7-3968C8B8AB11}" type="pres">
      <dgm:prSet presAssocID="{A34195A7-FC3E-E348-A100-304C270FB0DA}" presName="rootConnector1" presStyleLbl="node1" presStyleIdx="0" presStyleCnt="0"/>
      <dgm:spPr/>
    </dgm:pt>
    <dgm:pt modelId="{592539AD-C516-5248-A140-4F76AF915457}" type="pres">
      <dgm:prSet presAssocID="{A34195A7-FC3E-E348-A100-304C270FB0DA}" presName="hierChild2" presStyleCnt="0"/>
      <dgm:spPr/>
    </dgm:pt>
    <dgm:pt modelId="{9A3294AA-66DA-2646-B76E-EF4E8A432C28}" type="pres">
      <dgm:prSet presAssocID="{1E791FC9-314F-2649-9D3C-09DDF5BF7AD4}" presName="Name35" presStyleLbl="parChTrans1D2" presStyleIdx="0" presStyleCnt="3"/>
      <dgm:spPr/>
    </dgm:pt>
    <dgm:pt modelId="{9EFA1918-8F5A-4443-83B8-9919DE4FC210}" type="pres">
      <dgm:prSet presAssocID="{C19F05D8-13C3-3F4E-BFD4-16C01A3FE872}" presName="hierRoot2" presStyleCnt="0">
        <dgm:presLayoutVars>
          <dgm:hierBranch/>
        </dgm:presLayoutVars>
      </dgm:prSet>
      <dgm:spPr/>
    </dgm:pt>
    <dgm:pt modelId="{6E4828A4-CA7A-A141-98A3-0C5956ABA44A}" type="pres">
      <dgm:prSet presAssocID="{C19F05D8-13C3-3F4E-BFD4-16C01A3FE872}" presName="rootComposite" presStyleCnt="0"/>
      <dgm:spPr/>
    </dgm:pt>
    <dgm:pt modelId="{C83ABAF2-8D8E-354B-8044-1407BFA66273}" type="pres">
      <dgm:prSet presAssocID="{C19F05D8-13C3-3F4E-BFD4-16C01A3FE872}" presName="rootText" presStyleLbl="node2" presStyleIdx="0" presStyleCnt="3" custScaleX="100369" custScaleY="126932">
        <dgm:presLayoutVars>
          <dgm:chPref val="3"/>
        </dgm:presLayoutVars>
      </dgm:prSet>
      <dgm:spPr/>
    </dgm:pt>
    <dgm:pt modelId="{5DEF9DF0-3450-D642-91E8-5301122B848E}" type="pres">
      <dgm:prSet presAssocID="{C19F05D8-13C3-3F4E-BFD4-16C01A3FE872}" presName="rootConnector" presStyleLbl="node2" presStyleIdx="0" presStyleCnt="3"/>
      <dgm:spPr/>
    </dgm:pt>
    <dgm:pt modelId="{863188EE-D1D3-D143-8DA3-387B582F6870}" type="pres">
      <dgm:prSet presAssocID="{C19F05D8-13C3-3F4E-BFD4-16C01A3FE872}" presName="hierChild4" presStyleCnt="0"/>
      <dgm:spPr/>
    </dgm:pt>
    <dgm:pt modelId="{27919CF9-B6CE-7D4D-9230-FC1988DCD1EB}" type="pres">
      <dgm:prSet presAssocID="{5091D2C5-D48E-0340-8C22-3FD5958BB231}" presName="Name35" presStyleLbl="parChTrans1D3" presStyleIdx="0" presStyleCnt="3"/>
      <dgm:spPr/>
    </dgm:pt>
    <dgm:pt modelId="{49BF8231-817A-B049-81D8-0DD4228FEDA4}" type="pres">
      <dgm:prSet presAssocID="{2EF7CB5F-130B-CB46-914C-E4AAF8009D56}" presName="hierRoot2" presStyleCnt="0">
        <dgm:presLayoutVars>
          <dgm:hierBranch/>
        </dgm:presLayoutVars>
      </dgm:prSet>
      <dgm:spPr/>
    </dgm:pt>
    <dgm:pt modelId="{6F5E167A-6A52-1A46-BFC8-AB159897549E}" type="pres">
      <dgm:prSet presAssocID="{2EF7CB5F-130B-CB46-914C-E4AAF8009D56}" presName="rootComposite" presStyleCnt="0"/>
      <dgm:spPr/>
    </dgm:pt>
    <dgm:pt modelId="{FB9C3B58-598B-D245-B29D-F5A726EEC954}" type="pres">
      <dgm:prSet presAssocID="{2EF7CB5F-130B-CB46-914C-E4AAF8009D56}" presName="rootText" presStyleLbl="node3" presStyleIdx="0" presStyleCnt="3" custScaleX="114326" custScaleY="165909">
        <dgm:presLayoutVars>
          <dgm:chPref val="3"/>
        </dgm:presLayoutVars>
      </dgm:prSet>
      <dgm:spPr/>
    </dgm:pt>
    <dgm:pt modelId="{C4543C85-51CC-8447-8226-4813758C733D}" type="pres">
      <dgm:prSet presAssocID="{2EF7CB5F-130B-CB46-914C-E4AAF8009D56}" presName="rootConnector" presStyleLbl="node3" presStyleIdx="0" presStyleCnt="3"/>
      <dgm:spPr/>
    </dgm:pt>
    <dgm:pt modelId="{0B584EBC-0571-DE4E-BC55-0F1D702BD908}" type="pres">
      <dgm:prSet presAssocID="{2EF7CB5F-130B-CB46-914C-E4AAF8009D56}" presName="hierChild4" presStyleCnt="0"/>
      <dgm:spPr/>
    </dgm:pt>
    <dgm:pt modelId="{979D0B09-DE5D-8F4F-9547-EE457EDB9255}" type="pres">
      <dgm:prSet presAssocID="{8A3B04AF-B1F4-D643-8367-24CA470E0A3E}" presName="Name35" presStyleLbl="parChTrans1D4" presStyleIdx="0" presStyleCnt="2"/>
      <dgm:spPr/>
    </dgm:pt>
    <dgm:pt modelId="{BA9DF569-A3F0-7649-9F07-596615D3E311}" type="pres">
      <dgm:prSet presAssocID="{FDD445C5-9470-2645-89D6-8E7B97B999C9}" presName="hierRoot2" presStyleCnt="0">
        <dgm:presLayoutVars>
          <dgm:hierBranch/>
        </dgm:presLayoutVars>
      </dgm:prSet>
      <dgm:spPr/>
    </dgm:pt>
    <dgm:pt modelId="{9DB68893-22D2-FC45-A399-383C1A52ED4C}" type="pres">
      <dgm:prSet presAssocID="{FDD445C5-9470-2645-89D6-8E7B97B999C9}" presName="rootComposite" presStyleCnt="0"/>
      <dgm:spPr/>
    </dgm:pt>
    <dgm:pt modelId="{94166464-4DCD-B54C-BF1B-1F6CC07FC970}" type="pres">
      <dgm:prSet presAssocID="{FDD445C5-9470-2645-89D6-8E7B97B999C9}" presName="rootText" presStyleLbl="node4" presStyleIdx="0" presStyleCnt="2" custScaleX="94493" custScaleY="128188">
        <dgm:presLayoutVars>
          <dgm:chPref val="3"/>
        </dgm:presLayoutVars>
      </dgm:prSet>
      <dgm:spPr/>
    </dgm:pt>
    <dgm:pt modelId="{1A749738-220F-1F4D-A7E1-66ED43E65EAD}" type="pres">
      <dgm:prSet presAssocID="{FDD445C5-9470-2645-89D6-8E7B97B999C9}" presName="rootConnector" presStyleLbl="node4" presStyleIdx="0" presStyleCnt="2"/>
      <dgm:spPr/>
    </dgm:pt>
    <dgm:pt modelId="{E724640B-6EC6-3644-99AA-802EAAC70736}" type="pres">
      <dgm:prSet presAssocID="{FDD445C5-9470-2645-89D6-8E7B97B999C9}" presName="hierChild4" presStyleCnt="0"/>
      <dgm:spPr/>
    </dgm:pt>
    <dgm:pt modelId="{4C52AF5C-7ED8-6848-A713-93EE5866EBE1}" type="pres">
      <dgm:prSet presAssocID="{FDD445C5-9470-2645-89D6-8E7B97B999C9}" presName="hierChild5" presStyleCnt="0"/>
      <dgm:spPr/>
    </dgm:pt>
    <dgm:pt modelId="{B04C1F16-A09D-374B-9E42-7AF985120A3C}" type="pres">
      <dgm:prSet presAssocID="{97971D6B-1900-B944-9AAA-84D73CAE53C2}" presName="Name35" presStyleLbl="parChTrans1D4" presStyleIdx="1" presStyleCnt="2"/>
      <dgm:spPr/>
    </dgm:pt>
    <dgm:pt modelId="{99D75D7F-CF50-524C-9CED-61CA0B1B112F}" type="pres">
      <dgm:prSet presAssocID="{67F259FC-0113-2142-94AC-44A6635AB79A}" presName="hierRoot2" presStyleCnt="0">
        <dgm:presLayoutVars>
          <dgm:hierBranch val="init"/>
        </dgm:presLayoutVars>
      </dgm:prSet>
      <dgm:spPr/>
    </dgm:pt>
    <dgm:pt modelId="{FE159304-A49F-3A44-89C3-249B1B8D7C57}" type="pres">
      <dgm:prSet presAssocID="{67F259FC-0113-2142-94AC-44A6635AB79A}" presName="rootComposite" presStyleCnt="0"/>
      <dgm:spPr/>
    </dgm:pt>
    <dgm:pt modelId="{983B5D68-8BB2-0D49-B527-1A61732F0BBE}" type="pres">
      <dgm:prSet presAssocID="{67F259FC-0113-2142-94AC-44A6635AB79A}" presName="rootText" presStyleLbl="node4" presStyleIdx="1" presStyleCnt="2" custScaleX="94493" custScaleY="128188">
        <dgm:presLayoutVars>
          <dgm:chPref val="3"/>
        </dgm:presLayoutVars>
      </dgm:prSet>
      <dgm:spPr/>
    </dgm:pt>
    <dgm:pt modelId="{F8864DE0-9C7C-E44F-87DA-3749B4D760CD}" type="pres">
      <dgm:prSet presAssocID="{67F259FC-0113-2142-94AC-44A6635AB79A}" presName="rootConnector" presStyleLbl="node4" presStyleIdx="1" presStyleCnt="2"/>
      <dgm:spPr/>
    </dgm:pt>
    <dgm:pt modelId="{2261A6C0-6F3F-1C4C-91E8-FF4A1794B019}" type="pres">
      <dgm:prSet presAssocID="{67F259FC-0113-2142-94AC-44A6635AB79A}" presName="hierChild4" presStyleCnt="0"/>
      <dgm:spPr/>
    </dgm:pt>
    <dgm:pt modelId="{AE675B12-62D6-C74E-B48E-11B19DBCBB71}" type="pres">
      <dgm:prSet presAssocID="{67F259FC-0113-2142-94AC-44A6635AB79A}" presName="hierChild5" presStyleCnt="0"/>
      <dgm:spPr/>
    </dgm:pt>
    <dgm:pt modelId="{C8C1E126-D970-D747-8557-5DBCAD080E75}" type="pres">
      <dgm:prSet presAssocID="{2EF7CB5F-130B-CB46-914C-E4AAF8009D56}" presName="hierChild5" presStyleCnt="0"/>
      <dgm:spPr/>
    </dgm:pt>
    <dgm:pt modelId="{B5DB9231-983C-DC42-939F-5BE0DD9411E1}" type="pres">
      <dgm:prSet presAssocID="{22B2FD53-86B1-6943-90DE-2DCA4710C2AE}" presName="Name35" presStyleLbl="parChTrans1D3" presStyleIdx="1" presStyleCnt="3"/>
      <dgm:spPr/>
    </dgm:pt>
    <dgm:pt modelId="{71CD1E6F-32AD-6C46-8627-C0F7CCD8D7A8}" type="pres">
      <dgm:prSet presAssocID="{61A5C46C-9D2D-7E4E-B7F4-F3340AB14049}" presName="hierRoot2" presStyleCnt="0">
        <dgm:presLayoutVars>
          <dgm:hierBranch/>
        </dgm:presLayoutVars>
      </dgm:prSet>
      <dgm:spPr/>
    </dgm:pt>
    <dgm:pt modelId="{F74B1B5D-46CC-B24A-B1F3-F355551233F5}" type="pres">
      <dgm:prSet presAssocID="{61A5C46C-9D2D-7E4E-B7F4-F3340AB14049}" presName="rootComposite" presStyleCnt="0"/>
      <dgm:spPr/>
    </dgm:pt>
    <dgm:pt modelId="{BDCA5C9E-8EF3-824E-9D2F-F838F96B4742}" type="pres">
      <dgm:prSet presAssocID="{61A5C46C-9D2D-7E4E-B7F4-F3340AB14049}" presName="rootText" presStyleLbl="node3" presStyleIdx="1" presStyleCnt="3" custScaleX="114326" custScaleY="165909">
        <dgm:presLayoutVars>
          <dgm:chPref val="3"/>
        </dgm:presLayoutVars>
      </dgm:prSet>
      <dgm:spPr/>
    </dgm:pt>
    <dgm:pt modelId="{141A7FD3-9306-D845-B2CB-7648769746B8}" type="pres">
      <dgm:prSet presAssocID="{61A5C46C-9D2D-7E4E-B7F4-F3340AB14049}" presName="rootConnector" presStyleLbl="node3" presStyleIdx="1" presStyleCnt="3"/>
      <dgm:spPr/>
    </dgm:pt>
    <dgm:pt modelId="{51980884-F53A-D948-A4E8-DC9125535E1E}" type="pres">
      <dgm:prSet presAssocID="{61A5C46C-9D2D-7E4E-B7F4-F3340AB14049}" presName="hierChild4" presStyleCnt="0"/>
      <dgm:spPr/>
    </dgm:pt>
    <dgm:pt modelId="{2218A1F7-9E04-E540-AF0A-EBACD6CCA4D1}" type="pres">
      <dgm:prSet presAssocID="{61A5C46C-9D2D-7E4E-B7F4-F3340AB14049}" presName="hierChild5" presStyleCnt="0"/>
      <dgm:spPr/>
    </dgm:pt>
    <dgm:pt modelId="{5BC372AB-B74C-7E4C-8F49-F0D490B8F07A}" type="pres">
      <dgm:prSet presAssocID="{E079B541-23AE-6547-B0C5-6BE5E97E7580}" presName="Name35" presStyleLbl="parChTrans1D3" presStyleIdx="2" presStyleCnt="3"/>
      <dgm:spPr/>
    </dgm:pt>
    <dgm:pt modelId="{A954B9F5-0F1D-7B41-AC54-49AF9872C81B}" type="pres">
      <dgm:prSet presAssocID="{916DB513-6AC2-2B45-A5BC-7F1AB462F03E}" presName="hierRoot2" presStyleCnt="0">
        <dgm:presLayoutVars>
          <dgm:hierBranch/>
        </dgm:presLayoutVars>
      </dgm:prSet>
      <dgm:spPr/>
    </dgm:pt>
    <dgm:pt modelId="{41BEB5B0-1DCF-2047-B031-3F38898FE16E}" type="pres">
      <dgm:prSet presAssocID="{916DB513-6AC2-2B45-A5BC-7F1AB462F03E}" presName="rootComposite" presStyleCnt="0"/>
      <dgm:spPr/>
    </dgm:pt>
    <dgm:pt modelId="{6A411B99-7B85-FF45-9327-D028884B4E8D}" type="pres">
      <dgm:prSet presAssocID="{916DB513-6AC2-2B45-A5BC-7F1AB462F03E}" presName="rootText" presStyleLbl="node3" presStyleIdx="2" presStyleCnt="3" custScaleX="114326" custScaleY="165909">
        <dgm:presLayoutVars>
          <dgm:chPref val="3"/>
        </dgm:presLayoutVars>
      </dgm:prSet>
      <dgm:spPr/>
    </dgm:pt>
    <dgm:pt modelId="{5EBD9530-2E1A-EA44-980A-B8EBB30D1A6B}" type="pres">
      <dgm:prSet presAssocID="{916DB513-6AC2-2B45-A5BC-7F1AB462F03E}" presName="rootConnector" presStyleLbl="node3" presStyleIdx="2" presStyleCnt="3"/>
      <dgm:spPr/>
    </dgm:pt>
    <dgm:pt modelId="{B1488DAA-76A4-244F-9334-0516CC7EB41E}" type="pres">
      <dgm:prSet presAssocID="{916DB513-6AC2-2B45-A5BC-7F1AB462F03E}" presName="hierChild4" presStyleCnt="0"/>
      <dgm:spPr/>
    </dgm:pt>
    <dgm:pt modelId="{43F0DDFA-440B-634E-95F0-988CB738747C}" type="pres">
      <dgm:prSet presAssocID="{916DB513-6AC2-2B45-A5BC-7F1AB462F03E}" presName="hierChild5" presStyleCnt="0"/>
      <dgm:spPr/>
    </dgm:pt>
    <dgm:pt modelId="{4FDAC942-5610-A74E-85F6-AF3B36F77E1A}" type="pres">
      <dgm:prSet presAssocID="{C19F05D8-13C3-3F4E-BFD4-16C01A3FE872}" presName="hierChild5" presStyleCnt="0"/>
      <dgm:spPr/>
    </dgm:pt>
    <dgm:pt modelId="{A5E34956-2EB1-1445-A29D-860864481328}" type="pres">
      <dgm:prSet presAssocID="{EF1BFA49-049F-3B46-818D-4D1ED8FCFE2C}" presName="Name35" presStyleLbl="parChTrans1D2" presStyleIdx="1" presStyleCnt="3"/>
      <dgm:spPr/>
    </dgm:pt>
    <dgm:pt modelId="{C0CFCF43-130C-CB43-BA38-F48D2B30A63E}" type="pres">
      <dgm:prSet presAssocID="{D67C7094-7850-8243-96D2-BFB0CCA8E1E4}" presName="hierRoot2" presStyleCnt="0">
        <dgm:presLayoutVars>
          <dgm:hierBranch val="init"/>
        </dgm:presLayoutVars>
      </dgm:prSet>
      <dgm:spPr/>
    </dgm:pt>
    <dgm:pt modelId="{2E01C69C-2101-4047-9179-CDE88BBD827E}" type="pres">
      <dgm:prSet presAssocID="{D67C7094-7850-8243-96D2-BFB0CCA8E1E4}" presName="rootComposite" presStyleCnt="0"/>
      <dgm:spPr/>
    </dgm:pt>
    <dgm:pt modelId="{0082461F-6AD8-CA46-BE73-30533844AFF8}" type="pres">
      <dgm:prSet presAssocID="{D67C7094-7850-8243-96D2-BFB0CCA8E1E4}" presName="rootText" presStyleLbl="node2" presStyleIdx="1" presStyleCnt="3" custScaleX="107915" custScaleY="126932">
        <dgm:presLayoutVars>
          <dgm:chPref val="3"/>
        </dgm:presLayoutVars>
      </dgm:prSet>
      <dgm:spPr/>
    </dgm:pt>
    <dgm:pt modelId="{2A61260C-0B3A-7E47-9F42-BF03357FF966}" type="pres">
      <dgm:prSet presAssocID="{D67C7094-7850-8243-96D2-BFB0CCA8E1E4}" presName="rootConnector" presStyleLbl="node2" presStyleIdx="1" presStyleCnt="3"/>
      <dgm:spPr/>
    </dgm:pt>
    <dgm:pt modelId="{CFE7608B-9733-4F4F-99DC-80E49B2467C4}" type="pres">
      <dgm:prSet presAssocID="{D67C7094-7850-8243-96D2-BFB0CCA8E1E4}" presName="hierChild4" presStyleCnt="0"/>
      <dgm:spPr/>
    </dgm:pt>
    <dgm:pt modelId="{4B50E68F-81C2-6C4B-BCE1-2F759EC61F80}" type="pres">
      <dgm:prSet presAssocID="{D67C7094-7850-8243-96D2-BFB0CCA8E1E4}" presName="hierChild5" presStyleCnt="0"/>
      <dgm:spPr/>
    </dgm:pt>
    <dgm:pt modelId="{FCADAA68-F242-5C4A-9473-7A9F333C830B}" type="pres">
      <dgm:prSet presAssocID="{4EA97F6A-7053-5841-8CBD-09854139C347}" presName="Name35" presStyleLbl="parChTrans1D2" presStyleIdx="2" presStyleCnt="3"/>
      <dgm:spPr/>
    </dgm:pt>
    <dgm:pt modelId="{89C11363-E9E9-2946-B7EF-1ABAEE7F7D02}" type="pres">
      <dgm:prSet presAssocID="{38AD81CF-F038-1040-AB88-E7471F99F77C}" presName="hierRoot2" presStyleCnt="0">
        <dgm:presLayoutVars>
          <dgm:hierBranch val="init"/>
        </dgm:presLayoutVars>
      </dgm:prSet>
      <dgm:spPr/>
    </dgm:pt>
    <dgm:pt modelId="{DD204A67-EA20-6142-A639-6FACD9D581A8}" type="pres">
      <dgm:prSet presAssocID="{38AD81CF-F038-1040-AB88-E7471F99F77C}" presName="rootComposite" presStyleCnt="0"/>
      <dgm:spPr/>
    </dgm:pt>
    <dgm:pt modelId="{B7CF617D-53B3-FD49-AA0E-AA3EB0807BAE}" type="pres">
      <dgm:prSet presAssocID="{38AD81CF-F038-1040-AB88-E7471F99F77C}" presName="rootText" presStyleLbl="node2" presStyleIdx="2" presStyleCnt="3" custScaleX="100036" custScaleY="126932">
        <dgm:presLayoutVars>
          <dgm:chPref val="3"/>
        </dgm:presLayoutVars>
      </dgm:prSet>
      <dgm:spPr/>
    </dgm:pt>
    <dgm:pt modelId="{C7F96602-8288-AE45-BD51-88A6F21D8EBB}" type="pres">
      <dgm:prSet presAssocID="{38AD81CF-F038-1040-AB88-E7471F99F77C}" presName="rootConnector" presStyleLbl="node2" presStyleIdx="2" presStyleCnt="3"/>
      <dgm:spPr/>
    </dgm:pt>
    <dgm:pt modelId="{F48D6383-2DF8-7843-A046-0BA284C5DE58}" type="pres">
      <dgm:prSet presAssocID="{38AD81CF-F038-1040-AB88-E7471F99F77C}" presName="hierChild4" presStyleCnt="0"/>
      <dgm:spPr/>
    </dgm:pt>
    <dgm:pt modelId="{EE72A906-1DFC-7D41-B5C3-3226641C2B1E}" type="pres">
      <dgm:prSet presAssocID="{38AD81CF-F038-1040-AB88-E7471F99F77C}" presName="hierChild5" presStyleCnt="0"/>
      <dgm:spPr/>
    </dgm:pt>
    <dgm:pt modelId="{315660BA-4270-2547-A8F9-A2E4BEB929A5}" type="pres">
      <dgm:prSet presAssocID="{A34195A7-FC3E-E348-A100-304C270FB0DA}" presName="hierChild3" presStyleCnt="0"/>
      <dgm:spPr/>
    </dgm:pt>
  </dgm:ptLst>
  <dgm:cxnLst>
    <dgm:cxn modelId="{3C686C01-262A-5146-A25E-AD5D09276FDA}" srcId="{A34195A7-FC3E-E348-A100-304C270FB0DA}" destId="{D67C7094-7850-8243-96D2-BFB0CCA8E1E4}" srcOrd="1" destOrd="0" parTransId="{EF1BFA49-049F-3B46-818D-4D1ED8FCFE2C}" sibTransId="{F0A8344C-2591-A64E-AC6B-41F0A1E70AB4}"/>
    <dgm:cxn modelId="{96065706-6AC3-D841-8357-84661F264993}" type="presOf" srcId="{D67C7094-7850-8243-96D2-BFB0CCA8E1E4}" destId="{0082461F-6AD8-CA46-BE73-30533844AFF8}" srcOrd="0" destOrd="0" presId="urn:microsoft.com/office/officeart/2005/8/layout/orgChart1"/>
    <dgm:cxn modelId="{16F2AB06-AB29-304F-B94D-3291A64C5ABC}" type="presOf" srcId="{4EA97F6A-7053-5841-8CBD-09854139C347}" destId="{FCADAA68-F242-5C4A-9473-7A9F333C830B}" srcOrd="0" destOrd="0" presId="urn:microsoft.com/office/officeart/2005/8/layout/orgChart1"/>
    <dgm:cxn modelId="{A4EA840F-6C90-3640-9CEB-F3CDADBBB92A}" type="presOf" srcId="{22B2FD53-86B1-6943-90DE-2DCA4710C2AE}" destId="{B5DB9231-983C-DC42-939F-5BE0DD9411E1}" srcOrd="0" destOrd="0" presId="urn:microsoft.com/office/officeart/2005/8/layout/orgChart1"/>
    <dgm:cxn modelId="{5918E51F-3DDC-CB41-90D9-51946C31A18F}" type="presOf" srcId="{916DB513-6AC2-2B45-A5BC-7F1AB462F03E}" destId="{6A411B99-7B85-FF45-9327-D028884B4E8D}" srcOrd="0" destOrd="0" presId="urn:microsoft.com/office/officeart/2005/8/layout/orgChart1"/>
    <dgm:cxn modelId="{52E61E25-56CD-1545-9ED9-185BECD15CEE}" type="presOf" srcId="{38AD81CF-F038-1040-AB88-E7471F99F77C}" destId="{C7F96602-8288-AE45-BD51-88A6F21D8EBB}" srcOrd="1" destOrd="0" presId="urn:microsoft.com/office/officeart/2005/8/layout/orgChart1"/>
    <dgm:cxn modelId="{C4EA152B-725F-0D46-9870-244918B401DF}" type="presOf" srcId="{38AD81CF-F038-1040-AB88-E7471F99F77C}" destId="{B7CF617D-53B3-FD49-AA0E-AA3EB0807BAE}" srcOrd="0" destOrd="0" presId="urn:microsoft.com/office/officeart/2005/8/layout/orgChart1"/>
    <dgm:cxn modelId="{7F4F2732-CD6A-7348-AFCD-AB66B809A86B}" type="presOf" srcId="{E079B541-23AE-6547-B0C5-6BE5E97E7580}" destId="{5BC372AB-B74C-7E4C-8F49-F0D490B8F07A}" srcOrd="0" destOrd="0" presId="urn:microsoft.com/office/officeart/2005/8/layout/orgChart1"/>
    <dgm:cxn modelId="{C3959937-5143-C64E-8535-10AE7070D0DF}" srcId="{A34195A7-FC3E-E348-A100-304C270FB0DA}" destId="{C19F05D8-13C3-3F4E-BFD4-16C01A3FE872}" srcOrd="0" destOrd="0" parTransId="{1E791FC9-314F-2649-9D3C-09DDF5BF7AD4}" sibTransId="{001B3602-8783-1F45-898E-FAA72C8C2478}"/>
    <dgm:cxn modelId="{7289BB38-1BB2-AC48-8531-EEB934A2FABE}" type="presOf" srcId="{5091D2C5-D48E-0340-8C22-3FD5958BB231}" destId="{27919CF9-B6CE-7D4D-9230-FC1988DCD1EB}" srcOrd="0" destOrd="0" presId="urn:microsoft.com/office/officeart/2005/8/layout/orgChart1"/>
    <dgm:cxn modelId="{297FE843-026D-734D-9894-977E0E493723}" srcId="{2EF7CB5F-130B-CB46-914C-E4AAF8009D56}" destId="{67F259FC-0113-2142-94AC-44A6635AB79A}" srcOrd="1" destOrd="0" parTransId="{97971D6B-1900-B944-9AAA-84D73CAE53C2}" sibTransId="{86C9AE34-B204-214C-9136-5E5F068D1605}"/>
    <dgm:cxn modelId="{77DB1446-08B7-D341-826D-6E81FB700413}" type="presOf" srcId="{1E791FC9-314F-2649-9D3C-09DDF5BF7AD4}" destId="{9A3294AA-66DA-2646-B76E-EF4E8A432C28}" srcOrd="0" destOrd="0" presId="urn:microsoft.com/office/officeart/2005/8/layout/orgChart1"/>
    <dgm:cxn modelId="{BDE3D449-7D37-C841-AB02-77D0CDF9CFC7}" type="presOf" srcId="{2EF7CB5F-130B-CB46-914C-E4AAF8009D56}" destId="{C4543C85-51CC-8447-8226-4813758C733D}" srcOrd="1" destOrd="0" presId="urn:microsoft.com/office/officeart/2005/8/layout/orgChart1"/>
    <dgm:cxn modelId="{0571F94E-64B6-DB4F-992F-7F6445D5B711}" srcId="{19DD3A76-7468-3040-9844-7B230A993803}" destId="{A34195A7-FC3E-E348-A100-304C270FB0DA}" srcOrd="0" destOrd="0" parTransId="{CCF8D461-7380-5146-964E-3882224B466A}" sibTransId="{5FEB777C-C9FA-AF42-BFD1-3DD6D1DD0375}"/>
    <dgm:cxn modelId="{E5AD7354-9314-BD4E-9C60-A1953E26A4FC}" type="presOf" srcId="{61A5C46C-9D2D-7E4E-B7F4-F3340AB14049}" destId="{BDCA5C9E-8EF3-824E-9D2F-F838F96B4742}" srcOrd="0" destOrd="0" presId="urn:microsoft.com/office/officeart/2005/8/layout/orgChart1"/>
    <dgm:cxn modelId="{25E2845F-E977-A84A-BDDA-C1BC291168BD}" type="presOf" srcId="{EF1BFA49-049F-3B46-818D-4D1ED8FCFE2C}" destId="{A5E34956-2EB1-1445-A29D-860864481328}" srcOrd="0" destOrd="0" presId="urn:microsoft.com/office/officeart/2005/8/layout/orgChart1"/>
    <dgm:cxn modelId="{9E37DB62-64EF-384E-9217-D42C1A7FDF10}" type="presOf" srcId="{FDD445C5-9470-2645-89D6-8E7B97B999C9}" destId="{94166464-4DCD-B54C-BF1B-1F6CC07FC970}" srcOrd="0" destOrd="0" presId="urn:microsoft.com/office/officeart/2005/8/layout/orgChart1"/>
    <dgm:cxn modelId="{D2BD6268-3DCF-204B-BD77-057B4BD607A6}" type="presOf" srcId="{8A3B04AF-B1F4-D643-8367-24CA470E0A3E}" destId="{979D0B09-DE5D-8F4F-9547-EE457EDB9255}" srcOrd="0" destOrd="0" presId="urn:microsoft.com/office/officeart/2005/8/layout/orgChart1"/>
    <dgm:cxn modelId="{A60A1D76-5FB8-F149-A01D-0F3A94ABF072}" type="presOf" srcId="{916DB513-6AC2-2B45-A5BC-7F1AB462F03E}" destId="{5EBD9530-2E1A-EA44-980A-B8EBB30D1A6B}" srcOrd="1" destOrd="0" presId="urn:microsoft.com/office/officeart/2005/8/layout/orgChart1"/>
    <dgm:cxn modelId="{16435976-2844-2144-89E7-DE0031958B13}" type="presOf" srcId="{FDD445C5-9470-2645-89D6-8E7B97B999C9}" destId="{1A749738-220F-1F4D-A7E1-66ED43E65EAD}" srcOrd="1" destOrd="0" presId="urn:microsoft.com/office/officeart/2005/8/layout/orgChart1"/>
    <dgm:cxn modelId="{C1C7057B-2D7D-DB43-83C5-D42B42CD1ECA}" type="presOf" srcId="{19DD3A76-7468-3040-9844-7B230A993803}" destId="{619349EC-4798-9444-A846-F097ED3950E1}" srcOrd="0" destOrd="0" presId="urn:microsoft.com/office/officeart/2005/8/layout/orgChart1"/>
    <dgm:cxn modelId="{9C291885-1DA7-EF43-95FB-DC45BE5A0C85}" type="presOf" srcId="{C19F05D8-13C3-3F4E-BFD4-16C01A3FE872}" destId="{5DEF9DF0-3450-D642-91E8-5301122B848E}" srcOrd="1" destOrd="0" presId="urn:microsoft.com/office/officeart/2005/8/layout/orgChart1"/>
    <dgm:cxn modelId="{7E92908D-0458-5D48-8CB5-BD4A502EC057}" type="presOf" srcId="{61A5C46C-9D2D-7E4E-B7F4-F3340AB14049}" destId="{141A7FD3-9306-D845-B2CB-7648769746B8}" srcOrd="1" destOrd="0" presId="urn:microsoft.com/office/officeart/2005/8/layout/orgChart1"/>
    <dgm:cxn modelId="{ECB9A09A-38FD-EA45-91DD-81058A813E44}" type="presOf" srcId="{A34195A7-FC3E-E348-A100-304C270FB0DA}" destId="{773FA9B0-C4C0-B241-95AD-D916F9052F9E}" srcOrd="0" destOrd="0" presId="urn:microsoft.com/office/officeart/2005/8/layout/orgChart1"/>
    <dgm:cxn modelId="{A85705A0-DF4D-504A-9685-570F55E9AE36}" type="presOf" srcId="{A34195A7-FC3E-E348-A100-304C270FB0DA}" destId="{37D4F368-7A1A-994F-96A7-3968C8B8AB11}" srcOrd="1" destOrd="0" presId="urn:microsoft.com/office/officeart/2005/8/layout/orgChart1"/>
    <dgm:cxn modelId="{5E2EC4A6-CE07-4C41-9F7B-04BBBCB06AF3}" srcId="{C19F05D8-13C3-3F4E-BFD4-16C01A3FE872}" destId="{61A5C46C-9D2D-7E4E-B7F4-F3340AB14049}" srcOrd="1" destOrd="0" parTransId="{22B2FD53-86B1-6943-90DE-2DCA4710C2AE}" sibTransId="{EC699C8F-D4B9-524E-B0C0-C337FCDF1AEC}"/>
    <dgm:cxn modelId="{999A1CA9-4B3C-FC43-B6F7-12B468C4CA11}" type="presOf" srcId="{67F259FC-0113-2142-94AC-44A6635AB79A}" destId="{F8864DE0-9C7C-E44F-87DA-3749B4D760CD}" srcOrd="1" destOrd="0" presId="urn:microsoft.com/office/officeart/2005/8/layout/orgChart1"/>
    <dgm:cxn modelId="{F2B1E6A9-FB22-C848-A203-E5001EBC6583}" type="presOf" srcId="{97971D6B-1900-B944-9AAA-84D73CAE53C2}" destId="{B04C1F16-A09D-374B-9E42-7AF985120A3C}" srcOrd="0" destOrd="0" presId="urn:microsoft.com/office/officeart/2005/8/layout/orgChart1"/>
    <dgm:cxn modelId="{353C45B8-D8AA-4849-9F5F-1CCAD46FAEF1}" type="presOf" srcId="{67F259FC-0113-2142-94AC-44A6635AB79A}" destId="{983B5D68-8BB2-0D49-B527-1A61732F0BBE}" srcOrd="0" destOrd="0" presId="urn:microsoft.com/office/officeart/2005/8/layout/orgChart1"/>
    <dgm:cxn modelId="{DABDE0B8-9451-D648-AB40-F66EA4C1AE3A}" srcId="{2EF7CB5F-130B-CB46-914C-E4AAF8009D56}" destId="{FDD445C5-9470-2645-89D6-8E7B97B999C9}" srcOrd="0" destOrd="0" parTransId="{8A3B04AF-B1F4-D643-8367-24CA470E0A3E}" sibTransId="{5C42BA00-A2E0-F040-8AFB-2E940DC0CB0B}"/>
    <dgm:cxn modelId="{4F911ABC-3252-F845-8DC5-8B40BF08A985}" srcId="{A34195A7-FC3E-E348-A100-304C270FB0DA}" destId="{38AD81CF-F038-1040-AB88-E7471F99F77C}" srcOrd="2" destOrd="0" parTransId="{4EA97F6A-7053-5841-8CBD-09854139C347}" sibTransId="{630DF37E-E7E1-9A4A-9DE8-2A33CD746AC2}"/>
    <dgm:cxn modelId="{048BD2BE-5889-0141-8E44-85EEF79025E1}" srcId="{C19F05D8-13C3-3F4E-BFD4-16C01A3FE872}" destId="{2EF7CB5F-130B-CB46-914C-E4AAF8009D56}" srcOrd="0" destOrd="0" parTransId="{5091D2C5-D48E-0340-8C22-3FD5958BB231}" sibTransId="{9371C640-BC84-464D-9654-60C3A2C7580D}"/>
    <dgm:cxn modelId="{9B1094CB-1597-0846-AD61-666628AA7BD0}" type="presOf" srcId="{C19F05D8-13C3-3F4E-BFD4-16C01A3FE872}" destId="{C83ABAF2-8D8E-354B-8044-1407BFA66273}" srcOrd="0" destOrd="0" presId="urn:microsoft.com/office/officeart/2005/8/layout/orgChart1"/>
    <dgm:cxn modelId="{FFC9BDD5-31F3-AB48-945D-B635E532DCCC}" srcId="{C19F05D8-13C3-3F4E-BFD4-16C01A3FE872}" destId="{916DB513-6AC2-2B45-A5BC-7F1AB462F03E}" srcOrd="2" destOrd="0" parTransId="{E079B541-23AE-6547-B0C5-6BE5E97E7580}" sibTransId="{C402895C-9166-614E-913F-8EF8C7ACD01D}"/>
    <dgm:cxn modelId="{D45A7FF0-91C9-C748-B937-F8DD9D2B7644}" type="presOf" srcId="{D67C7094-7850-8243-96D2-BFB0CCA8E1E4}" destId="{2A61260C-0B3A-7E47-9F42-BF03357FF966}" srcOrd="1" destOrd="0" presId="urn:microsoft.com/office/officeart/2005/8/layout/orgChart1"/>
    <dgm:cxn modelId="{7FE3E0FE-517C-0E41-A9DF-246DBDCE57AD}" type="presOf" srcId="{2EF7CB5F-130B-CB46-914C-E4AAF8009D56}" destId="{FB9C3B58-598B-D245-B29D-F5A726EEC954}" srcOrd="0" destOrd="0" presId="urn:microsoft.com/office/officeart/2005/8/layout/orgChart1"/>
    <dgm:cxn modelId="{7CFA1FCC-499F-3F4D-A797-658F03AF6C7C}" type="presParOf" srcId="{619349EC-4798-9444-A846-F097ED3950E1}" destId="{8C92BD17-083E-4444-A334-185661579A21}" srcOrd="0" destOrd="0" presId="urn:microsoft.com/office/officeart/2005/8/layout/orgChart1"/>
    <dgm:cxn modelId="{9FA457BE-4958-2942-9293-2F4A9F8EC1A7}" type="presParOf" srcId="{8C92BD17-083E-4444-A334-185661579A21}" destId="{C3E64741-237D-A142-A4F1-C2218D482174}" srcOrd="0" destOrd="0" presId="urn:microsoft.com/office/officeart/2005/8/layout/orgChart1"/>
    <dgm:cxn modelId="{EDC9743F-072B-424C-BC18-721E911EC2C4}" type="presParOf" srcId="{C3E64741-237D-A142-A4F1-C2218D482174}" destId="{773FA9B0-C4C0-B241-95AD-D916F9052F9E}" srcOrd="0" destOrd="0" presId="urn:microsoft.com/office/officeart/2005/8/layout/orgChart1"/>
    <dgm:cxn modelId="{AE0CFF8A-B341-874C-A577-E42C7DE73587}" type="presParOf" srcId="{C3E64741-237D-A142-A4F1-C2218D482174}" destId="{37D4F368-7A1A-994F-96A7-3968C8B8AB11}" srcOrd="1" destOrd="0" presId="urn:microsoft.com/office/officeart/2005/8/layout/orgChart1"/>
    <dgm:cxn modelId="{02B6F7F2-FA28-5347-AD84-FC322B5D87A8}" type="presParOf" srcId="{8C92BD17-083E-4444-A334-185661579A21}" destId="{592539AD-C516-5248-A140-4F76AF915457}" srcOrd="1" destOrd="0" presId="urn:microsoft.com/office/officeart/2005/8/layout/orgChart1"/>
    <dgm:cxn modelId="{9D4C32D1-77D8-2C4C-98F6-8CF1E6DE5C73}" type="presParOf" srcId="{592539AD-C516-5248-A140-4F76AF915457}" destId="{9A3294AA-66DA-2646-B76E-EF4E8A432C28}" srcOrd="0" destOrd="0" presId="urn:microsoft.com/office/officeart/2005/8/layout/orgChart1"/>
    <dgm:cxn modelId="{A5DCDD42-FCA1-0243-AC1F-47A71622EC03}" type="presParOf" srcId="{592539AD-C516-5248-A140-4F76AF915457}" destId="{9EFA1918-8F5A-4443-83B8-9919DE4FC210}" srcOrd="1" destOrd="0" presId="urn:microsoft.com/office/officeart/2005/8/layout/orgChart1"/>
    <dgm:cxn modelId="{EC67F564-7AB5-7B4C-8164-D3656217EBFC}" type="presParOf" srcId="{9EFA1918-8F5A-4443-83B8-9919DE4FC210}" destId="{6E4828A4-CA7A-A141-98A3-0C5956ABA44A}" srcOrd="0" destOrd="0" presId="urn:microsoft.com/office/officeart/2005/8/layout/orgChart1"/>
    <dgm:cxn modelId="{7E78F4C9-94D3-994E-8705-4DC77C3DE4F0}" type="presParOf" srcId="{6E4828A4-CA7A-A141-98A3-0C5956ABA44A}" destId="{C83ABAF2-8D8E-354B-8044-1407BFA66273}" srcOrd="0" destOrd="0" presId="urn:microsoft.com/office/officeart/2005/8/layout/orgChart1"/>
    <dgm:cxn modelId="{B1448C50-2E7E-1B47-A359-D950C2E75258}" type="presParOf" srcId="{6E4828A4-CA7A-A141-98A3-0C5956ABA44A}" destId="{5DEF9DF0-3450-D642-91E8-5301122B848E}" srcOrd="1" destOrd="0" presId="urn:microsoft.com/office/officeart/2005/8/layout/orgChart1"/>
    <dgm:cxn modelId="{61602890-0EA5-8B46-B1BF-5F72068290AF}" type="presParOf" srcId="{9EFA1918-8F5A-4443-83B8-9919DE4FC210}" destId="{863188EE-D1D3-D143-8DA3-387B582F6870}" srcOrd="1" destOrd="0" presId="urn:microsoft.com/office/officeart/2005/8/layout/orgChart1"/>
    <dgm:cxn modelId="{4CCAD9C4-943C-8849-92CC-94848C4525C1}" type="presParOf" srcId="{863188EE-D1D3-D143-8DA3-387B582F6870}" destId="{27919CF9-B6CE-7D4D-9230-FC1988DCD1EB}" srcOrd="0" destOrd="0" presId="urn:microsoft.com/office/officeart/2005/8/layout/orgChart1"/>
    <dgm:cxn modelId="{13DDF0B4-871B-034B-AA56-95ED8AEE8419}" type="presParOf" srcId="{863188EE-D1D3-D143-8DA3-387B582F6870}" destId="{49BF8231-817A-B049-81D8-0DD4228FEDA4}" srcOrd="1" destOrd="0" presId="urn:microsoft.com/office/officeart/2005/8/layout/orgChart1"/>
    <dgm:cxn modelId="{00A2E550-8262-024E-AD6C-4A27F3B2AAAF}" type="presParOf" srcId="{49BF8231-817A-B049-81D8-0DD4228FEDA4}" destId="{6F5E167A-6A52-1A46-BFC8-AB159897549E}" srcOrd="0" destOrd="0" presId="urn:microsoft.com/office/officeart/2005/8/layout/orgChart1"/>
    <dgm:cxn modelId="{64C49621-B9FD-6044-A5C6-ECC4C6B10D65}" type="presParOf" srcId="{6F5E167A-6A52-1A46-BFC8-AB159897549E}" destId="{FB9C3B58-598B-D245-B29D-F5A726EEC954}" srcOrd="0" destOrd="0" presId="urn:microsoft.com/office/officeart/2005/8/layout/orgChart1"/>
    <dgm:cxn modelId="{3967D0DC-5549-304F-AAB5-EAD4B6E79CDD}" type="presParOf" srcId="{6F5E167A-6A52-1A46-BFC8-AB159897549E}" destId="{C4543C85-51CC-8447-8226-4813758C733D}" srcOrd="1" destOrd="0" presId="urn:microsoft.com/office/officeart/2005/8/layout/orgChart1"/>
    <dgm:cxn modelId="{4B186A5F-A5A1-8246-94EC-0CD15C7E7E39}" type="presParOf" srcId="{49BF8231-817A-B049-81D8-0DD4228FEDA4}" destId="{0B584EBC-0571-DE4E-BC55-0F1D702BD908}" srcOrd="1" destOrd="0" presId="urn:microsoft.com/office/officeart/2005/8/layout/orgChart1"/>
    <dgm:cxn modelId="{94E801B1-3F7B-7A45-A3AF-F7713E4E00A3}" type="presParOf" srcId="{0B584EBC-0571-DE4E-BC55-0F1D702BD908}" destId="{979D0B09-DE5D-8F4F-9547-EE457EDB9255}" srcOrd="0" destOrd="0" presId="urn:microsoft.com/office/officeart/2005/8/layout/orgChart1"/>
    <dgm:cxn modelId="{C1183E3F-DE1A-9A4C-ADED-7B40BAB2B330}" type="presParOf" srcId="{0B584EBC-0571-DE4E-BC55-0F1D702BD908}" destId="{BA9DF569-A3F0-7649-9F07-596615D3E311}" srcOrd="1" destOrd="0" presId="urn:microsoft.com/office/officeart/2005/8/layout/orgChart1"/>
    <dgm:cxn modelId="{FE8977CE-A6E6-F34C-8B4E-8BDBE3DDACAC}" type="presParOf" srcId="{BA9DF569-A3F0-7649-9F07-596615D3E311}" destId="{9DB68893-22D2-FC45-A399-383C1A52ED4C}" srcOrd="0" destOrd="0" presId="urn:microsoft.com/office/officeart/2005/8/layout/orgChart1"/>
    <dgm:cxn modelId="{F9B79661-F460-2B48-938F-EF750C4B5521}" type="presParOf" srcId="{9DB68893-22D2-FC45-A399-383C1A52ED4C}" destId="{94166464-4DCD-B54C-BF1B-1F6CC07FC970}" srcOrd="0" destOrd="0" presId="urn:microsoft.com/office/officeart/2005/8/layout/orgChart1"/>
    <dgm:cxn modelId="{BCC638D5-740E-F045-9BB8-1A64180ACB10}" type="presParOf" srcId="{9DB68893-22D2-FC45-A399-383C1A52ED4C}" destId="{1A749738-220F-1F4D-A7E1-66ED43E65EAD}" srcOrd="1" destOrd="0" presId="urn:microsoft.com/office/officeart/2005/8/layout/orgChart1"/>
    <dgm:cxn modelId="{0CB887BF-D4F3-BA4E-934C-907E59C7A050}" type="presParOf" srcId="{BA9DF569-A3F0-7649-9F07-596615D3E311}" destId="{E724640B-6EC6-3644-99AA-802EAAC70736}" srcOrd="1" destOrd="0" presId="urn:microsoft.com/office/officeart/2005/8/layout/orgChart1"/>
    <dgm:cxn modelId="{7042CBBA-9720-5D42-8479-CA051AE8AB11}" type="presParOf" srcId="{BA9DF569-A3F0-7649-9F07-596615D3E311}" destId="{4C52AF5C-7ED8-6848-A713-93EE5866EBE1}" srcOrd="2" destOrd="0" presId="urn:microsoft.com/office/officeart/2005/8/layout/orgChart1"/>
    <dgm:cxn modelId="{2C0D1F0F-CAA8-B14E-B509-EAD58904762A}" type="presParOf" srcId="{0B584EBC-0571-DE4E-BC55-0F1D702BD908}" destId="{B04C1F16-A09D-374B-9E42-7AF985120A3C}" srcOrd="2" destOrd="0" presId="urn:microsoft.com/office/officeart/2005/8/layout/orgChart1"/>
    <dgm:cxn modelId="{901B0161-6C96-2B44-AFC3-4327736CF4C8}" type="presParOf" srcId="{0B584EBC-0571-DE4E-BC55-0F1D702BD908}" destId="{99D75D7F-CF50-524C-9CED-61CA0B1B112F}" srcOrd="3" destOrd="0" presId="urn:microsoft.com/office/officeart/2005/8/layout/orgChart1"/>
    <dgm:cxn modelId="{FCD3F9A4-8C5A-4041-8FCA-DE5C0075A2A4}" type="presParOf" srcId="{99D75D7F-CF50-524C-9CED-61CA0B1B112F}" destId="{FE159304-A49F-3A44-89C3-249B1B8D7C57}" srcOrd="0" destOrd="0" presId="urn:microsoft.com/office/officeart/2005/8/layout/orgChart1"/>
    <dgm:cxn modelId="{A5874FE7-D1B4-A743-ACE7-6E0F70764504}" type="presParOf" srcId="{FE159304-A49F-3A44-89C3-249B1B8D7C57}" destId="{983B5D68-8BB2-0D49-B527-1A61732F0BBE}" srcOrd="0" destOrd="0" presId="urn:microsoft.com/office/officeart/2005/8/layout/orgChart1"/>
    <dgm:cxn modelId="{DD996761-A807-5745-8A3F-4617DE07F1A8}" type="presParOf" srcId="{FE159304-A49F-3A44-89C3-249B1B8D7C57}" destId="{F8864DE0-9C7C-E44F-87DA-3749B4D760CD}" srcOrd="1" destOrd="0" presId="urn:microsoft.com/office/officeart/2005/8/layout/orgChart1"/>
    <dgm:cxn modelId="{86AD94CB-65E9-FC44-B86C-4AB7504939F9}" type="presParOf" srcId="{99D75D7F-CF50-524C-9CED-61CA0B1B112F}" destId="{2261A6C0-6F3F-1C4C-91E8-FF4A1794B019}" srcOrd="1" destOrd="0" presId="urn:microsoft.com/office/officeart/2005/8/layout/orgChart1"/>
    <dgm:cxn modelId="{CC50834A-CDAB-A943-AEDD-EAAC9CAF8D04}" type="presParOf" srcId="{99D75D7F-CF50-524C-9CED-61CA0B1B112F}" destId="{AE675B12-62D6-C74E-B48E-11B19DBCBB71}" srcOrd="2" destOrd="0" presId="urn:microsoft.com/office/officeart/2005/8/layout/orgChart1"/>
    <dgm:cxn modelId="{EBFCA071-CDD6-3541-BA2E-6292240175D4}" type="presParOf" srcId="{49BF8231-817A-B049-81D8-0DD4228FEDA4}" destId="{C8C1E126-D970-D747-8557-5DBCAD080E75}" srcOrd="2" destOrd="0" presId="urn:microsoft.com/office/officeart/2005/8/layout/orgChart1"/>
    <dgm:cxn modelId="{33D57093-EAD9-6B4E-8F40-1886C28898DC}" type="presParOf" srcId="{863188EE-D1D3-D143-8DA3-387B582F6870}" destId="{B5DB9231-983C-DC42-939F-5BE0DD9411E1}" srcOrd="2" destOrd="0" presId="urn:microsoft.com/office/officeart/2005/8/layout/orgChart1"/>
    <dgm:cxn modelId="{0D0406F8-6350-FE40-A8A9-2AFF84061BEB}" type="presParOf" srcId="{863188EE-D1D3-D143-8DA3-387B582F6870}" destId="{71CD1E6F-32AD-6C46-8627-C0F7CCD8D7A8}" srcOrd="3" destOrd="0" presId="urn:microsoft.com/office/officeart/2005/8/layout/orgChart1"/>
    <dgm:cxn modelId="{568982C1-CA83-4344-810C-C134A4B7DF6A}" type="presParOf" srcId="{71CD1E6F-32AD-6C46-8627-C0F7CCD8D7A8}" destId="{F74B1B5D-46CC-B24A-B1F3-F355551233F5}" srcOrd="0" destOrd="0" presId="urn:microsoft.com/office/officeart/2005/8/layout/orgChart1"/>
    <dgm:cxn modelId="{948E8ED4-57F5-904C-8C47-8867C14A8FE9}" type="presParOf" srcId="{F74B1B5D-46CC-B24A-B1F3-F355551233F5}" destId="{BDCA5C9E-8EF3-824E-9D2F-F838F96B4742}" srcOrd="0" destOrd="0" presId="urn:microsoft.com/office/officeart/2005/8/layout/orgChart1"/>
    <dgm:cxn modelId="{1E66753E-8F6A-2B41-9680-48B7F66D2172}" type="presParOf" srcId="{F74B1B5D-46CC-B24A-B1F3-F355551233F5}" destId="{141A7FD3-9306-D845-B2CB-7648769746B8}" srcOrd="1" destOrd="0" presId="urn:microsoft.com/office/officeart/2005/8/layout/orgChart1"/>
    <dgm:cxn modelId="{9156CB7B-97D6-7247-BDDC-FE08F8280850}" type="presParOf" srcId="{71CD1E6F-32AD-6C46-8627-C0F7CCD8D7A8}" destId="{51980884-F53A-D948-A4E8-DC9125535E1E}" srcOrd="1" destOrd="0" presId="urn:microsoft.com/office/officeart/2005/8/layout/orgChart1"/>
    <dgm:cxn modelId="{CB9FFEE9-9E00-0945-95EA-1142576C175A}" type="presParOf" srcId="{71CD1E6F-32AD-6C46-8627-C0F7CCD8D7A8}" destId="{2218A1F7-9E04-E540-AF0A-EBACD6CCA4D1}" srcOrd="2" destOrd="0" presId="urn:microsoft.com/office/officeart/2005/8/layout/orgChart1"/>
    <dgm:cxn modelId="{37CC7EC4-98AB-674A-B95B-97C14E3841A3}" type="presParOf" srcId="{863188EE-D1D3-D143-8DA3-387B582F6870}" destId="{5BC372AB-B74C-7E4C-8F49-F0D490B8F07A}" srcOrd="4" destOrd="0" presId="urn:microsoft.com/office/officeart/2005/8/layout/orgChart1"/>
    <dgm:cxn modelId="{7C5DB506-ECB1-3C46-BA56-84CF9878E07A}" type="presParOf" srcId="{863188EE-D1D3-D143-8DA3-387B582F6870}" destId="{A954B9F5-0F1D-7B41-AC54-49AF9872C81B}" srcOrd="5" destOrd="0" presId="urn:microsoft.com/office/officeart/2005/8/layout/orgChart1"/>
    <dgm:cxn modelId="{BF783480-27B1-DA4A-8CDE-6640B9CB4CCA}" type="presParOf" srcId="{A954B9F5-0F1D-7B41-AC54-49AF9872C81B}" destId="{41BEB5B0-1DCF-2047-B031-3F38898FE16E}" srcOrd="0" destOrd="0" presId="urn:microsoft.com/office/officeart/2005/8/layout/orgChart1"/>
    <dgm:cxn modelId="{F0E04688-E462-DB44-9806-9EDEDC474077}" type="presParOf" srcId="{41BEB5B0-1DCF-2047-B031-3F38898FE16E}" destId="{6A411B99-7B85-FF45-9327-D028884B4E8D}" srcOrd="0" destOrd="0" presId="urn:microsoft.com/office/officeart/2005/8/layout/orgChart1"/>
    <dgm:cxn modelId="{3AE91D3E-2BCA-8740-83D0-7E57D8B230A8}" type="presParOf" srcId="{41BEB5B0-1DCF-2047-B031-3F38898FE16E}" destId="{5EBD9530-2E1A-EA44-980A-B8EBB30D1A6B}" srcOrd="1" destOrd="0" presId="urn:microsoft.com/office/officeart/2005/8/layout/orgChart1"/>
    <dgm:cxn modelId="{A96BFBBB-DFCD-4644-9978-4CB166923C03}" type="presParOf" srcId="{A954B9F5-0F1D-7B41-AC54-49AF9872C81B}" destId="{B1488DAA-76A4-244F-9334-0516CC7EB41E}" srcOrd="1" destOrd="0" presId="urn:microsoft.com/office/officeart/2005/8/layout/orgChart1"/>
    <dgm:cxn modelId="{EA3F47BC-9F65-3042-9570-482E5A1C1E57}" type="presParOf" srcId="{A954B9F5-0F1D-7B41-AC54-49AF9872C81B}" destId="{43F0DDFA-440B-634E-95F0-988CB738747C}" srcOrd="2" destOrd="0" presId="urn:microsoft.com/office/officeart/2005/8/layout/orgChart1"/>
    <dgm:cxn modelId="{90E9FC9A-AD0A-2649-AD76-9B18FA7B2355}" type="presParOf" srcId="{9EFA1918-8F5A-4443-83B8-9919DE4FC210}" destId="{4FDAC942-5610-A74E-85F6-AF3B36F77E1A}" srcOrd="2" destOrd="0" presId="urn:microsoft.com/office/officeart/2005/8/layout/orgChart1"/>
    <dgm:cxn modelId="{C926DE3A-6507-F54D-A510-B2DEF1F3CE84}" type="presParOf" srcId="{592539AD-C516-5248-A140-4F76AF915457}" destId="{A5E34956-2EB1-1445-A29D-860864481328}" srcOrd="2" destOrd="0" presId="urn:microsoft.com/office/officeart/2005/8/layout/orgChart1"/>
    <dgm:cxn modelId="{F8DD8E6E-8EB3-224E-86DF-C7358B13E71F}" type="presParOf" srcId="{592539AD-C516-5248-A140-4F76AF915457}" destId="{C0CFCF43-130C-CB43-BA38-F48D2B30A63E}" srcOrd="3" destOrd="0" presId="urn:microsoft.com/office/officeart/2005/8/layout/orgChart1"/>
    <dgm:cxn modelId="{B1AF4D66-7101-AC45-8876-F5431E42E0CE}" type="presParOf" srcId="{C0CFCF43-130C-CB43-BA38-F48D2B30A63E}" destId="{2E01C69C-2101-4047-9179-CDE88BBD827E}" srcOrd="0" destOrd="0" presId="urn:microsoft.com/office/officeart/2005/8/layout/orgChart1"/>
    <dgm:cxn modelId="{1FB9984C-D5F7-404E-B139-ACED0F39BEF3}" type="presParOf" srcId="{2E01C69C-2101-4047-9179-CDE88BBD827E}" destId="{0082461F-6AD8-CA46-BE73-30533844AFF8}" srcOrd="0" destOrd="0" presId="urn:microsoft.com/office/officeart/2005/8/layout/orgChart1"/>
    <dgm:cxn modelId="{AB93C814-A0B1-D446-B14F-88EB11402EB9}" type="presParOf" srcId="{2E01C69C-2101-4047-9179-CDE88BBD827E}" destId="{2A61260C-0B3A-7E47-9F42-BF03357FF966}" srcOrd="1" destOrd="0" presId="urn:microsoft.com/office/officeart/2005/8/layout/orgChart1"/>
    <dgm:cxn modelId="{76091B2B-976A-9447-8351-B0CC912C597B}" type="presParOf" srcId="{C0CFCF43-130C-CB43-BA38-F48D2B30A63E}" destId="{CFE7608B-9733-4F4F-99DC-80E49B2467C4}" srcOrd="1" destOrd="0" presId="urn:microsoft.com/office/officeart/2005/8/layout/orgChart1"/>
    <dgm:cxn modelId="{0FEC005F-488D-C241-9673-393009DF8C1B}" type="presParOf" srcId="{C0CFCF43-130C-CB43-BA38-F48D2B30A63E}" destId="{4B50E68F-81C2-6C4B-BCE1-2F759EC61F80}" srcOrd="2" destOrd="0" presId="urn:microsoft.com/office/officeart/2005/8/layout/orgChart1"/>
    <dgm:cxn modelId="{275F3516-D2EA-B94F-8167-C6AE1F62B1F3}" type="presParOf" srcId="{592539AD-C516-5248-A140-4F76AF915457}" destId="{FCADAA68-F242-5C4A-9473-7A9F333C830B}" srcOrd="4" destOrd="0" presId="urn:microsoft.com/office/officeart/2005/8/layout/orgChart1"/>
    <dgm:cxn modelId="{D0591BD8-1DB2-C845-B6D3-E87CB4EABDFF}" type="presParOf" srcId="{592539AD-C516-5248-A140-4F76AF915457}" destId="{89C11363-E9E9-2946-B7EF-1ABAEE7F7D02}" srcOrd="5" destOrd="0" presId="urn:microsoft.com/office/officeart/2005/8/layout/orgChart1"/>
    <dgm:cxn modelId="{9B6E36E1-A84D-2746-AE72-C6328E466C90}" type="presParOf" srcId="{89C11363-E9E9-2946-B7EF-1ABAEE7F7D02}" destId="{DD204A67-EA20-6142-A639-6FACD9D581A8}" srcOrd="0" destOrd="0" presId="urn:microsoft.com/office/officeart/2005/8/layout/orgChart1"/>
    <dgm:cxn modelId="{3850838C-790A-564A-8F3C-ED422D1384F6}" type="presParOf" srcId="{DD204A67-EA20-6142-A639-6FACD9D581A8}" destId="{B7CF617D-53B3-FD49-AA0E-AA3EB0807BAE}" srcOrd="0" destOrd="0" presId="urn:microsoft.com/office/officeart/2005/8/layout/orgChart1"/>
    <dgm:cxn modelId="{2D6D5AF2-5E5D-F24B-9E4D-E697031C3D93}" type="presParOf" srcId="{DD204A67-EA20-6142-A639-6FACD9D581A8}" destId="{C7F96602-8288-AE45-BD51-88A6F21D8EBB}" srcOrd="1" destOrd="0" presId="urn:microsoft.com/office/officeart/2005/8/layout/orgChart1"/>
    <dgm:cxn modelId="{208FFFBC-7A31-4C4A-A9E1-E9D9DE7E6D4C}" type="presParOf" srcId="{89C11363-E9E9-2946-B7EF-1ABAEE7F7D02}" destId="{F48D6383-2DF8-7843-A046-0BA284C5DE58}" srcOrd="1" destOrd="0" presId="urn:microsoft.com/office/officeart/2005/8/layout/orgChart1"/>
    <dgm:cxn modelId="{FC47F582-85A6-0446-868F-D874F4E8EC00}" type="presParOf" srcId="{89C11363-E9E9-2946-B7EF-1ABAEE7F7D02}" destId="{EE72A906-1DFC-7D41-B5C3-3226641C2B1E}" srcOrd="2" destOrd="0" presId="urn:microsoft.com/office/officeart/2005/8/layout/orgChart1"/>
    <dgm:cxn modelId="{1550BB65-1238-1F41-AF95-9DE7FB327AD3}" type="presParOf" srcId="{8C92BD17-083E-4444-A334-185661579A21}" destId="{315660BA-4270-2547-A8F9-A2E4BEB929A5}" srcOrd="2" destOrd="0" presId="urn:microsoft.com/office/officeart/2005/8/layout/orgChart1"/>
  </dgm:cxnLst>
  <dgm:bg>
    <a:noFill/>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ADAA68-F242-5C4A-9473-7A9F333C830B}">
      <dsp:nvSpPr>
        <dsp:cNvPr id="0" name=""/>
        <dsp:cNvSpPr/>
      </dsp:nvSpPr>
      <dsp:spPr>
        <a:xfrm>
          <a:off x="3591917" y="881019"/>
          <a:ext cx="1230056" cy="206414"/>
        </a:xfrm>
        <a:custGeom>
          <a:avLst/>
          <a:gdLst/>
          <a:ahLst/>
          <a:cxnLst/>
          <a:rect l="0" t="0" r="0" b="0"/>
          <a:pathLst>
            <a:path>
              <a:moveTo>
                <a:pt x="0" y="0"/>
              </a:moveTo>
              <a:lnTo>
                <a:pt x="0" y="103207"/>
              </a:lnTo>
              <a:lnTo>
                <a:pt x="1230056" y="103207"/>
              </a:lnTo>
              <a:lnTo>
                <a:pt x="1230056"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5E34956-2EB1-1445-A29D-860864481328}">
      <dsp:nvSpPr>
        <dsp:cNvPr id="0" name=""/>
        <dsp:cNvSpPr/>
      </dsp:nvSpPr>
      <dsp:spPr>
        <a:xfrm>
          <a:off x="3546197" y="881019"/>
          <a:ext cx="91440" cy="206414"/>
        </a:xfrm>
        <a:custGeom>
          <a:avLst/>
          <a:gdLst/>
          <a:ahLst/>
          <a:cxnLst/>
          <a:rect l="0" t="0" r="0" b="0"/>
          <a:pathLst>
            <a:path>
              <a:moveTo>
                <a:pt x="45720" y="0"/>
              </a:moveTo>
              <a:lnTo>
                <a:pt x="45720" y="103207"/>
              </a:lnTo>
              <a:lnTo>
                <a:pt x="47356" y="103207"/>
              </a:lnTo>
              <a:lnTo>
                <a:pt x="47356"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BC372AB-B74C-7E4C-8F49-F0D490B8F07A}">
      <dsp:nvSpPr>
        <dsp:cNvPr id="0" name=""/>
        <dsp:cNvSpPr/>
      </dsp:nvSpPr>
      <dsp:spPr>
        <a:xfrm>
          <a:off x="2363498" y="1711259"/>
          <a:ext cx="1330157" cy="206414"/>
        </a:xfrm>
        <a:custGeom>
          <a:avLst/>
          <a:gdLst/>
          <a:ahLst/>
          <a:cxnLst/>
          <a:rect l="0" t="0" r="0" b="0"/>
          <a:pathLst>
            <a:path>
              <a:moveTo>
                <a:pt x="0" y="0"/>
              </a:moveTo>
              <a:lnTo>
                <a:pt x="0" y="103207"/>
              </a:lnTo>
              <a:lnTo>
                <a:pt x="1330157" y="103207"/>
              </a:lnTo>
              <a:lnTo>
                <a:pt x="1330157"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5DB9231-983C-DC42-939F-5BE0DD9411E1}">
      <dsp:nvSpPr>
        <dsp:cNvPr id="0" name=""/>
        <dsp:cNvSpPr/>
      </dsp:nvSpPr>
      <dsp:spPr>
        <a:xfrm>
          <a:off x="2317778" y="1711259"/>
          <a:ext cx="91440" cy="206414"/>
        </a:xfrm>
        <a:custGeom>
          <a:avLst/>
          <a:gdLst/>
          <a:ahLst/>
          <a:cxnLst/>
          <a:rect l="0" t="0" r="0" b="0"/>
          <a:pathLst>
            <a:path>
              <a:moveTo>
                <a:pt x="45720" y="0"/>
              </a:moveTo>
              <a:lnTo>
                <a:pt x="45720"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04C1F16-A09D-374B-9E42-7AF985120A3C}">
      <dsp:nvSpPr>
        <dsp:cNvPr id="0" name=""/>
        <dsp:cNvSpPr/>
      </dsp:nvSpPr>
      <dsp:spPr>
        <a:xfrm>
          <a:off x="1033340" y="2733057"/>
          <a:ext cx="567606" cy="206414"/>
        </a:xfrm>
        <a:custGeom>
          <a:avLst/>
          <a:gdLst/>
          <a:ahLst/>
          <a:cxnLst/>
          <a:rect l="0" t="0" r="0" b="0"/>
          <a:pathLst>
            <a:path>
              <a:moveTo>
                <a:pt x="0" y="0"/>
              </a:moveTo>
              <a:lnTo>
                <a:pt x="0" y="103207"/>
              </a:lnTo>
              <a:lnTo>
                <a:pt x="567606" y="103207"/>
              </a:lnTo>
              <a:lnTo>
                <a:pt x="567606"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79D0B09-DE5D-8F4F-9547-EE457EDB9255}">
      <dsp:nvSpPr>
        <dsp:cNvPr id="0" name=""/>
        <dsp:cNvSpPr/>
      </dsp:nvSpPr>
      <dsp:spPr>
        <a:xfrm>
          <a:off x="465733" y="2733057"/>
          <a:ext cx="567606" cy="206414"/>
        </a:xfrm>
        <a:custGeom>
          <a:avLst/>
          <a:gdLst/>
          <a:ahLst/>
          <a:cxnLst/>
          <a:rect l="0" t="0" r="0" b="0"/>
          <a:pathLst>
            <a:path>
              <a:moveTo>
                <a:pt x="567606" y="0"/>
              </a:moveTo>
              <a:lnTo>
                <a:pt x="567606" y="103207"/>
              </a:lnTo>
              <a:lnTo>
                <a:pt x="0" y="103207"/>
              </a:lnTo>
              <a:lnTo>
                <a:pt x="0"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7919CF9-B6CE-7D4D-9230-FC1988DCD1EB}">
      <dsp:nvSpPr>
        <dsp:cNvPr id="0" name=""/>
        <dsp:cNvSpPr/>
      </dsp:nvSpPr>
      <dsp:spPr>
        <a:xfrm>
          <a:off x="1033340" y="1711259"/>
          <a:ext cx="1330157" cy="206414"/>
        </a:xfrm>
        <a:custGeom>
          <a:avLst/>
          <a:gdLst/>
          <a:ahLst/>
          <a:cxnLst/>
          <a:rect l="0" t="0" r="0" b="0"/>
          <a:pathLst>
            <a:path>
              <a:moveTo>
                <a:pt x="1330157" y="0"/>
              </a:moveTo>
              <a:lnTo>
                <a:pt x="1330157" y="103207"/>
              </a:lnTo>
              <a:lnTo>
                <a:pt x="0" y="103207"/>
              </a:lnTo>
              <a:lnTo>
                <a:pt x="0"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A3294AA-66DA-2646-B76E-EF4E8A432C28}">
      <dsp:nvSpPr>
        <dsp:cNvPr id="0" name=""/>
        <dsp:cNvSpPr/>
      </dsp:nvSpPr>
      <dsp:spPr>
        <a:xfrm>
          <a:off x="2363498" y="881019"/>
          <a:ext cx="1228419" cy="206414"/>
        </a:xfrm>
        <a:custGeom>
          <a:avLst/>
          <a:gdLst/>
          <a:ahLst/>
          <a:cxnLst/>
          <a:rect l="0" t="0" r="0" b="0"/>
          <a:pathLst>
            <a:path>
              <a:moveTo>
                <a:pt x="1228419" y="0"/>
              </a:moveTo>
              <a:lnTo>
                <a:pt x="1228419" y="103207"/>
              </a:lnTo>
              <a:lnTo>
                <a:pt x="0" y="103207"/>
              </a:lnTo>
              <a:lnTo>
                <a:pt x="0"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73FA9B0-C4C0-B241-95AD-D916F9052F9E}">
      <dsp:nvSpPr>
        <dsp:cNvPr id="0" name=""/>
        <dsp:cNvSpPr/>
      </dsp:nvSpPr>
      <dsp:spPr>
        <a:xfrm>
          <a:off x="3098640" y="193539"/>
          <a:ext cx="986555" cy="687479"/>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Gross</a:t>
          </a:r>
          <a:br>
            <a:rPr lang="en-US" sz="1000" kern="1200">
              <a:solidFill>
                <a:sysClr val="windowText" lastClr="000000"/>
              </a:solidFill>
            </a:rPr>
          </a:br>
          <a:r>
            <a:rPr lang="en-US" sz="1000" kern="1200">
              <a:solidFill>
                <a:sysClr val="windowText" lastClr="000000"/>
              </a:solidFill>
            </a:rPr>
            <a:t>exports </a:t>
          </a:r>
          <a:br>
            <a:rPr lang="en-US" sz="1000" kern="1200">
              <a:solidFill>
                <a:sysClr val="windowText" lastClr="000000"/>
              </a:solidFill>
            </a:rPr>
          </a:br>
          <a:r>
            <a:rPr lang="en-US" sz="1000" kern="1200">
              <a:solidFill>
                <a:sysClr val="windowText" lastClr="000000"/>
              </a:solidFill>
            </a:rPr>
            <a:t>by </a:t>
          </a:r>
          <a:r>
            <a:rPr lang="en-US" sz="1000" i="1" kern="1200">
              <a:solidFill>
                <a:sysClr val="windowText" lastClr="000000"/>
              </a:solidFill>
            </a:rPr>
            <a:t>H</a:t>
          </a:r>
          <a:r>
            <a:rPr lang="en-US" sz="1000" kern="1200">
              <a:solidFill>
                <a:sysClr val="windowText" lastClr="000000"/>
              </a:solidFill>
            </a:rPr>
            <a:t> to </a:t>
          </a:r>
          <a:r>
            <a:rPr lang="en-US" sz="1000" i="1" kern="1200">
              <a:solidFill>
                <a:sysClr val="windowText" lastClr="000000"/>
              </a:solidFill>
            </a:rPr>
            <a:t>P</a:t>
          </a:r>
        </a:p>
      </dsp:txBody>
      <dsp:txXfrm>
        <a:off x="3098640" y="193539"/>
        <a:ext cx="986555" cy="687479"/>
      </dsp:txXfrm>
    </dsp:sp>
    <dsp:sp modelId="{C83ABAF2-8D8E-354B-8044-1407BFA66273}">
      <dsp:nvSpPr>
        <dsp:cNvPr id="0" name=""/>
        <dsp:cNvSpPr/>
      </dsp:nvSpPr>
      <dsp:spPr>
        <a:xfrm>
          <a:off x="1870220" y="1087434"/>
          <a:ext cx="986555" cy="623825"/>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Domestic value added</a:t>
          </a:r>
        </a:p>
      </dsp:txBody>
      <dsp:txXfrm>
        <a:off x="1870220" y="1087434"/>
        <a:ext cx="986555" cy="623825"/>
      </dsp:txXfrm>
    </dsp:sp>
    <dsp:sp modelId="{FB9C3B58-598B-D245-B29D-F5A726EEC954}">
      <dsp:nvSpPr>
        <dsp:cNvPr id="0" name=""/>
        <dsp:cNvSpPr/>
      </dsp:nvSpPr>
      <dsp:spPr>
        <a:xfrm>
          <a:off x="471469" y="1917674"/>
          <a:ext cx="1123742" cy="81538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Directly </a:t>
          </a:r>
          <a:br>
            <a:rPr lang="en-US" sz="1000" kern="1200">
              <a:solidFill>
                <a:sysClr val="windowText" lastClr="000000"/>
              </a:solidFill>
            </a:rPr>
          </a:br>
          <a:r>
            <a:rPr lang="en-US" sz="1000" kern="1200">
              <a:solidFill>
                <a:sysClr val="windowText" lastClr="000000"/>
              </a:solidFill>
            </a:rPr>
            <a:t>absorbed by </a:t>
          </a:r>
          <a:r>
            <a:rPr lang="en-US" sz="1000" i="1" kern="1200">
              <a:solidFill>
                <a:sysClr val="windowText" lastClr="000000"/>
              </a:solidFill>
            </a:rPr>
            <a:t>P</a:t>
          </a:r>
        </a:p>
        <a:p>
          <a:pPr marL="0" lvl="0" indent="0" algn="ctr" defTabSz="444500">
            <a:lnSpc>
              <a:spcPct val="90000"/>
            </a:lnSpc>
            <a:spcBef>
              <a:spcPct val="0"/>
            </a:spcBef>
            <a:spcAft>
              <a:spcPct val="35000"/>
            </a:spcAft>
            <a:buNone/>
          </a:pPr>
          <a:r>
            <a:rPr lang="en-US" sz="1000" b="1" i="0" kern="1200">
              <a:solidFill>
                <a:sysClr val="windowText" lastClr="000000"/>
              </a:solidFill>
            </a:rPr>
            <a:t>DAVAX</a:t>
          </a:r>
        </a:p>
      </dsp:txBody>
      <dsp:txXfrm>
        <a:off x="471469" y="1917674"/>
        <a:ext cx="1123742" cy="815383"/>
      </dsp:txXfrm>
    </dsp:sp>
    <dsp:sp modelId="{94166464-4DCD-B54C-BF1B-1F6CC07FC970}">
      <dsp:nvSpPr>
        <dsp:cNvPr id="0" name=""/>
        <dsp:cNvSpPr/>
      </dsp:nvSpPr>
      <dsp:spPr>
        <a:xfrm>
          <a:off x="1334" y="2939472"/>
          <a:ext cx="928798" cy="629998"/>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As </a:t>
          </a:r>
          <a:br>
            <a:rPr lang="en-US" sz="1000" kern="1200">
              <a:solidFill>
                <a:sysClr val="windowText" lastClr="000000"/>
              </a:solidFill>
            </a:rPr>
          </a:br>
          <a:r>
            <a:rPr lang="en-US" sz="1000" kern="1200">
              <a:solidFill>
                <a:sysClr val="windowText" lastClr="000000"/>
              </a:solidFill>
            </a:rPr>
            <a:t>final goods</a:t>
          </a:r>
        </a:p>
        <a:p>
          <a:pPr marL="0" lvl="0" indent="0" algn="ctr" defTabSz="444500">
            <a:lnSpc>
              <a:spcPct val="90000"/>
            </a:lnSpc>
            <a:spcBef>
              <a:spcPct val="0"/>
            </a:spcBef>
            <a:spcAft>
              <a:spcPct val="35000"/>
            </a:spcAft>
            <a:buNone/>
          </a:pPr>
          <a:r>
            <a:rPr lang="en-US" sz="1000" b="1" kern="1200">
              <a:solidFill>
                <a:sysClr val="windowText" lastClr="000000"/>
              </a:solidFill>
            </a:rPr>
            <a:t>DAVAX1</a:t>
          </a:r>
        </a:p>
      </dsp:txBody>
      <dsp:txXfrm>
        <a:off x="1334" y="2939472"/>
        <a:ext cx="928798" cy="629998"/>
      </dsp:txXfrm>
    </dsp:sp>
    <dsp:sp modelId="{983B5D68-8BB2-0D49-B527-1A61732F0BBE}">
      <dsp:nvSpPr>
        <dsp:cNvPr id="0" name=""/>
        <dsp:cNvSpPr/>
      </dsp:nvSpPr>
      <dsp:spPr>
        <a:xfrm>
          <a:off x="1136548" y="2939472"/>
          <a:ext cx="928798" cy="629998"/>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As</a:t>
          </a:r>
          <a:br>
            <a:rPr lang="en-US" sz="1000" kern="1200">
              <a:solidFill>
                <a:sysClr val="windowText" lastClr="000000"/>
              </a:solidFill>
            </a:rPr>
          </a:br>
          <a:r>
            <a:rPr lang="en-US" sz="1000" kern="1200">
              <a:solidFill>
                <a:sysClr val="windowText" lastClr="000000"/>
              </a:solidFill>
            </a:rPr>
            <a:t>intermediates</a:t>
          </a:r>
        </a:p>
        <a:p>
          <a:pPr marL="0" lvl="0" indent="0" algn="ctr" defTabSz="444500">
            <a:lnSpc>
              <a:spcPct val="90000"/>
            </a:lnSpc>
            <a:spcBef>
              <a:spcPct val="0"/>
            </a:spcBef>
            <a:spcAft>
              <a:spcPct val="35000"/>
            </a:spcAft>
            <a:buNone/>
          </a:pPr>
          <a:r>
            <a:rPr lang="en-US" sz="1000" b="1" kern="1200">
              <a:solidFill>
                <a:sysClr val="windowText" lastClr="000000"/>
              </a:solidFill>
            </a:rPr>
            <a:t>DAVAX2</a:t>
          </a:r>
        </a:p>
      </dsp:txBody>
      <dsp:txXfrm>
        <a:off x="1136548" y="2939472"/>
        <a:ext cx="928798" cy="629998"/>
      </dsp:txXfrm>
    </dsp:sp>
    <dsp:sp modelId="{BDCA5C9E-8EF3-824E-9D2F-F838F96B4742}">
      <dsp:nvSpPr>
        <dsp:cNvPr id="0" name=""/>
        <dsp:cNvSpPr/>
      </dsp:nvSpPr>
      <dsp:spPr>
        <a:xfrm>
          <a:off x="1801626" y="1917674"/>
          <a:ext cx="1123742" cy="81538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Re-exported </a:t>
          </a:r>
          <a:br>
            <a:rPr lang="en-US" sz="1000" kern="1200">
              <a:solidFill>
                <a:sysClr val="windowText" lastClr="000000"/>
              </a:solidFill>
            </a:rPr>
          </a:br>
          <a:r>
            <a:rPr lang="en-US" sz="1000" kern="1200">
              <a:solidFill>
                <a:sysClr val="windowText" lastClr="000000"/>
              </a:solidFill>
            </a:rPr>
            <a:t>by </a:t>
          </a:r>
          <a:r>
            <a:rPr lang="en-US" sz="1000" i="1" kern="1200">
              <a:solidFill>
                <a:sysClr val="windowText" lastClr="000000"/>
              </a:solidFill>
            </a:rPr>
            <a:t>P</a:t>
          </a:r>
          <a:r>
            <a:rPr lang="en-US" sz="1000" i="0" kern="1200">
              <a:solidFill>
                <a:sysClr val="windowText" lastClr="000000"/>
              </a:solidFill>
            </a:rPr>
            <a:t> and eventually absorbed abroad</a:t>
          </a:r>
        </a:p>
        <a:p>
          <a:pPr marL="0" lvl="0" indent="0" algn="ctr" defTabSz="444500">
            <a:lnSpc>
              <a:spcPct val="90000"/>
            </a:lnSpc>
            <a:spcBef>
              <a:spcPct val="0"/>
            </a:spcBef>
            <a:spcAft>
              <a:spcPct val="35000"/>
            </a:spcAft>
            <a:buNone/>
          </a:pPr>
          <a:r>
            <a:rPr lang="en-US" sz="1000" b="1" i="0" kern="1200">
              <a:solidFill>
                <a:sysClr val="windowText" lastClr="000000"/>
              </a:solidFill>
            </a:rPr>
            <a:t>REX</a:t>
          </a:r>
        </a:p>
      </dsp:txBody>
      <dsp:txXfrm>
        <a:off x="1801626" y="1917674"/>
        <a:ext cx="1123742" cy="815383"/>
      </dsp:txXfrm>
    </dsp:sp>
    <dsp:sp modelId="{6A411B99-7B85-FF45-9327-D028884B4E8D}">
      <dsp:nvSpPr>
        <dsp:cNvPr id="0" name=""/>
        <dsp:cNvSpPr/>
      </dsp:nvSpPr>
      <dsp:spPr>
        <a:xfrm>
          <a:off x="3131784" y="1917674"/>
          <a:ext cx="1123742" cy="81538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Re-exported </a:t>
          </a:r>
          <a:br>
            <a:rPr lang="en-US" sz="1000" kern="1200">
              <a:solidFill>
                <a:sysClr val="windowText" lastClr="000000"/>
              </a:solidFill>
            </a:rPr>
          </a:br>
          <a:r>
            <a:rPr lang="en-US" sz="1000" kern="1200">
              <a:solidFill>
                <a:sysClr val="windowText" lastClr="000000"/>
              </a:solidFill>
            </a:rPr>
            <a:t>by </a:t>
          </a:r>
          <a:r>
            <a:rPr lang="en-US" sz="1000" i="1" kern="1200">
              <a:solidFill>
                <a:sysClr val="windowText" lastClr="000000"/>
              </a:solidFill>
            </a:rPr>
            <a:t>P</a:t>
          </a:r>
          <a:r>
            <a:rPr lang="en-US" sz="1000" i="0" kern="1200">
              <a:solidFill>
                <a:sysClr val="windowText" lastClr="000000"/>
              </a:solidFill>
            </a:rPr>
            <a:t> and eventually absorbed by </a:t>
          </a:r>
          <a:r>
            <a:rPr lang="en-US" sz="1000" i="1" kern="1200">
              <a:solidFill>
                <a:sysClr val="windowText" lastClr="000000"/>
              </a:solidFill>
            </a:rPr>
            <a:t>H</a:t>
          </a:r>
        </a:p>
        <a:p>
          <a:pPr marL="0" lvl="0" indent="0" algn="ctr" defTabSz="444500">
            <a:lnSpc>
              <a:spcPct val="90000"/>
            </a:lnSpc>
            <a:spcBef>
              <a:spcPct val="0"/>
            </a:spcBef>
            <a:spcAft>
              <a:spcPct val="35000"/>
            </a:spcAft>
            <a:buNone/>
          </a:pPr>
          <a:r>
            <a:rPr lang="en-US" sz="1000" b="1" kern="1200">
              <a:solidFill>
                <a:schemeClr val="tx1"/>
              </a:solidFill>
            </a:rPr>
            <a:t>REF</a:t>
          </a:r>
        </a:p>
      </dsp:txBody>
      <dsp:txXfrm>
        <a:off x="3131784" y="1917674"/>
        <a:ext cx="1123742" cy="815383"/>
      </dsp:txXfrm>
    </dsp:sp>
    <dsp:sp modelId="{0082461F-6AD8-CA46-BE73-30533844AFF8}">
      <dsp:nvSpPr>
        <dsp:cNvPr id="0" name=""/>
        <dsp:cNvSpPr/>
      </dsp:nvSpPr>
      <dsp:spPr>
        <a:xfrm>
          <a:off x="3063190" y="1087434"/>
          <a:ext cx="1060727" cy="623825"/>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Foreign</a:t>
          </a:r>
          <a:br>
            <a:rPr lang="en-US" sz="1000" kern="1200">
              <a:solidFill>
                <a:sysClr val="windowText" lastClr="000000"/>
              </a:solidFill>
            </a:rPr>
          </a:br>
          <a:r>
            <a:rPr lang="en-US" sz="1000" kern="1200">
              <a:solidFill>
                <a:sysClr val="windowText" lastClr="000000"/>
              </a:solidFill>
            </a:rPr>
            <a:t>value added</a:t>
          </a:r>
        </a:p>
        <a:p>
          <a:pPr marL="0" lvl="0" indent="0" algn="ctr" defTabSz="444500">
            <a:lnSpc>
              <a:spcPct val="90000"/>
            </a:lnSpc>
            <a:spcBef>
              <a:spcPct val="0"/>
            </a:spcBef>
            <a:spcAft>
              <a:spcPct val="35000"/>
            </a:spcAft>
            <a:buNone/>
          </a:pPr>
          <a:r>
            <a:rPr lang="en-US" sz="1000" b="1" kern="1200">
              <a:solidFill>
                <a:sysClr val="windowText" lastClr="000000"/>
              </a:solidFill>
            </a:rPr>
            <a:t>FVA</a:t>
          </a:r>
        </a:p>
      </dsp:txBody>
      <dsp:txXfrm>
        <a:off x="3063190" y="1087434"/>
        <a:ext cx="1060727" cy="623825"/>
      </dsp:txXfrm>
    </dsp:sp>
    <dsp:sp modelId="{B7CF617D-53B3-FD49-AA0E-AA3EB0807BAE}">
      <dsp:nvSpPr>
        <dsp:cNvPr id="0" name=""/>
        <dsp:cNvSpPr/>
      </dsp:nvSpPr>
      <dsp:spPr>
        <a:xfrm>
          <a:off x="4330333" y="1087434"/>
          <a:ext cx="983282" cy="623825"/>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Pure</a:t>
          </a:r>
          <a:br>
            <a:rPr lang="en-US" sz="1000" kern="1200">
              <a:solidFill>
                <a:sysClr val="windowText" lastClr="000000"/>
              </a:solidFill>
            </a:rPr>
          </a:br>
          <a:r>
            <a:rPr lang="en-US" sz="1000" kern="1200">
              <a:solidFill>
                <a:sysClr val="windowText" lastClr="000000"/>
              </a:solidFill>
            </a:rPr>
            <a:t>double-counting</a:t>
          </a:r>
        </a:p>
        <a:p>
          <a:pPr marL="0" lvl="0" indent="0" algn="ctr" defTabSz="444500">
            <a:lnSpc>
              <a:spcPct val="90000"/>
            </a:lnSpc>
            <a:spcBef>
              <a:spcPct val="0"/>
            </a:spcBef>
            <a:spcAft>
              <a:spcPct val="35000"/>
            </a:spcAft>
            <a:buNone/>
          </a:pPr>
          <a:r>
            <a:rPr lang="en-US" sz="1000" b="1" kern="1200">
              <a:solidFill>
                <a:sysClr val="windowText" lastClr="000000"/>
              </a:solidFill>
            </a:rPr>
            <a:t>PDC</a:t>
          </a:r>
        </a:p>
      </dsp:txBody>
      <dsp:txXfrm>
        <a:off x="4330333" y="1087434"/>
        <a:ext cx="983282" cy="62382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Bal16</b:Tag>
    <b:SourceType>Book</b:SourceType>
    <b:Guid>{36896628-A213-2542-98D6-F87EC18D2B36}</b:Guid>
    <b:Title>The great convergence: Information technology and the new globalization</b:Title>
    <b:Publisher>Harvard University Press</b:Publisher>
    <b:City>Cambridge, MA</b:City>
    <b:Year>2016</b:Year>
    <b:Author>
      <b:Author>
        <b:NameList>
          <b:Person>
            <b:Last>Baldwin</b:Last>
            <b:First>R.</b:First>
          </b:Person>
        </b:NameList>
      </b:Author>
    </b:Author>
    <b:RefOrder>1</b:RefOrder>
  </b:Source>
  <b:Source>
    <b:Tag>Hum01</b:Tag>
    <b:SourceType>JournalArticle</b:SourceType>
    <b:Guid>{B14E5DCD-2BE8-FD44-AD5B-AEC8D2C9F19C}</b:Guid>
    <b:Author>
      <b:Author>
        <b:NameList>
          <b:Person>
            <b:Last>Hummels</b:Last>
            <b:First>D</b:First>
          </b:Person>
          <b:Person>
            <b:Last>Ishii</b:Last>
            <b:First>J.</b:First>
          </b:Person>
          <b:Person>
            <b:Last>Yi</b:Last>
            <b:First>K.</b:First>
          </b:Person>
        </b:NameList>
      </b:Author>
    </b:Author>
    <b:Title>The nature and growth of vertical specialization in world trade</b:Title>
    <b:Publisher>Journal of International Economics</b:Publisher>
    <b:Year>2001</b:Year>
    <b:Pages>75–96</b:Pages>
    <b:Volume>54</b:Volume>
    <b:Issue>1</b:Issue>
    <b:RefOrder>2</b:RefOrder>
  </b:Source>
  <b:Source>
    <b:Tag>Ded10</b:Tag>
    <b:SourceType>JournalArticle</b:SourceType>
    <b:Guid>{393502DD-9D57-F142-A39A-93A4BB911100}</b:Guid>
    <b:Author>
      <b:Author>
        <b:NameList>
          <b:Person>
            <b:Last>Dedrick</b:Last>
            <b:First>J.</b:First>
          </b:Person>
          <b:Person>
            <b:Last>Kraemer</b:Last>
            <b:First>K.</b:First>
            <b:Middle>L.</b:Middle>
          </b:Person>
          <b:Person>
            <b:Last>Linden</b:Last>
            <b:First>G.</b:First>
          </b:Person>
        </b:NameList>
      </b:Author>
    </b:Author>
    <b:Title>Who profits from innovation in global value chains? A study of the iPod and notebook PCs</b:Title>
    <b:JournalName>Industrial and corporate change</b:JournalName>
    <b:Year>2010</b:Year>
    <b:Pages>81–116</b:Pages>
    <b:Volume>19</b:Volume>
    <b:Issue>1</b:Issue>
    <b:RefOrder>3</b:RefOrder>
  </b:Source>
  <b:Source>
    <b:Tag>Tim15</b:Tag>
    <b:SourceType>JournalArticle</b:SourceType>
    <b:Guid>{A688B1A5-1C21-9147-8724-7FBB8F32C6FE}</b:Guid>
    <b:Author>
      <b:Author>
        <b:NameList>
          <b:Person>
            <b:Last>Timmer</b:Last>
            <b:First>M.</b:First>
            <b:Middle>P.</b:Middle>
          </b:Person>
          <b:Person>
            <b:Last>Dietzenbacher</b:Last>
            <b:First>E.</b:First>
          </b:Person>
          <b:Person>
            <b:Last>Los</b:Last>
            <b:First>B.</b:First>
          </b:Person>
          <b:Person>
            <b:Last>Stehrer</b:Last>
            <b:First>R.</b:First>
          </b:Person>
          <b:Person>
            <b:Last>de Vries</b:Last>
            <b:First>G.</b:First>
            <b:Middle>J.</b:Middle>
          </b:Person>
        </b:NameList>
      </b:Author>
    </b:Author>
    <b:Title>An illustrated user guide to the World Input-Output Database: The case of global automotive production</b:Title>
    <b:Year>2015</b:Year>
    <b:JournalName>Review of International Economics</b:JournalName>
    <b:Pages>575–605</b:Pages>
    <b:Volume>23</b:Volume>
    <b:Issue>3</b:Issue>
    <b:RefOrder>4</b:RefOrder>
  </b:Source>
  <b:Source>
    <b:Tag>The20</b:Tag>
    <b:SourceType>JournalArticle</b:SourceType>
    <b:Guid>{7BDEB2A4-A42A-E842-BF78-69462B467D25}</b:Guid>
    <b:Title>If you thought the trade war was bad for global commerce...</b:Title>
    <b:Year>2020</b:Year>
    <b:Author>
      <b:Author>
        <b:Corporate>The Economist</b:Corporate>
      </b:Author>
    </b:Author>
    <b:JournalName>The Economist</b:JournalName>
    <b:Month>March</b:Month>
    <b:Day>26</b:Day>
    <b:URL>https://www.economist.com/finance-and-economics/2020/03/26/if-you-thought-the-trade-war-was-bad-for-global-commerce</b:URL>
    <b:RefOrder>5</b:RefOrder>
  </b:Source>
  <b:Source>
    <b:Tag>The19</b:Tag>
    <b:SourceType>JournalArticle</b:SourceType>
    <b:Guid>{66B38D17-F426-AC4C-BF49-B591B7328235}</b:Guid>
    <b:Author>
      <b:Author>
        <b:Corporate>The Economist</b:Corporate>
      </b:Author>
    </b:Author>
    <b:Title>Amazon and Alibaba are pacesetters of the next supply-chain revolution</b:Title>
    <b:JournalName>The Economist</b:JournalName>
    <b:Year>2019</b:Year>
    <b:Month>July</b:Month>
    <b:Day>11</b:Day>
    <b:URL>https://www.economist.com/special-report/2019/07/11/amazon-and-alibaba-are-pacesetters-of-the-next-supply-chain-revolution</b:URL>
    <b:RefOrder>6</b:RefOrder>
  </b:Source>
  <b:Source>
    <b:Tag>Leo36</b:Tag>
    <b:SourceType>JournalArticle</b:SourceType>
    <b:Guid>{9644974D-2455-A84D-83FC-352A66A8CF9B}</b:Guid>
    <b:Author>
      <b:Author>
        <b:NameList>
          <b:Person>
            <b:Last>Leontief</b:Last>
            <b:First>W.</b:First>
          </b:Person>
        </b:NameList>
      </b:Author>
    </b:Author>
    <b:Title>Quantitative input and output relations in the economic system of the United States</b:Title>
    <b:JournalName>Review of Economics and Statistics</b:JournalName>
    <b:Year>1936</b:Year>
    <b:Pages>105–125</b:Pages>
    <b:Volume>18</b:Volume>
    <b:Issue>3</b:Issue>
    <b:RefOrder>7</b:RefOrder>
  </b:Source>
  <b:Source>
    <b:Tag>Joh12</b:Tag>
    <b:SourceType>JournalArticle</b:SourceType>
    <b:Guid>{135E3DF2-3F32-D34B-B5C4-1BEDCECD504A}</b:Guid>
    <b:Author>
      <b:Author>
        <b:NameList>
          <b:Person>
            <b:Last>Johnson</b:Last>
            <b:First>R.</b:First>
            <b:Middle>C.</b:Middle>
          </b:Person>
          <b:Person>
            <b:Last>Noguera</b:Last>
            <b:First>G.</b:First>
          </b:Person>
        </b:NameList>
      </b:Author>
    </b:Author>
    <b:Title>Accounting for intermediates: Production sharing and trade in value added</b:Title>
    <b:JournalName>Journal of International Economics</b:JournalName>
    <b:Year>2012</b:Year>
    <b:Pages>224–236</b:Pages>
    <b:Volume>86</b:Volume>
    <b:Issue>2</b:Issue>
    <b:RefOrder>8</b:RefOrder>
  </b:Source>
  <b:Source>
    <b:Tag>Ant12</b:Tag>
    <b:SourceType>JournalArticle</b:SourceType>
    <b:Guid>{19970FEF-1FED-2445-8F82-E55760D76904}</b:Guid>
    <b:Author>
      <b:Author>
        <b:NameList>
          <b:Person>
            <b:Last>Antràs</b:Last>
            <b:First>P.</b:First>
          </b:Person>
          <b:Person>
            <b:Last>Chor</b:Last>
            <b:First>D.</b:First>
          </b:Person>
          <b:Person>
            <b:Last>Fally</b:Last>
            <b:First>T.</b:First>
          </b:Person>
          <b:Person>
            <b:Last>Hillberry</b:Last>
            <b:First>R.</b:First>
          </b:Person>
        </b:NameList>
      </b:Author>
    </b:Author>
    <b:Title>Measuring the upstreamness of production and trade flows</b:Title>
    <b:JournalName>American Economic Review: Papers and Proceedings</b:JournalName>
    <b:Year>2012</b:Year>
    <b:Pages>412–416</b:Pages>
    <b:Volume>102</b:Volume>
    <b:Issue>3</b:Issue>
    <b:RefOrder>9</b:RefOrder>
  </b:Source>
  <b:Source>
    <b:Tag>Koo14</b:Tag>
    <b:SourceType>JournalArticle</b:SourceType>
    <b:Guid>{F6933755-72A3-3244-ADE6-AF4ECB840368}</b:Guid>
    <b:Author>
      <b:Author>
        <b:NameList>
          <b:Person>
            <b:Last>Koopman</b:Last>
            <b:First>R.</b:First>
          </b:Person>
          <b:Person>
            <b:Last>Wang</b:Last>
            <b:First>Z.</b:First>
          </b:Person>
          <b:Person>
            <b:Last>Wei</b:Last>
            <b:First>S.</b:First>
          </b:Person>
        </b:NameList>
      </b:Author>
    </b:Author>
    <b:Title>Tracing value-added and double counting in gross exports</b:Title>
    <b:JournalName>American Economic Review</b:JournalName>
    <b:Year>2014</b:Year>
    <b:Pages>459–494</b:Pages>
    <b:Volume>104</b:Volume>
    <b:Issue>2</b:Issue>
    <b:RefOrder>10</b:RefOrder>
  </b:Source>
  <b:Source>
    <b:Tag>Wan18</b:Tag>
    <b:SourceType>Report</b:SourceType>
    <b:Guid>{C66585A7-A661-B749-95A3-E4939C18C2CC}</b:Guid>
    <b:Author>
      <b:Author>
        <b:NameList>
          <b:Person>
            <b:Last>Wang</b:Last>
            <b:First>Z.</b:First>
          </b:Person>
          <b:Person>
            <b:Last>Wei</b:Last>
            <b:First>S.</b:First>
          </b:Person>
          <b:Person>
            <b:Last>Zhu</b:Last>
            <b:First>K.</b:First>
          </b:Person>
        </b:NameList>
      </b:Author>
    </b:Author>
    <b:Title>Quantifying international production sharing at the bilateral and sector levels</b:Title>
    <b:Year>2018</b:Year>
    <b:Publisher>National Bureau of Economic Research</b:Publisher>
    <b:City>NBER Working Paper No. 19677. Cambridge, MA</b:City>
    <b:RefOrder>11</b:RefOrder>
  </b:Source>
</b:Sources>
</file>

<file path=customXml/itemProps1.xml><?xml version="1.0" encoding="utf-8"?>
<ds:datastoreItem xmlns:ds="http://schemas.openxmlformats.org/officeDocument/2006/customXml" ds:itemID="{EBDF7A3A-D3A7-E24E-A946-A44B16213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6589</TotalTime>
  <Pages>72</Pages>
  <Words>23164</Words>
  <Characters>132037</Characters>
  <Application>Microsoft Office Word</Application>
  <DocSecurity>0</DocSecurity>
  <Lines>1100</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Anthony Luigi S. Reyes</dc:creator>
  <cp:keywords/>
  <dc:description/>
  <cp:lastModifiedBy>Kenneth Reyes</cp:lastModifiedBy>
  <cp:revision>4569</cp:revision>
  <cp:lastPrinted>2021-01-30T01:52:00Z</cp:lastPrinted>
  <dcterms:created xsi:type="dcterms:W3CDTF">2020-09-20T15:09:00Z</dcterms:created>
  <dcterms:modified xsi:type="dcterms:W3CDTF">2023-07-21T05:45:00Z</dcterms:modified>
</cp:coreProperties>
</file>