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6"/>
        <w:pBdr/>
        <w:spacing/>
        <w:ind/>
        <w:rPr/>
      </w:pPr>
      <w:r>
        <w:rPr>
          <w:b/>
          <w:bCs/>
        </w:rPr>
        <w:t xml:space="preserve">O</w:t>
      </w:r>
      <w:r>
        <w:rPr>
          <w:b/>
          <w:bCs/>
        </w:rPr>
        <w:t xml:space="preserve">nerous clauses</w:t>
      </w:r>
      <w:r>
        <w:t xml:space="preserve"> </w:t>
      </w:r>
      <w:r>
        <w:t xml:space="preserve">identified across the public Bank Guarantee formats, these are from Govt. Institutions, which have their own format/clauses during procurement, especially with regard to Performance Guarantee, where clauses are nuanced. </w:t>
      </w:r>
      <w:r/>
    </w:p>
    <w:tbl>
      <w:tblPr>
        <w:tblStyle w:val="719"/>
        <w:tblW w:w="4454" w:type="pct"/>
        <w:tblBorders/>
        <w:tblLayout w:type="fixed"/>
        <w:tblLook w:val="0020" w:firstRow="1" w:lastRow="0" w:firstColumn="0" w:lastColumn="0" w:noHBand="0" w:noVBand="0"/>
      </w:tblPr>
      <w:tblGrid>
        <w:gridCol w:w="2129"/>
        <w:gridCol w:w="3059"/>
        <w:gridCol w:w="4399"/>
        <w:gridCol w:w="4867"/>
        <w:gridCol w:w="4793"/>
      </w:tblGrid>
      <w:tr>
        <w:trPr>
          <w:tblHeader/>
        </w:trPr>
        <w:tc>
          <w:tcPr>
            <w:tcBorders/>
            <w:textDirection w:val="lrTb"/>
            <w:noWrap w:val="false"/>
          </w:tcPr>
          <w:p>
            <w:pPr>
              <w:pStyle w:val="687"/>
              <w:pBdr/>
              <w:spacing/>
              <w:ind/>
              <w:rPr/>
            </w:pPr>
            <w:r>
              <w:t xml:space="preserve">File Name</w:t>
            </w:r>
            <w:r/>
          </w:p>
        </w:tc>
        <w:tc>
          <w:tcPr>
            <w:tcBorders/>
            <w:textDirection w:val="lrTb"/>
            <w:noWrap w:val="false"/>
          </w:tcPr>
          <w:p>
            <w:pPr>
              <w:pStyle w:val="687"/>
              <w:pBdr/>
              <w:spacing/>
              <w:ind/>
              <w:rPr/>
            </w:pPr>
            <w:r>
              <w:t xml:space="preserve">Institution</w:t>
            </w:r>
            <w:r/>
          </w:p>
        </w:tc>
        <w:tc>
          <w:tcPr>
            <w:tcBorders/>
            <w:textDirection w:val="lrTb"/>
            <w:noWrap w:val="false"/>
          </w:tcPr>
          <w:p>
            <w:pPr>
              <w:pStyle w:val="687"/>
              <w:pBdr/>
              <w:spacing/>
              <w:ind/>
              <w:rPr/>
            </w:pPr>
            <w:r>
              <w:t xml:space="preserve">Onerous Clause (Quoted)</w:t>
            </w:r>
            <w:r/>
          </w:p>
        </w:tc>
        <w:tc>
          <w:tcPr>
            <w:tcBorders/>
            <w:textDirection w:val="lrTb"/>
            <w:noWrap w:val="false"/>
          </w:tcPr>
          <w:p>
            <w:pPr>
              <w:pStyle w:val="687"/>
              <w:pBdr/>
              <w:spacing/>
              <w:ind/>
              <w:rPr/>
            </w:pPr>
            <w:r>
              <w:t xml:space="preserve">What is Onerous Here</w:t>
            </w:r>
            <w:r/>
          </w:p>
        </w:tc>
        <w:tc>
          <w:tcPr>
            <w:tcBorders/>
            <w:textDirection w:val="lrTb"/>
            <w:noWrap w:val="false"/>
          </w:tcPr>
          <w:p>
            <w:pPr>
              <w:pStyle w:val="687"/>
              <w:pBdr/>
              <w:spacing/>
              <w:ind/>
              <w:rPr/>
            </w:pPr>
            <w:r>
              <w:t xml:space="preserve">Type of Onerous Clause</w:t>
            </w:r>
            <w:r/>
          </w:p>
        </w:tc>
      </w:tr>
      <w:tr>
        <w:trPr/>
        <w:tc>
          <w:tcPr>
            <w:tcBorders/>
            <w:tcW w:w="2129" w:type="dxa"/>
            <w:vMerge w:val="restart"/>
            <w:textDirection w:val="lrTb"/>
            <w:noWrap w:val="false"/>
          </w:tcPr>
          <w:p>
            <w:pPr>
              <w:pStyle w:val="687"/>
              <w:pBdr/>
              <w:spacing/>
              <w:ind/>
              <w:rPr/>
            </w:pPr>
            <w:r>
              <w:rPr>
                <w:b/>
                <w:bCs/>
              </w:rPr>
              <w:t xml:space="preserve">11FormatofBankGuarantee.pdf</w:t>
            </w:r>
            <w:r/>
          </w:p>
          <w:p>
            <w:pPr>
              <w:pStyle w:val="687"/>
              <w:pBdr/>
              <w:spacing/>
              <w:ind/>
              <w:rPr/>
            </w:pPr>
            <w:r/>
            <w:r/>
          </w:p>
        </w:tc>
        <w:tc>
          <w:tcPr>
            <w:tcBorders/>
            <w:textDirection w:val="lrTb"/>
            <w:noWrap w:val="false"/>
          </w:tcPr>
          <w:p>
            <w:pPr>
              <w:pStyle w:val="687"/>
              <w:pBdr/>
              <w:spacing/>
              <w:ind/>
              <w:rPr/>
            </w:pPr>
            <w:r>
              <w:t xml:space="preserve">Indian Institute of Technology Palakkad</w:t>
            </w:r>
            <w:r/>
          </w:p>
        </w:tc>
        <w:tc>
          <w:tcPr>
            <w:tcBorders/>
            <w:textDirection w:val="lrTb"/>
            <w:noWrap w:val="false"/>
          </w:tcPr>
          <w:p>
            <w:pPr>
              <w:pStyle w:val="687"/>
              <w:pBdr/>
              <w:spacing/>
              <w:ind/>
              <w:rPr/>
            </w:pPr>
            <w:r>
              <w:t xml:space="preserve">“We undertake to pay you, upon your first written demand declaring the supplier to be default under the contract and without cavil or arguments, any sum or sums… without your needing to prove or to show grounds of reasons for your demand…”</w:t>
            </w:r>
            <w:r/>
          </w:p>
        </w:tc>
        <w:tc>
          <w:tcPr>
            <w:tcBorders/>
            <w:textDirection w:val="lrTb"/>
            <w:noWrap w:val="false"/>
          </w:tcPr>
          <w:p>
            <w:pPr>
              <w:pStyle w:val="687"/>
              <w:pBdr/>
              <w:spacing/>
              <w:ind/>
              <w:rPr/>
            </w:pPr>
            <w:r>
              <w:t xml:space="preserve">Bank must pay immediately on demand without proof or justification; exposes bank to high liability risk without recourse.</w:t>
            </w:r>
            <w:r/>
          </w:p>
        </w:tc>
        <w:tc>
          <w:tcPr>
            <w:tcBorders/>
            <w:textDirection w:val="lrTb"/>
            <w:noWrap w:val="false"/>
          </w:tcPr>
          <w:p>
            <w:pPr>
              <w:pStyle w:val="687"/>
              <w:pBdr/>
              <w:spacing/>
              <w:ind/>
              <w:rPr/>
            </w:pPr>
            <w:r>
              <w:rPr>
                <w:b/>
                <w:bCs/>
              </w:rPr>
              <w:t xml:space="preserve">Unconditional &amp; On-demand Payment Obligation</w:t>
            </w:r>
            <w:r/>
          </w:p>
        </w:tc>
      </w:tr>
      <w:tr>
        <w:trPr/>
        <w:tc>
          <w:tcPr>
            <w:tcBorders/>
            <w:vMerge w:val="continue"/>
            <w:textDirection w:val="lrTb"/>
            <w:noWrap w:val="false"/>
          </w:tcPr>
          <w:p>
            <w:pPr>
              <w:pBdr/>
              <w:spacing/>
              <w:ind/>
              <w:rPr/>
            </w:pPr>
            <w:r/>
          </w:p>
        </w:tc>
        <w:tc>
          <w:tcPr>
            <w:tcBorders/>
            <w:textDirection w:val="lrTb"/>
            <w:noWrap w:val="false"/>
          </w:tcPr>
          <w:p>
            <w:pPr>
              <w:pStyle w:val="687"/>
              <w:pBdr/>
              <w:spacing/>
              <w:ind/>
              <w:rPr/>
            </w:pPr>
            <w:r/>
            <w:r/>
          </w:p>
        </w:tc>
        <w:tc>
          <w:tcPr>
            <w:tcBorders/>
            <w:textDirection w:val="lrTb"/>
            <w:noWrap w:val="false"/>
          </w:tcPr>
          <w:p>
            <w:pPr>
              <w:pStyle w:val="687"/>
              <w:pBdr/>
              <w:spacing/>
              <w:ind/>
              <w:rPr/>
            </w:pPr>
            <w:r>
              <w:t xml:space="preserve">“We further agree that no change or addition to or other modification of the terms of the contract… shall in any way release us from any liability under this guarantee…”</w:t>
            </w:r>
            <w:r/>
          </w:p>
        </w:tc>
        <w:tc>
          <w:tcPr>
            <w:tcBorders/>
            <w:textDirection w:val="lrTb"/>
            <w:noWrap w:val="false"/>
          </w:tcPr>
          <w:p>
            <w:pPr>
              <w:pStyle w:val="687"/>
              <w:pBdr/>
              <w:spacing/>
              <w:ind/>
              <w:rPr/>
            </w:pPr>
            <w:r>
              <w:t xml:space="preserve">Bank remains bound even if contract terms are changed without its consent.</w:t>
            </w:r>
            <w:r/>
          </w:p>
        </w:tc>
        <w:tc>
          <w:tcPr>
            <w:tcBorders/>
            <w:textDirection w:val="lrTb"/>
            <w:noWrap w:val="false"/>
          </w:tcPr>
          <w:p>
            <w:pPr>
              <w:pStyle w:val="687"/>
              <w:pBdr/>
              <w:spacing/>
              <w:ind/>
              <w:rPr/>
            </w:pPr>
            <w:r>
              <w:rPr>
                <w:b/>
                <w:bCs/>
              </w:rPr>
              <w:t xml:space="preserve">Waiver of Defences</w:t>
            </w:r>
            <w:r/>
          </w:p>
        </w:tc>
      </w:tr>
      <w:tr>
        <w:trPr/>
        <w:tc>
          <w:tcPr>
            <w:tcBorders/>
            <w:tcW w:w="2129" w:type="dxa"/>
            <w:vMerge w:val="restart"/>
            <w:textDirection w:val="lrTb"/>
            <w:noWrap w:val="false"/>
          </w:tcPr>
          <w:p>
            <w:pPr>
              <w:pStyle w:val="687"/>
              <w:pBdr/>
              <w:spacing/>
              <w:ind/>
              <w:rPr/>
            </w:pPr>
            <w:r>
              <w:rPr>
                <w:b/>
                <w:bCs/>
              </w:rPr>
              <w:t xml:space="preserve">171930889165BG Format.pdf</w:t>
            </w:r>
            <w:r/>
          </w:p>
          <w:p>
            <w:pPr>
              <w:pStyle w:val="687"/>
              <w:pBdr/>
              <w:spacing/>
              <w:ind/>
              <w:rPr/>
            </w:pPr>
            <w:r/>
            <w:r/>
          </w:p>
          <w:p>
            <w:pPr>
              <w:pStyle w:val="687"/>
              <w:pBdr/>
              <w:spacing/>
              <w:ind/>
              <w:rPr/>
            </w:pPr>
            <w:r/>
            <w:r/>
          </w:p>
        </w:tc>
        <w:tc>
          <w:tcPr>
            <w:tcBorders/>
            <w:textDirection w:val="lrTb"/>
            <w:noWrap w:val="false"/>
          </w:tcPr>
          <w:p>
            <w:pPr>
              <w:pStyle w:val="687"/>
              <w:pBdr/>
              <w:spacing/>
              <w:ind/>
              <w:rPr/>
            </w:pPr>
            <w:r>
              <w:t xml:space="preserve">Haryana State Industrial &amp; Infrastructural Development Corporation Ltd.</w:t>
            </w:r>
            <w:r/>
          </w:p>
        </w:tc>
        <w:tc>
          <w:tcPr>
            <w:tcBorders/>
            <w:textDirection w:val="lrTb"/>
            <w:noWrap w:val="false"/>
          </w:tcPr>
          <w:p>
            <w:pPr>
              <w:pStyle w:val="687"/>
              <w:pBdr/>
              <w:spacing/>
              <w:ind/>
              <w:rPr/>
            </w:pPr>
            <w:r>
              <w:t xml:space="preserve">“The Bank shall on first demand in writing… without any protest or demur or proof… pay any and all amounts demanded from the Bank by Seller…”</w:t>
            </w:r>
            <w:r/>
          </w:p>
        </w:tc>
        <w:tc>
          <w:tcPr>
            <w:tcBorders/>
            <w:textDirection w:val="lrTb"/>
            <w:noWrap w:val="false"/>
          </w:tcPr>
          <w:p>
            <w:pPr>
              <w:pStyle w:val="687"/>
              <w:pBdr/>
              <w:spacing/>
              <w:ind/>
              <w:rPr/>
            </w:pPr>
            <w:r>
              <w:t xml:space="preserve">Payment obligation is absolute and triggered solely by beneficiary’s demand.</w:t>
            </w:r>
            <w:r/>
          </w:p>
        </w:tc>
        <w:tc>
          <w:tcPr>
            <w:tcBorders/>
            <w:textDirection w:val="lrTb"/>
            <w:noWrap w:val="false"/>
          </w:tcPr>
          <w:p>
            <w:pPr>
              <w:pStyle w:val="687"/>
              <w:pBdr/>
              <w:spacing/>
              <w:ind/>
              <w:rPr/>
            </w:pPr>
            <w:r>
              <w:rPr>
                <w:b/>
                <w:bCs/>
              </w:rPr>
              <w:t xml:space="preserve">Unconditional &amp; On-demand Payment Obligation</w:t>
            </w:r>
            <w:r/>
          </w:p>
        </w:tc>
      </w:tr>
      <w:tr>
        <w:trPr/>
        <w:tc>
          <w:tcPr>
            <w:tcBorders/>
            <w:vMerge w:val="continue"/>
            <w:textDirection w:val="lrTb"/>
            <w:noWrap w:val="false"/>
          </w:tcPr>
          <w:p>
            <w:pPr>
              <w:pBdr/>
              <w:spacing/>
              <w:ind/>
              <w:rPr/>
            </w:pPr>
            <w:r/>
          </w:p>
        </w:tc>
        <w:tc>
          <w:tcPr>
            <w:tcBorders/>
            <w:textDirection w:val="lrTb"/>
            <w:noWrap w:val="false"/>
          </w:tcPr>
          <w:p>
            <w:pPr>
              <w:pStyle w:val="687"/>
              <w:pBdr/>
              <w:spacing/>
              <w:ind/>
              <w:rPr/>
            </w:pPr>
            <w:r/>
            <w:r/>
          </w:p>
        </w:tc>
        <w:tc>
          <w:tcPr>
            <w:tcBorders/>
            <w:textDirection w:val="lrTb"/>
            <w:noWrap w:val="false"/>
          </w:tcPr>
          <w:p>
            <w:pPr>
              <w:pStyle w:val="687"/>
              <w:pBdr/>
              <w:spacing/>
              <w:ind/>
              <w:rPr/>
            </w:pPr>
            <w:r>
              <w:t xml:space="preserve">“Seller’s right to recover… will not be affected… by reason of disputes raised by the Buyer… demand… shall be final and binding on the bank.”</w:t>
            </w:r>
            <w:r/>
          </w:p>
        </w:tc>
        <w:tc>
          <w:tcPr>
            <w:tcBorders/>
            <w:textDirection w:val="lrTb"/>
            <w:noWrap w:val="false"/>
          </w:tcPr>
          <w:p>
            <w:pPr>
              <w:pStyle w:val="687"/>
              <w:pBdr/>
              <w:spacing/>
              <w:ind/>
              <w:rPr/>
            </w:pPr>
            <w:r>
              <w:t xml:space="preserve">Bank cannot withhold payment even if disputes or litigation are ongoing.</w:t>
            </w:r>
            <w:r/>
          </w:p>
        </w:tc>
        <w:tc>
          <w:tcPr>
            <w:tcBorders/>
            <w:textDirection w:val="lrTb"/>
            <w:noWrap w:val="false"/>
          </w:tcPr>
          <w:p>
            <w:pPr>
              <w:pStyle w:val="687"/>
              <w:pBdr/>
              <w:spacing/>
              <w:ind/>
              <w:rPr/>
            </w:pPr>
            <w:r>
              <w:rPr>
                <w:b/>
                <w:bCs/>
              </w:rPr>
              <w:t xml:space="preserve">Exclusion of Defences / Waiver of Rights</w:t>
            </w:r>
            <w:r/>
          </w:p>
        </w:tc>
      </w:tr>
      <w:tr>
        <w:trPr/>
        <w:tc>
          <w:tcPr>
            <w:tcBorders/>
            <w:vMerge w:val="continue"/>
            <w:textDirection w:val="lrTb"/>
            <w:noWrap w:val="false"/>
          </w:tcPr>
          <w:p>
            <w:pPr>
              <w:pBdr/>
              <w:spacing/>
              <w:ind/>
              <w:rPr/>
            </w:pPr>
            <w:r/>
          </w:p>
        </w:tc>
        <w:tc>
          <w:tcPr>
            <w:tcBorders/>
            <w:textDirection w:val="lrTb"/>
            <w:noWrap w:val="false"/>
          </w:tcPr>
          <w:p>
            <w:pPr>
              <w:pStyle w:val="687"/>
              <w:pBdr/>
              <w:spacing/>
              <w:ind/>
              <w:rPr/>
            </w:pPr>
            <w:r/>
            <w:r/>
          </w:p>
        </w:tc>
        <w:tc>
          <w:tcPr>
            <w:tcBorders/>
            <w:textDirection w:val="lrTb"/>
            <w:noWrap w:val="false"/>
          </w:tcPr>
          <w:p>
            <w:pPr>
              <w:pStyle w:val="687"/>
              <w:pBdr/>
              <w:spacing/>
              <w:ind/>
              <w:rPr/>
            </w:pPr>
            <w:r>
              <w:t xml:space="preserve">“The Bank shall not revoke this guarantee during the currency except with the previous consent of Seller…”</w:t>
            </w:r>
            <w:r/>
          </w:p>
        </w:tc>
        <w:tc>
          <w:tcPr>
            <w:tcBorders/>
            <w:textDirection w:val="lrTb"/>
            <w:noWrap w:val="false"/>
          </w:tcPr>
          <w:p>
            <w:pPr>
              <w:pStyle w:val="687"/>
              <w:pBdr/>
              <w:spacing/>
              <w:ind/>
              <w:rPr/>
            </w:pPr>
            <w:r>
              <w:t xml:space="preserve">Restricts bank’s right to revoke guarantee, even in adverse circumstances.</w:t>
            </w:r>
            <w:r/>
          </w:p>
        </w:tc>
        <w:tc>
          <w:tcPr>
            <w:tcBorders/>
            <w:textDirection w:val="lrTb"/>
            <w:noWrap w:val="false"/>
          </w:tcPr>
          <w:p>
            <w:pPr>
              <w:pStyle w:val="687"/>
              <w:pBdr/>
              <w:spacing/>
              <w:ind/>
              <w:rPr/>
            </w:pPr>
            <w:r>
              <w:rPr>
                <w:b/>
                <w:bCs/>
              </w:rPr>
              <w:t xml:space="preserve">Irrevocability Clause</w:t>
            </w:r>
            <w:r/>
          </w:p>
        </w:tc>
      </w:tr>
      <w:tr>
        <w:trPr/>
        <w:tc>
          <w:tcPr>
            <w:tcBorders/>
            <w:tcW w:w="2129" w:type="dxa"/>
            <w:vMerge w:val="restart"/>
            <w:textDirection w:val="lrTb"/>
            <w:noWrap w:val="false"/>
          </w:tcPr>
          <w:p>
            <w:pPr>
              <w:pStyle w:val="687"/>
              <w:pBdr/>
              <w:spacing/>
              <w:ind/>
              <w:rPr/>
            </w:pPr>
            <w:r>
              <w:rPr>
                <w:b/>
                <w:bCs/>
              </w:rPr>
              <w:t xml:space="preserve">BG_Format_PBG.pdf</w:t>
            </w:r>
            <w:r/>
          </w:p>
          <w:p>
            <w:pPr>
              <w:pStyle w:val="687"/>
              <w:pBdr/>
              <w:spacing/>
              <w:ind/>
              <w:rPr/>
            </w:pPr>
            <w:r/>
            <w:r/>
          </w:p>
        </w:tc>
        <w:tc>
          <w:tcPr>
            <w:tcBorders/>
            <w:textDirection w:val="lrTb"/>
            <w:noWrap w:val="false"/>
          </w:tcPr>
          <w:p>
            <w:pPr>
              <w:pStyle w:val="687"/>
              <w:pBdr/>
              <w:spacing/>
              <w:ind/>
              <w:rPr/>
            </w:pPr>
            <w:r>
              <w:t xml:space="preserve">Generic (Performance Guarantee – Purchaser)</w:t>
            </w:r>
            <w:r/>
          </w:p>
        </w:tc>
        <w:tc>
          <w:tcPr>
            <w:tcBorders/>
            <w:textDirection w:val="lrTb"/>
            <w:noWrap w:val="false"/>
          </w:tcPr>
          <w:p>
            <w:pPr>
              <w:pStyle w:val="687"/>
              <w:pBdr/>
              <w:spacing/>
              <w:ind/>
              <w:rPr/>
            </w:pPr>
            <w:r>
              <w:t xml:space="preserve">“We… guarantee and undertake to pay… without any demur, reservation, contest, recourse or protest and/or without any reference to the Contractor… Any such demand… shall be conclusive and binding notwithstanding… disputes pending…”</w:t>
            </w:r>
            <w:r/>
          </w:p>
        </w:tc>
        <w:tc>
          <w:tcPr>
            <w:tcBorders/>
            <w:textDirection w:val="lrTb"/>
            <w:noWrap w:val="false"/>
          </w:tcPr>
          <w:p>
            <w:pPr>
              <w:pStyle w:val="687"/>
              <w:pBdr/>
              <w:spacing/>
              <w:ind/>
              <w:rPr/>
            </w:pPr>
            <w:r>
              <w:t xml:space="preserve">Bank has no discretion to contest demand; must honour regardless of disputes or defences.</w:t>
            </w:r>
            <w:r/>
          </w:p>
        </w:tc>
        <w:tc>
          <w:tcPr>
            <w:tcBorders/>
            <w:textDirection w:val="lrTb"/>
            <w:noWrap w:val="false"/>
          </w:tcPr>
          <w:p>
            <w:pPr>
              <w:pStyle w:val="687"/>
              <w:pBdr/>
              <w:spacing/>
              <w:ind/>
              <w:rPr/>
            </w:pPr>
            <w:r>
              <w:rPr>
                <w:b/>
                <w:bCs/>
              </w:rPr>
              <w:t xml:space="preserve">Absolute &amp; Unconditional Payment Obligation</w:t>
            </w:r>
            <w:r/>
          </w:p>
        </w:tc>
      </w:tr>
      <w:tr>
        <w:trPr/>
        <w:tc>
          <w:tcPr>
            <w:tcBorders/>
            <w:vMerge w:val="continue"/>
            <w:textDirection w:val="lrTb"/>
            <w:noWrap w:val="false"/>
          </w:tcPr>
          <w:p>
            <w:pPr>
              <w:pBdr/>
              <w:spacing/>
              <w:ind/>
              <w:rPr/>
            </w:pPr>
            <w:r/>
          </w:p>
        </w:tc>
        <w:tc>
          <w:tcPr>
            <w:tcBorders/>
            <w:textDirection w:val="lrTb"/>
            <w:noWrap w:val="false"/>
          </w:tcPr>
          <w:p>
            <w:pPr>
              <w:pStyle w:val="687"/>
              <w:pBdr/>
              <w:spacing/>
              <w:ind/>
              <w:rPr/>
            </w:pPr>
            <w:r/>
            <w:r/>
          </w:p>
        </w:tc>
        <w:tc>
          <w:tcPr>
            <w:tcBorders/>
            <w:textDirection w:val="lrTb"/>
            <w:noWrap w:val="false"/>
          </w:tcPr>
          <w:p>
            <w:pPr>
              <w:pStyle w:val="687"/>
              <w:pBdr/>
              <w:spacing/>
              <w:ind/>
              <w:rPr/>
            </w:pPr>
            <w:r>
              <w:t xml:space="preserve">“The Bank also agrees that the Purchaser… shall be entitled to enforce this Guarantee against the Bank as a principal debtor, in the first instance without proceeding against the Contractor…”</w:t>
            </w:r>
            <w:r/>
          </w:p>
        </w:tc>
        <w:tc>
          <w:tcPr>
            <w:tcBorders/>
            <w:textDirection w:val="lrTb"/>
            <w:noWrap w:val="false"/>
          </w:tcPr>
          <w:p>
            <w:pPr>
              <w:pStyle w:val="687"/>
              <w:pBdr/>
              <w:spacing/>
              <w:ind/>
              <w:rPr/>
            </w:pPr>
            <w:r>
              <w:t xml:space="preserve">Bank treated as primary obligor, bypassing contractor liability.</w:t>
            </w:r>
            <w:r/>
          </w:p>
        </w:tc>
        <w:tc>
          <w:tcPr>
            <w:tcBorders/>
            <w:textDirection w:val="lrTb"/>
            <w:noWrap w:val="false"/>
          </w:tcPr>
          <w:p>
            <w:pPr>
              <w:pStyle w:val="687"/>
              <w:pBdr/>
              <w:spacing/>
              <w:ind/>
              <w:rPr/>
            </w:pPr>
            <w:r>
              <w:rPr>
                <w:b/>
                <w:bCs/>
              </w:rPr>
              <w:t xml:space="preserve">Primary Liability Assumption</w:t>
            </w:r>
            <w:r/>
          </w:p>
        </w:tc>
      </w:tr>
      <w:tr>
        <w:trPr/>
        <w:tc>
          <w:tcPr>
            <w:tcBorders/>
            <w:tcW w:w="2129" w:type="dxa"/>
            <w:vMerge w:val="restart"/>
            <w:textDirection w:val="lrTb"/>
            <w:noWrap w:val="false"/>
          </w:tcPr>
          <w:p>
            <w:pPr>
              <w:pStyle w:val="687"/>
              <w:pBdr/>
              <w:spacing/>
              <w:ind/>
              <w:rPr/>
            </w:pPr>
            <w:r>
              <w:rPr>
                <w:b/>
                <w:bCs/>
              </w:rPr>
              <w:t xml:space="preserve">EMD format_0.pdf</w:t>
            </w:r>
            <w:r/>
          </w:p>
          <w:p>
            <w:pPr>
              <w:pStyle w:val="687"/>
              <w:pBdr/>
              <w:spacing/>
              <w:ind/>
              <w:rPr/>
            </w:pPr>
            <w:r/>
            <w:r/>
          </w:p>
          <w:p>
            <w:pPr>
              <w:pStyle w:val="687"/>
              <w:pBdr/>
              <w:spacing/>
              <w:ind/>
              <w:rPr/>
            </w:pPr>
            <w:r/>
            <w:r/>
          </w:p>
        </w:tc>
        <w:tc>
          <w:tcPr>
            <w:tcBorders/>
            <w:textDirection w:val="lrTb"/>
            <w:noWrap w:val="false"/>
          </w:tcPr>
          <w:p>
            <w:pPr>
              <w:pStyle w:val="687"/>
              <w:pBdr/>
              <w:spacing/>
              <w:ind/>
              <w:rPr/>
            </w:pPr>
            <w:r>
              <w:t xml:space="preserve">NewSpace India Limited (NSIL)</w:t>
            </w:r>
            <w:r/>
          </w:p>
        </w:tc>
        <w:tc>
          <w:tcPr>
            <w:tcBorders/>
            <w:textDirection w:val="lrTb"/>
            <w:noWrap w:val="false"/>
          </w:tcPr>
          <w:p>
            <w:pPr>
              <w:pStyle w:val="687"/>
              <w:pBdr/>
              <w:spacing/>
              <w:ind/>
              <w:rPr/>
            </w:pPr>
            <w:r>
              <w:t xml:space="preserve">“We… agree unequivocally and unconditionally to pay immediately on demand in writing… any amount not exceeding Rs.… to the said NewSpace India Limited on behalf of the bidder.”</w:t>
            </w:r>
            <w:r/>
          </w:p>
        </w:tc>
        <w:tc>
          <w:tcPr>
            <w:tcBorders/>
            <w:textDirection w:val="lrTb"/>
            <w:noWrap w:val="false"/>
          </w:tcPr>
          <w:p>
            <w:pPr>
              <w:pStyle w:val="687"/>
              <w:pBdr/>
              <w:spacing/>
              <w:ind/>
              <w:rPr/>
            </w:pPr>
            <w:r>
              <w:t xml:space="preserve">Bank must pay instantly on beneficiary’s demand without conditions.</w:t>
            </w:r>
            <w:r/>
          </w:p>
        </w:tc>
        <w:tc>
          <w:tcPr>
            <w:tcBorders/>
            <w:textDirection w:val="lrTb"/>
            <w:noWrap w:val="false"/>
          </w:tcPr>
          <w:p>
            <w:pPr>
              <w:pStyle w:val="687"/>
              <w:pBdr/>
              <w:spacing/>
              <w:ind/>
              <w:rPr/>
            </w:pPr>
            <w:r>
              <w:rPr>
                <w:b/>
                <w:bCs/>
              </w:rPr>
              <w:t xml:space="preserve">Unconditional On-demand Payment</w:t>
            </w:r>
            <w:r/>
          </w:p>
        </w:tc>
      </w:tr>
      <w:tr>
        <w:trPr/>
        <w:tc>
          <w:tcPr>
            <w:tcBorders/>
            <w:vMerge w:val="continue"/>
            <w:textDirection w:val="lrTb"/>
            <w:noWrap w:val="false"/>
          </w:tcPr>
          <w:p>
            <w:pPr>
              <w:pBdr/>
              <w:spacing/>
              <w:ind/>
              <w:rPr/>
            </w:pPr>
            <w:r/>
          </w:p>
        </w:tc>
        <w:tc>
          <w:tcPr>
            <w:tcBorders/>
            <w:textDirection w:val="lrTb"/>
            <w:noWrap w:val="false"/>
          </w:tcPr>
          <w:p>
            <w:pPr>
              <w:pStyle w:val="687"/>
              <w:pBdr/>
              <w:spacing/>
              <w:ind/>
              <w:rPr/>
            </w:pPr>
            <w:r/>
            <w:r/>
          </w:p>
        </w:tc>
        <w:tc>
          <w:tcPr>
            <w:tcBorders/>
            <w:textDirection w:val="lrTb"/>
            <w:noWrap w:val="false"/>
          </w:tcPr>
          <w:p>
            <w:pPr>
              <w:pStyle w:val="687"/>
              <w:pBdr/>
              <w:spacing/>
              <w:ind/>
              <w:rPr/>
            </w:pPr>
            <w:r>
              <w:t xml:space="preserve">“This agreement shall be valid and binding… and shall not be terminable by notice or by Guarantor change in the constitution of the Bank or the firm of bidder…”</w:t>
            </w:r>
            <w:r/>
          </w:p>
        </w:tc>
        <w:tc>
          <w:tcPr>
            <w:tcBorders/>
            <w:textDirection w:val="lrTb"/>
            <w:noWrap w:val="false"/>
          </w:tcPr>
          <w:p>
            <w:pPr>
              <w:pStyle w:val="687"/>
              <w:pBdr/>
              <w:spacing/>
              <w:ind/>
              <w:rPr/>
            </w:pPr>
            <w:r>
              <w:t xml:space="preserve">Guarantee binding regardless of changes in bank/bidder structure.</w:t>
            </w:r>
            <w:r/>
          </w:p>
        </w:tc>
        <w:tc>
          <w:tcPr>
            <w:tcBorders/>
            <w:textDirection w:val="lrTb"/>
            <w:noWrap w:val="false"/>
          </w:tcPr>
          <w:p>
            <w:pPr>
              <w:pStyle w:val="687"/>
              <w:pBdr/>
              <w:spacing/>
              <w:ind/>
              <w:rPr/>
            </w:pPr>
            <w:r>
              <w:rPr>
                <w:b/>
                <w:bCs/>
              </w:rPr>
              <w:t xml:space="preserve">Irrevocability &amp; Continuity Clause</w:t>
            </w:r>
            <w:r/>
          </w:p>
        </w:tc>
      </w:tr>
      <w:tr>
        <w:trPr/>
        <w:tc>
          <w:tcPr>
            <w:tcBorders/>
            <w:vMerge w:val="continue"/>
            <w:textDirection w:val="lrTb"/>
            <w:noWrap w:val="false"/>
          </w:tcPr>
          <w:p>
            <w:pPr>
              <w:pBdr/>
              <w:spacing/>
              <w:ind/>
              <w:rPr/>
            </w:pPr>
            <w:r/>
          </w:p>
        </w:tc>
        <w:tc>
          <w:tcPr>
            <w:tcBorders/>
            <w:textDirection w:val="lrTb"/>
            <w:noWrap w:val="false"/>
          </w:tcPr>
          <w:p>
            <w:pPr>
              <w:pStyle w:val="687"/>
              <w:pBdr/>
              <w:spacing/>
              <w:ind/>
              <w:rPr/>
            </w:pPr>
            <w:r/>
            <w:r/>
          </w:p>
        </w:tc>
        <w:tc>
          <w:tcPr>
            <w:tcBorders/>
            <w:textDirection w:val="lrTb"/>
            <w:noWrap w:val="false"/>
          </w:tcPr>
          <w:p>
            <w:pPr>
              <w:pStyle w:val="687"/>
              <w:pBdr/>
              <w:spacing/>
              <w:ind/>
              <w:rPr/>
            </w:pPr>
            <w:r>
              <w:t xml:space="preserve">“This Guarantee shall not be assignable, transferable by the beneficiary… Invocation… can be made only by the beneficiary directly.”</w:t>
            </w:r>
            <w:r/>
          </w:p>
        </w:tc>
        <w:tc>
          <w:tcPr>
            <w:tcBorders/>
            <w:textDirection w:val="lrTb"/>
            <w:noWrap w:val="false"/>
          </w:tcPr>
          <w:p>
            <w:pPr>
              <w:pStyle w:val="687"/>
              <w:pBdr/>
              <w:spacing/>
              <w:ind/>
              <w:rPr/>
            </w:pPr>
            <w:r>
              <w:t xml:space="preserve">Limits transferability but makes invocation rigidly enforceable by NSIL.</w:t>
            </w:r>
            <w:r/>
          </w:p>
        </w:tc>
        <w:tc>
          <w:tcPr>
            <w:tcBorders/>
            <w:textDirection w:val="lrTb"/>
            <w:noWrap w:val="false"/>
          </w:tcPr>
          <w:p>
            <w:pPr>
              <w:pStyle w:val="687"/>
              <w:pBdr/>
              <w:spacing/>
              <w:ind/>
              <w:rPr/>
            </w:pPr>
            <w:r>
              <w:rPr>
                <w:b/>
                <w:bCs/>
              </w:rPr>
              <w:t xml:space="preserve">Restrictive Invocation / Assignment Clause</w:t>
            </w:r>
            <w:r/>
          </w:p>
        </w:tc>
      </w:tr>
    </w:tbl>
    <w:p>
      <w:pPr>
        <w:pStyle w:val="685"/>
        <w:pBdr/>
        <w:spacing/>
        <w:ind/>
        <w:rPr/>
      </w:pPr>
      <w:r/>
      <w:r/>
    </w:p>
    <w:sectPr>
      <w:footnotePr>
        <w:numRestart w:val="eachSect"/>
      </w:footnotePr>
      <w:endnotePr/>
      <w:type w:val="nextPage"/>
      <w:pgSz w:h="11906" w:orient="landscape" w:w="16838"/>
      <w:pgMar w:top="1701" w:right="1134" w:bottom="850" w:left="1134"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9" w:default="1">
    <w:name w:val="No List"/>
    <w:uiPriority w:val="99"/>
    <w:semiHidden/>
    <w:unhideWhenUsed/>
    <w:pPr>
      <w:pBdr/>
      <w:spacing/>
      <w:ind/>
    </w:pPr>
  </w:style>
  <w:style w:type="paragraph" w:styleId="163">
    <w:name w:val="Quote"/>
    <w:basedOn w:val="684"/>
    <w:next w:val="684"/>
    <w:link w:val="164"/>
    <w:uiPriority w:val="29"/>
    <w:qFormat/>
    <w:pPr>
      <w:pBdr/>
      <w:spacing w:before="160"/>
      <w:ind/>
      <w:jc w:val="center"/>
    </w:pPr>
    <w:rPr>
      <w:i/>
      <w:iCs/>
      <w:color w:val="404040" w:themeColor="text1" w:themeTint="BF"/>
    </w:rPr>
  </w:style>
  <w:style w:type="character" w:styleId="164">
    <w:name w:val="Quote Char"/>
    <w:basedOn w:val="718"/>
    <w:link w:val="163"/>
    <w:uiPriority w:val="29"/>
    <w:pPr>
      <w:pBdr/>
      <w:spacing/>
      <w:ind/>
    </w:pPr>
    <w:rPr>
      <w:i/>
      <w:iCs/>
      <w:color w:val="404040" w:themeColor="text1" w:themeTint="BF"/>
    </w:rPr>
  </w:style>
  <w:style w:type="paragraph" w:styleId="165">
    <w:name w:val="List Paragraph"/>
    <w:basedOn w:val="684"/>
    <w:uiPriority w:val="34"/>
    <w:qFormat/>
    <w:pPr>
      <w:pBdr/>
      <w:spacing/>
      <w:ind w:left="720"/>
      <w:contextualSpacing w:val="true"/>
    </w:pPr>
  </w:style>
  <w:style w:type="character" w:styleId="166">
    <w:name w:val="Intense Emphasis"/>
    <w:basedOn w:val="718"/>
    <w:uiPriority w:val="21"/>
    <w:qFormat/>
    <w:pPr>
      <w:pBdr/>
      <w:spacing/>
      <w:ind/>
    </w:pPr>
    <w:rPr>
      <w:i/>
      <w:iCs/>
      <w:color w:val="0f4761" w:themeColor="accent1" w:themeShade="BF"/>
    </w:rPr>
  </w:style>
  <w:style w:type="paragraph" w:styleId="167">
    <w:name w:val="Intense Quote"/>
    <w:basedOn w:val="684"/>
    <w:next w:val="68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718"/>
    <w:link w:val="167"/>
    <w:uiPriority w:val="30"/>
    <w:pPr>
      <w:pBdr/>
      <w:spacing/>
      <w:ind/>
    </w:pPr>
    <w:rPr>
      <w:i/>
      <w:iCs/>
      <w:color w:val="0f4761" w:themeColor="accent1" w:themeShade="BF"/>
    </w:rPr>
  </w:style>
  <w:style w:type="character" w:styleId="169">
    <w:name w:val="Intense Reference"/>
    <w:basedOn w:val="718"/>
    <w:uiPriority w:val="32"/>
    <w:qFormat/>
    <w:pPr>
      <w:pBdr/>
      <w:spacing/>
      <w:ind/>
    </w:pPr>
    <w:rPr>
      <w:b/>
      <w:bCs/>
      <w:smallCaps/>
      <w:color w:val="0f4761" w:themeColor="accent1" w:themeShade="BF"/>
      <w:spacing w:val="5"/>
    </w:rPr>
  </w:style>
  <w:style w:type="paragraph" w:styleId="170">
    <w:name w:val="No Spacing"/>
    <w:basedOn w:val="684"/>
    <w:uiPriority w:val="1"/>
    <w:qFormat/>
    <w:pPr>
      <w:pBdr/>
      <w:spacing w:after="0" w:line="240" w:lineRule="auto"/>
      <w:ind/>
    </w:pPr>
  </w:style>
  <w:style w:type="character" w:styleId="171">
    <w:name w:val="Subtle Emphasis"/>
    <w:basedOn w:val="718"/>
    <w:uiPriority w:val="19"/>
    <w:qFormat/>
    <w:pPr>
      <w:pBdr/>
      <w:spacing/>
      <w:ind/>
    </w:pPr>
    <w:rPr>
      <w:i/>
      <w:iCs/>
      <w:color w:val="404040" w:themeColor="text1" w:themeTint="BF"/>
    </w:rPr>
  </w:style>
  <w:style w:type="character" w:styleId="172">
    <w:name w:val="Emphasis"/>
    <w:basedOn w:val="718"/>
    <w:uiPriority w:val="20"/>
    <w:qFormat/>
    <w:pPr>
      <w:pBdr/>
      <w:spacing/>
      <w:ind/>
    </w:pPr>
    <w:rPr>
      <w:i/>
      <w:iCs/>
    </w:rPr>
  </w:style>
  <w:style w:type="character" w:styleId="173">
    <w:name w:val="Strong"/>
    <w:basedOn w:val="718"/>
    <w:uiPriority w:val="22"/>
    <w:qFormat/>
    <w:pPr>
      <w:pBdr/>
      <w:spacing/>
      <w:ind/>
    </w:pPr>
    <w:rPr>
      <w:b/>
      <w:bCs/>
    </w:rPr>
  </w:style>
  <w:style w:type="character" w:styleId="174">
    <w:name w:val="Subtle Reference"/>
    <w:basedOn w:val="718"/>
    <w:uiPriority w:val="31"/>
    <w:qFormat/>
    <w:pPr>
      <w:pBdr/>
      <w:spacing/>
      <w:ind/>
    </w:pPr>
    <w:rPr>
      <w:smallCaps/>
      <w:color w:val="5a5a5a" w:themeColor="text1" w:themeTint="A5"/>
    </w:rPr>
  </w:style>
  <w:style w:type="character" w:styleId="175">
    <w:name w:val="Book Title"/>
    <w:basedOn w:val="718"/>
    <w:uiPriority w:val="33"/>
    <w:qFormat/>
    <w:pPr>
      <w:pBdr/>
      <w:spacing/>
      <w:ind/>
    </w:pPr>
    <w:rPr>
      <w:b/>
      <w:bCs/>
      <w:i/>
      <w:iCs/>
      <w:spacing w:val="5"/>
    </w:rPr>
  </w:style>
  <w:style w:type="paragraph" w:styleId="176">
    <w:name w:val="Header"/>
    <w:basedOn w:val="684"/>
    <w:link w:val="177"/>
    <w:uiPriority w:val="99"/>
    <w:unhideWhenUsed/>
    <w:pPr>
      <w:pBdr/>
      <w:tabs>
        <w:tab w:val="center" w:leader="none" w:pos="4844"/>
        <w:tab w:val="right" w:leader="none" w:pos="9689"/>
      </w:tabs>
      <w:spacing w:after="0" w:line="240" w:lineRule="auto"/>
      <w:ind/>
    </w:pPr>
  </w:style>
  <w:style w:type="character" w:styleId="177">
    <w:name w:val="Header Char"/>
    <w:basedOn w:val="718"/>
    <w:link w:val="176"/>
    <w:uiPriority w:val="99"/>
    <w:pPr>
      <w:pBdr/>
      <w:spacing/>
      <w:ind/>
    </w:pPr>
  </w:style>
  <w:style w:type="paragraph" w:styleId="178">
    <w:name w:val="Footer"/>
    <w:basedOn w:val="684"/>
    <w:link w:val="179"/>
    <w:uiPriority w:val="99"/>
    <w:unhideWhenUsed/>
    <w:pPr>
      <w:pBdr/>
      <w:tabs>
        <w:tab w:val="center" w:leader="none" w:pos="4844"/>
        <w:tab w:val="right" w:leader="none" w:pos="9689"/>
      </w:tabs>
      <w:spacing w:after="0" w:line="240" w:lineRule="auto"/>
      <w:ind/>
    </w:pPr>
  </w:style>
  <w:style w:type="character" w:styleId="179">
    <w:name w:val="Footer Char"/>
    <w:basedOn w:val="718"/>
    <w:link w:val="178"/>
    <w:uiPriority w:val="99"/>
    <w:pPr>
      <w:pBdr/>
      <w:spacing/>
      <w:ind/>
    </w:pPr>
  </w:style>
  <w:style w:type="character" w:styleId="182">
    <w:name w:val="Footnote Text Char"/>
    <w:basedOn w:val="718"/>
    <w:link w:val="716"/>
    <w:uiPriority w:val="99"/>
    <w:semiHidden/>
    <w:pPr>
      <w:pBdr/>
      <w:spacing/>
      <w:ind/>
    </w:pPr>
    <w:rPr>
      <w:sz w:val="20"/>
      <w:szCs w:val="20"/>
    </w:rPr>
  </w:style>
  <w:style w:type="paragraph" w:styleId="184">
    <w:name w:val="endnote text"/>
    <w:basedOn w:val="684"/>
    <w:link w:val="185"/>
    <w:uiPriority w:val="99"/>
    <w:semiHidden/>
    <w:unhideWhenUsed/>
    <w:pPr>
      <w:pBdr/>
      <w:spacing w:after="0" w:line="240" w:lineRule="auto"/>
      <w:ind/>
    </w:pPr>
    <w:rPr>
      <w:sz w:val="20"/>
      <w:szCs w:val="20"/>
    </w:rPr>
  </w:style>
  <w:style w:type="character" w:styleId="185">
    <w:name w:val="Endnote Text Char"/>
    <w:basedOn w:val="718"/>
    <w:link w:val="184"/>
    <w:uiPriority w:val="99"/>
    <w:semiHidden/>
    <w:pPr>
      <w:pBdr/>
      <w:spacing/>
      <w:ind/>
    </w:pPr>
    <w:rPr>
      <w:sz w:val="20"/>
      <w:szCs w:val="20"/>
    </w:rPr>
  </w:style>
  <w:style w:type="character" w:styleId="186">
    <w:name w:val="endnote reference"/>
    <w:basedOn w:val="718"/>
    <w:uiPriority w:val="99"/>
    <w:semiHidden/>
    <w:unhideWhenUsed/>
    <w:pPr>
      <w:pBdr/>
      <w:spacing/>
      <w:ind/>
    </w:pPr>
    <w:rPr>
      <w:vertAlign w:val="superscript"/>
    </w:rPr>
  </w:style>
  <w:style w:type="character" w:styleId="188">
    <w:name w:val="FollowedHyperlink"/>
    <w:basedOn w:val="718"/>
    <w:uiPriority w:val="99"/>
    <w:semiHidden/>
    <w:unhideWhenUsed/>
    <w:pPr>
      <w:pBdr/>
      <w:spacing/>
      <w:ind/>
    </w:pPr>
    <w:rPr>
      <w:color w:val="954f72" w:themeColor="followedHyperlink"/>
      <w:u w:val="single"/>
    </w:rPr>
  </w:style>
  <w:style w:type="paragraph" w:styleId="189">
    <w:name w:val="toc 1"/>
    <w:basedOn w:val="684"/>
    <w:next w:val="684"/>
    <w:uiPriority w:val="39"/>
    <w:unhideWhenUsed/>
    <w:pPr>
      <w:pBdr/>
      <w:spacing w:after="100"/>
      <w:ind/>
    </w:pPr>
  </w:style>
  <w:style w:type="paragraph" w:styleId="190">
    <w:name w:val="toc 2"/>
    <w:basedOn w:val="684"/>
    <w:next w:val="684"/>
    <w:uiPriority w:val="39"/>
    <w:unhideWhenUsed/>
    <w:pPr>
      <w:pBdr/>
      <w:spacing w:after="100"/>
      <w:ind w:left="220"/>
    </w:pPr>
  </w:style>
  <w:style w:type="paragraph" w:styleId="191">
    <w:name w:val="toc 3"/>
    <w:basedOn w:val="684"/>
    <w:next w:val="684"/>
    <w:uiPriority w:val="39"/>
    <w:unhideWhenUsed/>
    <w:pPr>
      <w:pBdr/>
      <w:spacing w:after="100"/>
      <w:ind w:left="440"/>
    </w:pPr>
  </w:style>
  <w:style w:type="paragraph" w:styleId="192">
    <w:name w:val="toc 4"/>
    <w:basedOn w:val="684"/>
    <w:next w:val="684"/>
    <w:uiPriority w:val="39"/>
    <w:unhideWhenUsed/>
    <w:pPr>
      <w:pBdr/>
      <w:spacing w:after="100"/>
      <w:ind w:left="660"/>
    </w:pPr>
  </w:style>
  <w:style w:type="paragraph" w:styleId="193">
    <w:name w:val="toc 5"/>
    <w:basedOn w:val="684"/>
    <w:next w:val="684"/>
    <w:uiPriority w:val="39"/>
    <w:unhideWhenUsed/>
    <w:pPr>
      <w:pBdr/>
      <w:spacing w:after="100"/>
      <w:ind w:left="880"/>
    </w:pPr>
  </w:style>
  <w:style w:type="paragraph" w:styleId="194">
    <w:name w:val="toc 6"/>
    <w:basedOn w:val="684"/>
    <w:next w:val="684"/>
    <w:uiPriority w:val="39"/>
    <w:unhideWhenUsed/>
    <w:pPr>
      <w:pBdr/>
      <w:spacing w:after="100"/>
      <w:ind w:left="1100"/>
    </w:pPr>
  </w:style>
  <w:style w:type="paragraph" w:styleId="195">
    <w:name w:val="toc 7"/>
    <w:basedOn w:val="684"/>
    <w:next w:val="684"/>
    <w:uiPriority w:val="39"/>
    <w:unhideWhenUsed/>
    <w:pPr>
      <w:pBdr/>
      <w:spacing w:after="100"/>
      <w:ind w:left="1320"/>
    </w:pPr>
  </w:style>
  <w:style w:type="paragraph" w:styleId="196">
    <w:name w:val="toc 8"/>
    <w:basedOn w:val="684"/>
    <w:next w:val="684"/>
    <w:uiPriority w:val="39"/>
    <w:unhideWhenUsed/>
    <w:pPr>
      <w:pBdr/>
      <w:spacing w:after="100"/>
      <w:ind w:left="1540"/>
    </w:pPr>
  </w:style>
  <w:style w:type="paragraph" w:styleId="197">
    <w:name w:val="toc 9"/>
    <w:basedOn w:val="684"/>
    <w:next w:val="684"/>
    <w:uiPriority w:val="39"/>
    <w:unhideWhenUsed/>
    <w:pPr>
      <w:pBdr/>
      <w:spacing w:after="100"/>
      <w:ind w:left="1760"/>
    </w:pPr>
  </w:style>
  <w:style w:type="character" w:styleId="198">
    <w:name w:val="Placeholder Text"/>
    <w:basedOn w:val="718"/>
    <w:uiPriority w:val="99"/>
    <w:semiHidden/>
    <w:pPr>
      <w:pBdr/>
      <w:spacing/>
      <w:ind/>
    </w:pPr>
    <w:rPr>
      <w:color w:val="666666"/>
    </w:rPr>
  </w:style>
  <w:style w:type="paragraph" w:styleId="209">
    <w:name w:val="table of figures"/>
    <w:basedOn w:val="684"/>
    <w:next w:val="684"/>
    <w:uiPriority w:val="99"/>
    <w:unhideWhenUsed/>
    <w:pPr>
      <w:pBdr/>
      <w:spacing w:after="0" w:afterAutospacing="0"/>
      <w:ind/>
    </w:pPr>
  </w:style>
  <w:style w:type="paragraph" w:styleId="684" w:default="1">
    <w:name w:val="Normal"/>
    <w:qFormat/>
    <w:pPr>
      <w:pBdr/>
      <w:spacing/>
      <w:ind/>
    </w:pPr>
  </w:style>
  <w:style w:type="paragraph" w:styleId="685">
    <w:name w:val="Body Text"/>
    <w:basedOn w:val="684"/>
    <w:link w:val="727"/>
    <w:qFormat/>
    <w:pPr>
      <w:pBdr/>
      <w:spacing w:after="180" w:before="180"/>
      <w:ind/>
    </w:pPr>
  </w:style>
  <w:style w:type="paragraph" w:styleId="686" w:customStyle="1">
    <w:name w:val="First Paragraph"/>
    <w:basedOn w:val="685"/>
    <w:next w:val="685"/>
    <w:qFormat/>
    <w:pPr>
      <w:pBdr/>
      <w:spacing/>
      <w:ind/>
    </w:pPr>
  </w:style>
  <w:style w:type="paragraph" w:styleId="687" w:customStyle="1">
    <w:name w:val="Compact"/>
    <w:basedOn w:val="685"/>
    <w:qFormat/>
    <w:pPr>
      <w:pBdr/>
      <w:spacing w:after="36" w:before="36"/>
      <w:ind/>
    </w:pPr>
  </w:style>
  <w:style w:type="paragraph" w:styleId="688">
    <w:name w:val="Title"/>
    <w:basedOn w:val="684"/>
    <w:next w:val="685"/>
    <w:link w:val="689"/>
    <w:uiPriority w:val="10"/>
    <w:qFormat/>
    <w:pPr>
      <w:pBdr/>
      <w:spacing w:after="80" w:line="240" w:lineRule="auto"/>
      <w:ind/>
      <w:contextualSpacing w:val="true"/>
      <w:jc w:val="center"/>
    </w:pPr>
    <w:rPr>
      <w:rFonts w:asciiTheme="majorHAnsi" w:hAnsiTheme="majorHAnsi" w:eastAsiaTheme="majorEastAsia" w:cstheme="majorBidi"/>
      <w:sz w:val="56"/>
      <w:szCs w:val="56"/>
    </w:rPr>
  </w:style>
  <w:style w:type="character" w:styleId="689" w:customStyle="1">
    <w:name w:val="Title Char"/>
    <w:basedOn w:val="718"/>
    <w:link w:val="688"/>
    <w:uiPriority w:val="10"/>
    <w:pPr>
      <w:pBdr/>
      <w:spacing/>
      <w:ind/>
    </w:pPr>
    <w:rPr>
      <w:rFonts w:asciiTheme="majorHAnsi" w:hAnsiTheme="majorHAnsi" w:eastAsiaTheme="majorEastAsia" w:cstheme="majorBidi"/>
      <w:sz w:val="56"/>
      <w:szCs w:val="56"/>
    </w:rPr>
  </w:style>
  <w:style w:type="paragraph" w:styleId="690">
    <w:name w:val="Subtitle"/>
    <w:basedOn w:val="688"/>
    <w:next w:val="685"/>
    <w:link w:val="691"/>
    <w:uiPriority w:val="11"/>
    <w:qFormat/>
    <w:pPr>
      <w:numPr>
        <w:ilvl w:val="1"/>
      </w:numPr>
      <w:pBdr/>
      <w:spacing/>
      <w:ind/>
    </w:pPr>
    <w:rPr>
      <w:rFonts w:eastAsiaTheme="majorEastAsia" w:cstheme="majorBidi"/>
      <w:spacing w:val="15"/>
      <w:sz w:val="28"/>
      <w:szCs w:val="28"/>
    </w:rPr>
  </w:style>
  <w:style w:type="character" w:styleId="691" w:customStyle="1">
    <w:name w:val="Subtitle Char"/>
    <w:basedOn w:val="718"/>
    <w:link w:val="690"/>
    <w:uiPriority w:val="11"/>
    <w:pPr>
      <w:pBdr/>
      <w:spacing/>
      <w:ind/>
    </w:pPr>
    <w:rPr>
      <w:rFonts w:eastAsiaTheme="majorEastAsia" w:cstheme="majorBidi"/>
      <w:color w:val="595959" w:themeColor="text1" w:themeTint="A6"/>
      <w:spacing w:val="15"/>
      <w:sz w:val="28"/>
      <w:szCs w:val="28"/>
    </w:rPr>
  </w:style>
  <w:style w:type="paragraph" w:styleId="692" w:customStyle="1">
    <w:name w:val="Author"/>
    <w:basedOn w:val="688"/>
    <w:next w:val="685"/>
    <w:qFormat/>
    <w:pPr>
      <w:keepNext w:val="true"/>
      <w:keepLines w:val="true"/>
      <w:pBdr/>
      <w:spacing/>
      <w:ind/>
    </w:pPr>
    <w:rPr>
      <w:sz w:val="24"/>
      <w:szCs w:val="24"/>
    </w:rPr>
  </w:style>
  <w:style w:type="paragraph" w:styleId="693">
    <w:name w:val="Date"/>
    <w:basedOn w:val="688"/>
    <w:next w:val="685"/>
    <w:qFormat/>
    <w:pPr>
      <w:keepNext w:val="true"/>
      <w:keepLines w:val="true"/>
      <w:pBdr/>
      <w:spacing/>
      <w:ind/>
    </w:pPr>
    <w:rPr>
      <w:sz w:val="24"/>
      <w:szCs w:val="24"/>
    </w:rPr>
  </w:style>
  <w:style w:type="paragraph" w:styleId="694" w:customStyle="1">
    <w:name w:val="Abstract Title"/>
    <w:basedOn w:val="684"/>
    <w:next w:val="695"/>
    <w:qFormat/>
    <w:pPr>
      <w:keepNext w:val="true"/>
      <w:keepLines w:val="true"/>
      <w:pBdr/>
      <w:spacing w:after="0" w:before="300"/>
      <w:ind/>
      <w:jc w:val="center"/>
    </w:pPr>
    <w:rPr>
      <w:b/>
      <w:sz w:val="20"/>
      <w:szCs w:val="20"/>
    </w:rPr>
  </w:style>
  <w:style w:type="paragraph" w:styleId="695" w:customStyle="1">
    <w:name w:val="Abstract"/>
    <w:basedOn w:val="684"/>
    <w:next w:val="685"/>
    <w:qFormat/>
    <w:pPr>
      <w:keepNext w:val="true"/>
      <w:keepLines w:val="true"/>
      <w:pBdr/>
      <w:spacing w:after="300" w:before="100"/>
      <w:ind/>
    </w:pPr>
    <w:rPr>
      <w:sz w:val="20"/>
      <w:szCs w:val="20"/>
    </w:rPr>
  </w:style>
  <w:style w:type="paragraph" w:styleId="696">
    <w:name w:val="Bibliography"/>
    <w:basedOn w:val="684"/>
    <w:next w:val="696"/>
    <w:qFormat/>
    <w:pPr>
      <w:pBdr/>
      <w:spacing/>
      <w:ind/>
    </w:pPr>
  </w:style>
  <w:style w:type="paragraph" w:styleId="697">
    <w:name w:val="Heading 1"/>
    <w:basedOn w:val="684"/>
    <w:next w:val="685"/>
    <w:link w:val="706"/>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98">
    <w:name w:val="Heading 2"/>
    <w:basedOn w:val="684"/>
    <w:next w:val="685"/>
    <w:link w:val="707"/>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99">
    <w:name w:val="Heading 3"/>
    <w:basedOn w:val="684"/>
    <w:next w:val="685"/>
    <w:link w:val="708"/>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00">
    <w:name w:val="Heading 4"/>
    <w:basedOn w:val="684"/>
    <w:next w:val="685"/>
    <w:link w:val="709"/>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01">
    <w:name w:val="Heading 5"/>
    <w:basedOn w:val="684"/>
    <w:next w:val="685"/>
    <w:link w:val="710"/>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2">
    <w:name w:val="Heading 6"/>
    <w:basedOn w:val="684"/>
    <w:next w:val="685"/>
    <w:link w:val="711"/>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3">
    <w:name w:val="Heading 7"/>
    <w:basedOn w:val="684"/>
    <w:next w:val="685"/>
    <w:link w:val="712"/>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4">
    <w:name w:val="Heading 8"/>
    <w:basedOn w:val="684"/>
    <w:next w:val="685"/>
    <w:link w:val="713"/>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5">
    <w:name w:val="Heading 9"/>
    <w:basedOn w:val="684"/>
    <w:next w:val="685"/>
    <w:link w:val="714"/>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6" w:customStyle="1">
    <w:name w:val="Heading 1 Char"/>
    <w:basedOn w:val="718"/>
    <w:link w:val="697"/>
    <w:uiPriority w:val="9"/>
    <w:pPr>
      <w:pBdr/>
      <w:spacing/>
      <w:ind/>
    </w:pPr>
    <w:rPr>
      <w:rFonts w:asciiTheme="majorHAnsi" w:hAnsiTheme="majorHAnsi" w:eastAsiaTheme="majorEastAsia" w:cstheme="majorBidi"/>
      <w:color w:val="0f4761" w:themeColor="accent1" w:themeShade="BF"/>
      <w:sz w:val="40"/>
      <w:szCs w:val="40"/>
    </w:rPr>
  </w:style>
  <w:style w:type="character" w:styleId="707" w:customStyle="1">
    <w:name w:val="Heading 2 Char"/>
    <w:basedOn w:val="718"/>
    <w:link w:val="698"/>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08" w:customStyle="1">
    <w:name w:val="Heading 3 Char"/>
    <w:basedOn w:val="718"/>
    <w:link w:val="699"/>
    <w:uiPriority w:val="9"/>
    <w:semiHidden/>
    <w:pPr>
      <w:pBdr/>
      <w:spacing/>
      <w:ind/>
    </w:pPr>
    <w:rPr>
      <w:rFonts w:eastAsiaTheme="majorEastAsia" w:cstheme="majorBidi"/>
      <w:color w:val="0f4761" w:themeColor="accent1" w:themeShade="BF"/>
      <w:sz w:val="28"/>
      <w:szCs w:val="28"/>
    </w:rPr>
  </w:style>
  <w:style w:type="character" w:styleId="709" w:customStyle="1">
    <w:name w:val="Heading 4 Char"/>
    <w:basedOn w:val="718"/>
    <w:link w:val="700"/>
    <w:uiPriority w:val="9"/>
    <w:semiHidden/>
    <w:pPr>
      <w:pBdr/>
      <w:spacing/>
      <w:ind/>
    </w:pPr>
    <w:rPr>
      <w:rFonts w:eastAsiaTheme="majorEastAsia" w:cstheme="majorBidi"/>
      <w:i/>
      <w:iCs/>
      <w:color w:val="0f4761" w:themeColor="accent1" w:themeShade="BF"/>
    </w:rPr>
  </w:style>
  <w:style w:type="character" w:styleId="710" w:customStyle="1">
    <w:name w:val="Heading 5 Char"/>
    <w:basedOn w:val="718"/>
    <w:link w:val="701"/>
    <w:uiPriority w:val="9"/>
    <w:semiHidden/>
    <w:pPr>
      <w:pBdr/>
      <w:spacing/>
      <w:ind/>
    </w:pPr>
    <w:rPr>
      <w:rFonts w:eastAsiaTheme="majorEastAsia" w:cstheme="majorBidi"/>
      <w:color w:val="0f4761" w:themeColor="accent1" w:themeShade="BF"/>
    </w:rPr>
  </w:style>
  <w:style w:type="character" w:styleId="711" w:customStyle="1">
    <w:name w:val="Heading 6 Char"/>
    <w:basedOn w:val="718"/>
    <w:link w:val="702"/>
    <w:uiPriority w:val="9"/>
    <w:semiHidden/>
    <w:pPr>
      <w:pBdr/>
      <w:spacing/>
      <w:ind/>
    </w:pPr>
    <w:rPr>
      <w:rFonts w:eastAsiaTheme="majorEastAsia" w:cstheme="majorBidi"/>
      <w:i/>
      <w:iCs/>
      <w:color w:val="595959" w:themeColor="text1" w:themeTint="A6"/>
    </w:rPr>
  </w:style>
  <w:style w:type="character" w:styleId="712" w:customStyle="1">
    <w:name w:val="Heading 7 Char"/>
    <w:basedOn w:val="718"/>
    <w:link w:val="703"/>
    <w:uiPriority w:val="9"/>
    <w:semiHidden/>
    <w:pPr>
      <w:pBdr/>
      <w:spacing/>
      <w:ind/>
    </w:pPr>
    <w:rPr>
      <w:rFonts w:eastAsiaTheme="majorEastAsia" w:cstheme="majorBidi"/>
      <w:color w:val="595959" w:themeColor="text1" w:themeTint="A6"/>
    </w:rPr>
  </w:style>
  <w:style w:type="character" w:styleId="713" w:customStyle="1">
    <w:name w:val="Heading 8 Char"/>
    <w:basedOn w:val="718"/>
    <w:link w:val="704"/>
    <w:uiPriority w:val="9"/>
    <w:semiHidden/>
    <w:pPr>
      <w:pBdr/>
      <w:spacing/>
      <w:ind/>
    </w:pPr>
    <w:rPr>
      <w:rFonts w:eastAsiaTheme="majorEastAsia" w:cstheme="majorBidi"/>
      <w:i/>
      <w:iCs/>
      <w:color w:val="272727" w:themeColor="text1" w:themeTint="D8"/>
    </w:rPr>
  </w:style>
  <w:style w:type="character" w:styleId="714" w:customStyle="1">
    <w:name w:val="Heading 9 Char"/>
    <w:basedOn w:val="718"/>
    <w:link w:val="705"/>
    <w:uiPriority w:val="9"/>
    <w:semiHidden/>
    <w:pPr>
      <w:pBdr/>
      <w:spacing/>
      <w:ind/>
    </w:pPr>
    <w:rPr>
      <w:rFonts w:eastAsiaTheme="majorEastAsia" w:cstheme="majorBidi"/>
      <w:color w:val="272727" w:themeColor="text1" w:themeTint="D8"/>
    </w:rPr>
  </w:style>
  <w:style w:type="paragraph" w:styleId="715">
    <w:name w:val="Block Text"/>
    <w:basedOn w:val="685"/>
    <w:next w:val="685"/>
    <w:uiPriority w:val="9"/>
    <w:unhideWhenUsed/>
    <w:qFormat/>
    <w:pPr>
      <w:pBdr/>
      <w:spacing w:after="100" w:before="100"/>
      <w:ind w:right="480" w:firstLine="0" w:left="480"/>
    </w:pPr>
  </w:style>
  <w:style w:type="paragraph" w:styleId="716">
    <w:name w:val="footnote text"/>
    <w:basedOn w:val="684"/>
    <w:next w:val="716"/>
    <w:uiPriority w:val="9"/>
    <w:unhideWhenUsed/>
    <w:qFormat/>
    <w:pPr>
      <w:pBdr/>
      <w:spacing/>
      <w:ind/>
    </w:pPr>
  </w:style>
  <w:style w:type="paragraph" w:styleId="717">
    <w:name w:val="Footnote Block Text"/>
    <w:basedOn w:val="716"/>
    <w:next w:val="716"/>
    <w:uiPriority w:val="9"/>
    <w:unhideWhenUsed/>
    <w:qFormat/>
    <w:pPr>
      <w:pBdr/>
      <w:spacing w:after="100" w:before="100"/>
      <w:ind w:right="480" w:firstLine="0" w:left="480"/>
    </w:pPr>
  </w:style>
  <w:style w:type="character" w:styleId="718" w:default="1">
    <w:name w:val="Default Paragraph Font"/>
    <w:semiHidden/>
    <w:unhideWhenUsed/>
    <w:pPr>
      <w:pBdr/>
      <w:spacing/>
      <w:ind/>
    </w:pPr>
  </w:style>
  <w:style w:type="table" w:styleId="719">
    <w:name w:val="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0" w:customStyle="1">
    <w:name w:val="Definition Term"/>
    <w:basedOn w:val="684"/>
    <w:next w:val="721"/>
    <w:pPr>
      <w:keepNext w:val="true"/>
      <w:keepLines w:val="true"/>
      <w:pBdr/>
      <w:spacing w:after="0"/>
      <w:ind/>
    </w:pPr>
    <w:rPr>
      <w:b/>
    </w:rPr>
  </w:style>
  <w:style w:type="paragraph" w:styleId="721" w:customStyle="1">
    <w:name w:val="Definition"/>
    <w:basedOn w:val="684"/>
    <w:pPr>
      <w:pBdr/>
      <w:spacing/>
      <w:ind/>
    </w:pPr>
  </w:style>
  <w:style w:type="paragraph" w:styleId="722">
    <w:name w:val="Caption"/>
    <w:basedOn w:val="684"/>
    <w:link w:val="727"/>
    <w:pPr>
      <w:pBdr/>
      <w:spacing w:after="120" w:before="0"/>
      <w:ind/>
    </w:pPr>
    <w:rPr>
      <w:i/>
    </w:rPr>
  </w:style>
  <w:style w:type="paragraph" w:styleId="723" w:customStyle="1">
    <w:name w:val="Table Caption"/>
    <w:basedOn w:val="722"/>
    <w:pPr>
      <w:keepNext w:val="true"/>
      <w:pBdr/>
      <w:spacing/>
      <w:ind/>
    </w:pPr>
  </w:style>
  <w:style w:type="paragraph" w:styleId="724" w:customStyle="1">
    <w:name w:val="Image Caption"/>
    <w:basedOn w:val="722"/>
    <w:pPr>
      <w:pBdr/>
      <w:spacing/>
      <w:ind/>
    </w:pPr>
  </w:style>
  <w:style w:type="paragraph" w:styleId="725" w:customStyle="1">
    <w:name w:val="Figure"/>
    <w:basedOn w:val="684"/>
    <w:pPr>
      <w:pBdr/>
      <w:spacing/>
      <w:ind/>
    </w:pPr>
  </w:style>
  <w:style w:type="paragraph" w:styleId="726" w:customStyle="1">
    <w:name w:val="Captioned Figure"/>
    <w:basedOn w:val="725"/>
    <w:pPr>
      <w:keepNext w:val="true"/>
      <w:pBdr/>
      <w:spacing/>
      <w:ind/>
    </w:pPr>
  </w:style>
  <w:style w:type="character" w:styleId="727" w:customStyle="1">
    <w:name w:val="Body Text Char"/>
    <w:basedOn w:val="718"/>
    <w:link w:val="685"/>
    <w:pPr>
      <w:pBdr/>
      <w:spacing/>
      <w:ind/>
    </w:pPr>
  </w:style>
  <w:style w:type="character" w:styleId="728" w:customStyle="1">
    <w:name w:val="Verbatim Char"/>
    <w:basedOn w:val="727"/>
    <w:pPr>
      <w:pBdr/>
      <w:spacing/>
      <w:ind/>
    </w:pPr>
    <w:rPr>
      <w:rFonts w:ascii="Consolas" w:hAnsi="Consolas"/>
      <w:sz w:val="22"/>
    </w:rPr>
  </w:style>
  <w:style w:type="character" w:styleId="729" w:customStyle="1">
    <w:name w:val="Section Number"/>
    <w:basedOn w:val="727"/>
    <w:pPr>
      <w:pBdr/>
      <w:spacing/>
      <w:ind/>
    </w:pPr>
  </w:style>
  <w:style w:type="character" w:styleId="730">
    <w:name w:val="footnote reference"/>
    <w:basedOn w:val="727"/>
    <w:pPr>
      <w:pBdr/>
      <w:spacing/>
      <w:ind/>
    </w:pPr>
    <w:rPr>
      <w:vertAlign w:val="superscript"/>
    </w:rPr>
  </w:style>
  <w:style w:type="character" w:styleId="731">
    <w:name w:val="Hyperlink"/>
    <w:basedOn w:val="727"/>
    <w:pPr>
      <w:pBdr/>
      <w:spacing/>
      <w:ind/>
    </w:pPr>
    <w:rPr>
      <w:color w:val="4f81bd" w:themeColor="accent1"/>
    </w:rPr>
  </w:style>
  <w:style w:type="paragraph" w:styleId="732">
    <w:name w:val="TOC Heading"/>
    <w:basedOn w:val="697"/>
    <w:next w:val="685"/>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1970-01-01T00:00:00Z</dcterms:created>
  <dcterms:modified xsi:type="dcterms:W3CDTF">2025-09-01T08:47:24Z</dcterms:modified>
</cp:coreProperties>
</file>