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B02F8" w14:textId="77777777" w:rsidR="008A0601" w:rsidRDefault="00A731C3">
      <w:pPr>
        <w:jc w:val="center"/>
        <w:rPr>
          <w:b/>
          <w:bCs/>
          <w:sz w:val="34"/>
          <w:szCs w:val="34"/>
        </w:rPr>
      </w:pPr>
      <w:r>
        <w:rPr>
          <w:b/>
          <w:bCs/>
          <w:sz w:val="34"/>
          <w:szCs w:val="34"/>
        </w:rPr>
        <w:t xml:space="preserve"> SIMATS ENGINEERING</w:t>
      </w:r>
    </w:p>
    <w:p w14:paraId="288DE6B2" w14:textId="77777777" w:rsidR="008A0601" w:rsidRDefault="001E0CC2">
      <w:pPr>
        <w:jc w:val="center"/>
        <w:rPr>
          <w:b/>
          <w:bCs/>
          <w:sz w:val="28"/>
          <w:szCs w:val="28"/>
        </w:rPr>
      </w:pPr>
      <w:r>
        <w:rPr>
          <w:b/>
          <w:bCs/>
          <w:sz w:val="28"/>
          <w:szCs w:val="28"/>
        </w:rPr>
        <w:t>Co3-ASSESSMENT TOOL 2</w:t>
      </w:r>
    </w:p>
    <w:p w14:paraId="66D80537" w14:textId="77777777" w:rsidR="008A0601" w:rsidRDefault="00A731C3">
      <w:pPr>
        <w:jc w:val="center"/>
        <w:rPr>
          <w:b/>
          <w:bCs/>
          <w:sz w:val="34"/>
          <w:szCs w:val="34"/>
        </w:rPr>
      </w:pPr>
      <w:r>
        <w:rPr>
          <w:b/>
          <w:bCs/>
          <w:sz w:val="34"/>
          <w:szCs w:val="34"/>
        </w:rPr>
        <w:t>Case study</w:t>
      </w:r>
    </w:p>
    <w:p w14:paraId="084D04EC" w14:textId="77777777" w:rsidR="008A0601" w:rsidRDefault="008A0601">
      <w:pPr>
        <w:jc w:val="center"/>
        <w:rPr>
          <w:b/>
          <w:bCs/>
          <w:sz w:val="34"/>
          <w:szCs w:val="34"/>
        </w:rPr>
      </w:pPr>
    </w:p>
    <w:p w14:paraId="0DC28178" w14:textId="77777777" w:rsidR="008A0601" w:rsidRDefault="00A731C3">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14:paraId="79ED80C1" w14:textId="77777777" w:rsidR="008A0601" w:rsidRDefault="00000000">
      <w:pPr>
        <w:rPr>
          <w:b/>
          <w:bCs/>
          <w:sz w:val="24"/>
          <w:szCs w:val="24"/>
        </w:rPr>
      </w:pPr>
      <w:r>
        <w:pict w14:anchorId="5902FC06">
          <v:rect id="_x0000_i1025" style="width:0;height:1.5pt" o:hralign="center" o:hrstd="t" o:hr="t" fillcolor="#a0a0a0" stroked="f"/>
        </w:pict>
      </w:r>
    </w:p>
    <w:p w14:paraId="277153BE" w14:textId="77777777" w:rsidR="008A0601" w:rsidRDefault="008A0601">
      <w:pPr>
        <w:rPr>
          <w:b/>
          <w:bCs/>
          <w:sz w:val="24"/>
          <w:szCs w:val="24"/>
        </w:rPr>
      </w:pPr>
    </w:p>
    <w:p w14:paraId="41A65B97" w14:textId="77777777" w:rsidR="008A0601" w:rsidRDefault="00A731C3">
      <w:pPr>
        <w:rPr>
          <w:b/>
          <w:bCs/>
          <w:sz w:val="24"/>
          <w:szCs w:val="24"/>
        </w:rPr>
      </w:pPr>
      <w:r>
        <w:rPr>
          <w:b/>
          <w:bCs/>
          <w:sz w:val="24"/>
          <w:szCs w:val="24"/>
        </w:rPr>
        <w:t>COURSE OUTCOME COVERED</w:t>
      </w:r>
    </w:p>
    <w:p w14:paraId="26149935" w14:textId="77777777" w:rsidR="008A0601" w:rsidRDefault="008A0601">
      <w:pPr>
        <w:rPr>
          <w:b/>
          <w:bCs/>
          <w:sz w:val="24"/>
          <w:szCs w:val="24"/>
        </w:rPr>
      </w:pPr>
    </w:p>
    <w:p w14:paraId="7F464890" w14:textId="77777777" w:rsidR="008A0601" w:rsidRDefault="00A731C3">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14:paraId="465AB300" w14:textId="77777777" w:rsidR="008A0601" w:rsidRDefault="008A0601">
      <w:pPr>
        <w:rPr>
          <w:sz w:val="24"/>
          <w:szCs w:val="24"/>
        </w:rPr>
      </w:pPr>
    </w:p>
    <w:p w14:paraId="2091D60D" w14:textId="77777777" w:rsidR="008A0601" w:rsidRDefault="00A731C3">
      <w:pPr>
        <w:rPr>
          <w:sz w:val="24"/>
          <w:szCs w:val="24"/>
        </w:rPr>
      </w:pPr>
      <w:r>
        <w:rPr>
          <w:sz w:val="24"/>
          <w:szCs w:val="24"/>
        </w:rPr>
        <w:t>Assessment Tool Weightage: 40%</w:t>
      </w:r>
    </w:p>
    <w:p w14:paraId="15CD7C67" w14:textId="77777777" w:rsidR="008A0601" w:rsidRDefault="008A0601">
      <w:pPr>
        <w:rPr>
          <w:sz w:val="24"/>
          <w:szCs w:val="24"/>
        </w:rPr>
      </w:pPr>
    </w:p>
    <w:p w14:paraId="072A406E" w14:textId="77777777" w:rsidR="001E0CC2" w:rsidRDefault="001E0CC2">
      <w:pPr>
        <w:rPr>
          <w:sz w:val="24"/>
          <w:szCs w:val="24"/>
        </w:rPr>
      </w:pPr>
      <w:r>
        <w:rPr>
          <w:sz w:val="24"/>
          <w:szCs w:val="24"/>
        </w:rPr>
        <w:t>Dr.V.Parthipan</w:t>
      </w:r>
    </w:p>
    <w:p w14:paraId="7AF67A99" w14:textId="77777777" w:rsidR="001E0CC2" w:rsidRDefault="001E0CC2" w:rsidP="001E0CC2">
      <w:pPr>
        <w:rPr>
          <w:b/>
          <w:bCs/>
          <w:sz w:val="24"/>
          <w:szCs w:val="24"/>
        </w:rPr>
      </w:pPr>
    </w:p>
    <w:p w14:paraId="5CCA3A17" w14:textId="77777777" w:rsidR="001E0CC2" w:rsidRDefault="001E0CC2" w:rsidP="001E0CC2">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Marks:40</w:t>
      </w:r>
    </w:p>
    <w:p w14:paraId="55235D98" w14:textId="77777777" w:rsidR="008A0601" w:rsidRDefault="00000000">
      <w:pPr>
        <w:rPr>
          <w:sz w:val="24"/>
          <w:szCs w:val="24"/>
        </w:rPr>
      </w:pPr>
      <w:r>
        <w:pict w14:anchorId="7CCFFE15">
          <v:rect id="_x0000_i1026" style="width:0;height:1.5pt" o:hralign="center" o:hrstd="t" o:hr="t" fillcolor="#a0a0a0" stroked="f"/>
        </w:pict>
      </w:r>
    </w:p>
    <w:p w14:paraId="48CA76DF" w14:textId="77777777" w:rsidR="008A0601" w:rsidRDefault="00A731C3">
      <w:pPr>
        <w:rPr>
          <w:b/>
          <w:bCs/>
          <w:i/>
          <w:iCs/>
          <w:sz w:val="24"/>
          <w:szCs w:val="24"/>
        </w:rPr>
      </w:pPr>
      <w:r>
        <w:rPr>
          <w:b/>
          <w:bCs/>
          <w:i/>
          <w:iCs/>
          <w:sz w:val="24"/>
          <w:szCs w:val="24"/>
        </w:rPr>
        <w:t>Code of Conduct:</w:t>
      </w:r>
    </w:p>
    <w:p w14:paraId="1A3F1D02" w14:textId="77777777" w:rsidR="008A0601" w:rsidRDefault="008A0601">
      <w:pPr>
        <w:rPr>
          <w:i/>
          <w:iCs/>
          <w:sz w:val="24"/>
          <w:szCs w:val="24"/>
        </w:rPr>
      </w:pPr>
    </w:p>
    <w:p w14:paraId="0248A0F5" w14:textId="46FEC58F" w:rsidR="008A0601" w:rsidRDefault="00A731C3">
      <w:pPr>
        <w:jc w:val="both"/>
        <w:rPr>
          <w:i/>
          <w:iCs/>
          <w:sz w:val="24"/>
          <w:szCs w:val="24"/>
        </w:rPr>
      </w:pPr>
      <w:r>
        <w:rPr>
          <w:i/>
          <w:iCs/>
          <w:sz w:val="24"/>
          <w:szCs w:val="24"/>
        </w:rPr>
        <w:t xml:space="preserve">I </w:t>
      </w:r>
      <w:r w:rsidR="005E6B50" w:rsidRPr="005E6B50">
        <w:rPr>
          <w:i/>
          <w:iCs/>
          <w:sz w:val="24"/>
          <w:szCs w:val="24"/>
          <w:u w:val="single"/>
        </w:rPr>
        <w:t>Sri Sayee K (192421062)</w:t>
      </w:r>
      <w:r>
        <w:rPr>
          <w:i/>
          <w:iCs/>
          <w:sz w:val="24"/>
          <w:szCs w:val="24"/>
        </w:rPr>
        <w:t xml:space="preserve"> (Name / Reg No) certify that this submission is my original work and that I have adhered to the guidelines specified for this assessment.</w:t>
      </w:r>
    </w:p>
    <w:p w14:paraId="37539891" w14:textId="77777777" w:rsidR="008A0601" w:rsidRDefault="00A731C3">
      <w:pPr>
        <w:jc w:val="both"/>
        <w:rPr>
          <w:i/>
          <w:iCs/>
          <w:sz w:val="24"/>
          <w:szCs w:val="24"/>
        </w:rPr>
      </w:pPr>
      <w:r>
        <w:rPr>
          <w:i/>
          <w:iCs/>
          <w:sz w:val="24"/>
          <w:szCs w:val="24"/>
        </w:rPr>
        <w:t>I understand that any violation of academic integrity rules will result in disciplinary action.</w:t>
      </w:r>
    </w:p>
    <w:p w14:paraId="1D10CA0C" w14:textId="77777777" w:rsidR="008A0601" w:rsidRDefault="008A0601">
      <w:pPr>
        <w:rPr>
          <w:i/>
          <w:iCs/>
          <w:sz w:val="24"/>
          <w:szCs w:val="24"/>
        </w:rPr>
      </w:pPr>
    </w:p>
    <w:p w14:paraId="2823F0E6" w14:textId="77777777" w:rsidR="008A0601" w:rsidRDefault="00A731C3">
      <w:pPr>
        <w:rPr>
          <w:b/>
          <w:bCs/>
          <w:i/>
          <w:iCs/>
          <w:sz w:val="24"/>
          <w:szCs w:val="24"/>
        </w:rPr>
      </w:pPr>
      <w:r>
        <w:rPr>
          <w:b/>
          <w:bCs/>
          <w:i/>
          <w:iCs/>
          <w:sz w:val="24"/>
          <w:szCs w:val="24"/>
        </w:rPr>
        <w:t>Signature of the student:</w:t>
      </w:r>
    </w:p>
    <w:p w14:paraId="05DD666C" w14:textId="77777777" w:rsidR="008A0601" w:rsidRDefault="008A0601">
      <w:pPr>
        <w:rPr>
          <w:sz w:val="24"/>
          <w:szCs w:val="24"/>
        </w:rPr>
      </w:pPr>
    </w:p>
    <w:p w14:paraId="19AEFFEC" w14:textId="77777777" w:rsidR="008A0601" w:rsidRDefault="008A0601">
      <w:pPr>
        <w:rPr>
          <w:sz w:val="24"/>
          <w:szCs w:val="24"/>
        </w:rPr>
      </w:pPr>
    </w:p>
    <w:p w14:paraId="699CCD89" w14:textId="77777777" w:rsidR="008A0601" w:rsidRDefault="008A0601">
      <w:pPr>
        <w:rPr>
          <w:sz w:val="24"/>
          <w:szCs w:val="24"/>
        </w:rPr>
      </w:pPr>
    </w:p>
    <w:p w14:paraId="3F85E194" w14:textId="77777777" w:rsidR="008A0601" w:rsidRDefault="008A0601">
      <w:pPr>
        <w:rPr>
          <w:sz w:val="24"/>
          <w:szCs w:val="24"/>
        </w:rPr>
      </w:pPr>
    </w:p>
    <w:tbl>
      <w:tblPr>
        <w:tblStyle w:val="a"/>
        <w:tblW w:w="9776" w:type="dxa"/>
        <w:tblInd w:w="0" w:type="dxa"/>
        <w:tblLayout w:type="fixed"/>
        <w:tblLook w:val="0400" w:firstRow="0" w:lastRow="0" w:firstColumn="0" w:lastColumn="0" w:noHBand="0" w:noVBand="1"/>
      </w:tblPr>
      <w:tblGrid>
        <w:gridCol w:w="1271"/>
        <w:gridCol w:w="1328"/>
        <w:gridCol w:w="1507"/>
        <w:gridCol w:w="1276"/>
        <w:gridCol w:w="1134"/>
        <w:gridCol w:w="1276"/>
        <w:gridCol w:w="1984"/>
      </w:tblGrid>
      <w:tr w:rsidR="003D1775" w14:paraId="7CF33E76" w14:textId="77777777"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0E2BB852" w14:textId="77777777" w:rsidR="003D1775" w:rsidRDefault="003D1775" w:rsidP="00D7375B">
            <w:pPr>
              <w:spacing w:line="240" w:lineRule="auto"/>
              <w:jc w:val="center"/>
              <w:rPr>
                <w:b/>
                <w:bCs/>
                <w:color w:val="000000"/>
                <w:sz w:val="20"/>
                <w:szCs w:val="20"/>
              </w:rPr>
            </w:pPr>
            <w:r>
              <w:rPr>
                <w:b/>
                <w:bCs/>
                <w:color w:val="000000"/>
                <w:sz w:val="20"/>
                <w:szCs w:val="20"/>
              </w:rPr>
              <w:t>Criteria</w:t>
            </w:r>
          </w:p>
        </w:tc>
        <w:tc>
          <w:tcPr>
            <w:tcW w:w="1328" w:type="dxa"/>
            <w:tcBorders>
              <w:top w:val="single" w:sz="4" w:space="0" w:color="000000"/>
              <w:left w:val="nil"/>
              <w:bottom w:val="single" w:sz="4" w:space="0" w:color="000000"/>
              <w:right w:val="single" w:sz="4" w:space="0" w:color="000000"/>
            </w:tcBorders>
            <w:vAlign w:val="center"/>
          </w:tcPr>
          <w:p w14:paraId="3E4AD531" w14:textId="77777777" w:rsidR="003D1775" w:rsidRDefault="003D1775" w:rsidP="00D7375B">
            <w:pPr>
              <w:spacing w:line="240" w:lineRule="auto"/>
              <w:jc w:val="center"/>
              <w:rPr>
                <w:b/>
                <w:bCs/>
                <w:color w:val="000000"/>
                <w:sz w:val="20"/>
                <w:szCs w:val="20"/>
              </w:rPr>
            </w:pPr>
            <w:r>
              <w:rPr>
                <w:color w:val="000000"/>
                <w:sz w:val="20"/>
                <w:szCs w:val="20"/>
              </w:rPr>
              <w:t>Understanding  the case 2.5</w:t>
            </w:r>
          </w:p>
        </w:tc>
        <w:tc>
          <w:tcPr>
            <w:tcW w:w="1507" w:type="dxa"/>
            <w:tcBorders>
              <w:top w:val="single" w:sz="4" w:space="0" w:color="000000"/>
              <w:left w:val="nil"/>
              <w:bottom w:val="single" w:sz="4" w:space="0" w:color="000000"/>
              <w:right w:val="single" w:sz="4" w:space="0" w:color="000000"/>
            </w:tcBorders>
            <w:vAlign w:val="center"/>
          </w:tcPr>
          <w:p w14:paraId="57E18381" w14:textId="77777777" w:rsidR="003D1775" w:rsidRDefault="003D1775" w:rsidP="00D7375B">
            <w:pPr>
              <w:spacing w:line="240" w:lineRule="auto"/>
              <w:jc w:val="center"/>
              <w:rPr>
                <w:b/>
                <w:bCs/>
                <w:color w:val="000000"/>
                <w:sz w:val="20"/>
                <w:szCs w:val="20"/>
              </w:rPr>
            </w:pPr>
            <w:r>
              <w:rPr>
                <w:b/>
                <w:bCs/>
                <w:color w:val="000000"/>
                <w:sz w:val="20"/>
                <w:szCs w:val="20"/>
              </w:rPr>
              <w:t>Application of Concepts</w:t>
            </w:r>
          </w:p>
          <w:p w14:paraId="017EC961" w14:textId="77777777" w:rsidR="003D1775" w:rsidRDefault="003D1775" w:rsidP="00D7375B">
            <w:pPr>
              <w:spacing w:line="240" w:lineRule="auto"/>
              <w:jc w:val="center"/>
              <w:rPr>
                <w:b/>
                <w:bCs/>
                <w:color w:val="000000"/>
                <w:sz w:val="20"/>
                <w:szCs w:val="20"/>
              </w:rPr>
            </w:pPr>
            <w:r>
              <w:rPr>
                <w:color w:val="000000"/>
                <w:sz w:val="20"/>
                <w:szCs w:val="20"/>
              </w:rPr>
              <w:t>2.5</w:t>
            </w:r>
          </w:p>
        </w:tc>
        <w:tc>
          <w:tcPr>
            <w:tcW w:w="1276" w:type="dxa"/>
            <w:tcBorders>
              <w:top w:val="single" w:sz="4" w:space="0" w:color="000000"/>
              <w:left w:val="nil"/>
              <w:bottom w:val="single" w:sz="4" w:space="0" w:color="000000"/>
              <w:right w:val="single" w:sz="4" w:space="0" w:color="000000"/>
            </w:tcBorders>
            <w:vAlign w:val="center"/>
          </w:tcPr>
          <w:p w14:paraId="780035B9" w14:textId="77777777" w:rsidR="003D1775" w:rsidRDefault="003D1775" w:rsidP="00D7375B">
            <w:pPr>
              <w:spacing w:line="240" w:lineRule="auto"/>
              <w:jc w:val="center"/>
              <w:rPr>
                <w:color w:val="000000"/>
                <w:sz w:val="20"/>
                <w:szCs w:val="20"/>
              </w:rPr>
            </w:pPr>
            <w:r>
              <w:rPr>
                <w:b/>
                <w:bCs/>
                <w:color w:val="000000"/>
                <w:sz w:val="20"/>
                <w:szCs w:val="20"/>
              </w:rPr>
              <w:t>Analysis</w:t>
            </w:r>
            <w:r>
              <w:rPr>
                <w:color w:val="000000"/>
                <w:sz w:val="20"/>
                <w:szCs w:val="20"/>
              </w:rPr>
              <w:t xml:space="preserve"> </w:t>
            </w:r>
          </w:p>
          <w:p w14:paraId="3B19EFD9" w14:textId="77777777" w:rsidR="003D1775" w:rsidRDefault="003D1775" w:rsidP="00D7375B">
            <w:pPr>
              <w:spacing w:line="240" w:lineRule="auto"/>
              <w:jc w:val="center"/>
              <w:rPr>
                <w:b/>
                <w:bCs/>
                <w:color w:val="000000"/>
                <w:sz w:val="20"/>
                <w:szCs w:val="20"/>
              </w:rPr>
            </w:pPr>
            <w:r>
              <w:rPr>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6D131D96" w14:textId="77777777" w:rsidR="003D1775" w:rsidRDefault="003D1775" w:rsidP="00D7375B">
            <w:pPr>
              <w:spacing w:line="240" w:lineRule="auto"/>
              <w:jc w:val="center"/>
              <w:rPr>
                <w:color w:val="000000"/>
                <w:sz w:val="20"/>
                <w:szCs w:val="20"/>
              </w:rPr>
            </w:pPr>
            <w:r>
              <w:rPr>
                <w:b/>
                <w:bCs/>
                <w:color w:val="000000"/>
                <w:sz w:val="20"/>
                <w:szCs w:val="20"/>
              </w:rPr>
              <w:t>Solution Design</w:t>
            </w:r>
            <w:r>
              <w:rPr>
                <w:color w:val="000000"/>
                <w:sz w:val="20"/>
                <w:szCs w:val="20"/>
              </w:rPr>
              <w:t xml:space="preserve"> </w:t>
            </w:r>
          </w:p>
          <w:p w14:paraId="116307D2" w14:textId="77777777" w:rsidR="003D1775" w:rsidRDefault="003D1775" w:rsidP="00D7375B">
            <w:pPr>
              <w:spacing w:line="240" w:lineRule="auto"/>
              <w:jc w:val="center"/>
              <w:rPr>
                <w:b/>
                <w:bCs/>
                <w:color w:val="000000"/>
                <w:sz w:val="20"/>
                <w:szCs w:val="20"/>
              </w:rPr>
            </w:pPr>
            <w:r>
              <w:rPr>
                <w:color w:val="000000"/>
                <w:sz w:val="20"/>
                <w:szCs w:val="20"/>
              </w:rPr>
              <w:t>2</w:t>
            </w:r>
          </w:p>
        </w:tc>
        <w:tc>
          <w:tcPr>
            <w:tcW w:w="1276" w:type="dxa"/>
            <w:tcBorders>
              <w:top w:val="single" w:sz="4" w:space="0" w:color="000000"/>
              <w:left w:val="nil"/>
              <w:bottom w:val="single" w:sz="4" w:space="0" w:color="000000"/>
              <w:right w:val="single" w:sz="4" w:space="0" w:color="000000"/>
            </w:tcBorders>
            <w:vAlign w:val="center"/>
          </w:tcPr>
          <w:p w14:paraId="1F2FAE60" w14:textId="77777777" w:rsidR="003D1775" w:rsidRDefault="003D1775" w:rsidP="00D7375B">
            <w:pPr>
              <w:spacing w:line="240" w:lineRule="auto"/>
              <w:jc w:val="center"/>
              <w:rPr>
                <w:color w:val="000000"/>
                <w:sz w:val="20"/>
                <w:szCs w:val="20"/>
              </w:rPr>
            </w:pPr>
            <w:r>
              <w:rPr>
                <w:b/>
                <w:bCs/>
                <w:color w:val="000000"/>
                <w:sz w:val="20"/>
                <w:szCs w:val="20"/>
              </w:rPr>
              <w:t>Clarity</w:t>
            </w:r>
            <w:r>
              <w:rPr>
                <w:color w:val="000000"/>
                <w:sz w:val="20"/>
                <w:szCs w:val="20"/>
              </w:rPr>
              <w:t xml:space="preserve"> </w:t>
            </w:r>
          </w:p>
          <w:p w14:paraId="03415D5D" w14:textId="77777777" w:rsidR="003D1775" w:rsidRDefault="003D1775" w:rsidP="00D7375B">
            <w:pPr>
              <w:spacing w:line="240" w:lineRule="auto"/>
              <w:jc w:val="center"/>
              <w:rPr>
                <w:b/>
                <w:bCs/>
                <w:color w:val="000000"/>
                <w:sz w:val="20"/>
                <w:szCs w:val="20"/>
              </w:rPr>
            </w:pPr>
            <w:r>
              <w:rPr>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7DA76D02" w14:textId="77777777" w:rsidR="003D1775" w:rsidRDefault="003D1775" w:rsidP="00D7375B">
            <w:pPr>
              <w:spacing w:line="240" w:lineRule="auto"/>
              <w:jc w:val="center"/>
              <w:rPr>
                <w:color w:val="000000"/>
                <w:sz w:val="20"/>
                <w:szCs w:val="20"/>
              </w:rPr>
            </w:pPr>
            <w:r>
              <w:rPr>
                <w:color w:val="000000"/>
                <w:sz w:val="20"/>
                <w:szCs w:val="20"/>
              </w:rPr>
              <w:t>Total</w:t>
            </w:r>
          </w:p>
          <w:p w14:paraId="1B0DD6B9" w14:textId="77777777" w:rsidR="003D1775" w:rsidRDefault="003D1775" w:rsidP="00D7375B">
            <w:pPr>
              <w:spacing w:line="240" w:lineRule="auto"/>
              <w:jc w:val="center"/>
              <w:rPr>
                <w:color w:val="000000"/>
                <w:sz w:val="20"/>
                <w:szCs w:val="20"/>
              </w:rPr>
            </w:pPr>
            <w:r>
              <w:rPr>
                <w:color w:val="000000"/>
                <w:sz w:val="20"/>
                <w:szCs w:val="20"/>
              </w:rPr>
              <w:t>(10)</w:t>
            </w:r>
          </w:p>
        </w:tc>
      </w:tr>
      <w:tr w:rsidR="003D1775" w14:paraId="5A0B6E28" w14:textId="77777777"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1AB02B1B" w14:textId="77777777" w:rsidR="003D1775" w:rsidRDefault="003D1775" w:rsidP="00D7375B">
            <w:pPr>
              <w:spacing w:line="480" w:lineRule="auto"/>
              <w:jc w:val="center"/>
              <w:rPr>
                <w:b/>
                <w:bCs/>
                <w:color w:val="000000"/>
                <w:sz w:val="20"/>
                <w:szCs w:val="20"/>
              </w:rPr>
            </w:pPr>
            <w:r>
              <w:rPr>
                <w:b/>
                <w:bCs/>
                <w:color w:val="000000"/>
                <w:sz w:val="20"/>
                <w:szCs w:val="20"/>
              </w:rPr>
              <w:t>Q1</w:t>
            </w:r>
          </w:p>
        </w:tc>
        <w:tc>
          <w:tcPr>
            <w:tcW w:w="1328" w:type="dxa"/>
            <w:tcBorders>
              <w:top w:val="single" w:sz="4" w:space="0" w:color="000000"/>
              <w:left w:val="nil"/>
              <w:bottom w:val="single" w:sz="4" w:space="0" w:color="000000"/>
              <w:right w:val="single" w:sz="4" w:space="0" w:color="000000"/>
            </w:tcBorders>
            <w:vAlign w:val="center"/>
          </w:tcPr>
          <w:p w14:paraId="7372768F" w14:textId="77777777" w:rsidR="003D1775" w:rsidRDefault="003D1775" w:rsidP="00D7375B">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14:paraId="093B3E4B"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40D17DEA" w14:textId="77777777" w:rsidR="003D1775" w:rsidRDefault="003D1775" w:rsidP="00D7375B">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14:paraId="3FD85C77"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6A600EA1" w14:textId="77777777" w:rsidR="003D1775" w:rsidRDefault="003D1775" w:rsidP="00D7375B">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14:paraId="021E28AF" w14:textId="77777777" w:rsidR="003D1775" w:rsidRDefault="003D1775" w:rsidP="00D7375B">
            <w:pPr>
              <w:spacing w:line="480" w:lineRule="auto"/>
              <w:jc w:val="center"/>
              <w:rPr>
                <w:b/>
                <w:bCs/>
                <w:color w:val="000000"/>
                <w:sz w:val="20"/>
                <w:szCs w:val="20"/>
              </w:rPr>
            </w:pPr>
          </w:p>
        </w:tc>
      </w:tr>
      <w:tr w:rsidR="003D1775" w14:paraId="4F3DA4F3" w14:textId="77777777"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038DD14D" w14:textId="77777777" w:rsidR="003D1775" w:rsidRDefault="003D1775" w:rsidP="00D7375B">
            <w:pPr>
              <w:spacing w:line="480" w:lineRule="auto"/>
              <w:jc w:val="center"/>
              <w:rPr>
                <w:b/>
                <w:bCs/>
                <w:color w:val="000000"/>
                <w:sz w:val="20"/>
                <w:szCs w:val="20"/>
              </w:rPr>
            </w:pPr>
            <w:r>
              <w:rPr>
                <w:b/>
                <w:bCs/>
                <w:color w:val="000000"/>
                <w:sz w:val="20"/>
                <w:szCs w:val="20"/>
              </w:rPr>
              <w:t>Q2</w:t>
            </w:r>
          </w:p>
        </w:tc>
        <w:tc>
          <w:tcPr>
            <w:tcW w:w="1328" w:type="dxa"/>
            <w:tcBorders>
              <w:top w:val="single" w:sz="4" w:space="0" w:color="000000"/>
              <w:left w:val="nil"/>
              <w:bottom w:val="single" w:sz="4" w:space="0" w:color="000000"/>
              <w:right w:val="single" w:sz="4" w:space="0" w:color="000000"/>
            </w:tcBorders>
            <w:vAlign w:val="center"/>
          </w:tcPr>
          <w:p w14:paraId="72A31624" w14:textId="77777777" w:rsidR="003D1775" w:rsidRDefault="003D1775" w:rsidP="00D7375B">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14:paraId="7595527E"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7C8AAFDE" w14:textId="77777777" w:rsidR="003D1775" w:rsidRDefault="003D1775" w:rsidP="00D7375B">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14:paraId="6F89E0D7"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1783886D" w14:textId="77777777" w:rsidR="003D1775" w:rsidRDefault="003D1775" w:rsidP="00D7375B">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14:paraId="2C157BDD" w14:textId="77777777" w:rsidR="003D1775" w:rsidRDefault="003D1775" w:rsidP="00D7375B">
            <w:pPr>
              <w:spacing w:line="480" w:lineRule="auto"/>
              <w:jc w:val="center"/>
              <w:rPr>
                <w:b/>
                <w:bCs/>
                <w:color w:val="000000"/>
                <w:sz w:val="20"/>
                <w:szCs w:val="20"/>
              </w:rPr>
            </w:pPr>
          </w:p>
        </w:tc>
      </w:tr>
      <w:tr w:rsidR="003D1775" w14:paraId="070677D2" w14:textId="77777777"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0AEDEC0D" w14:textId="77777777" w:rsidR="003D1775" w:rsidRDefault="003D1775" w:rsidP="00D7375B">
            <w:pPr>
              <w:spacing w:line="480" w:lineRule="auto"/>
              <w:jc w:val="center"/>
              <w:rPr>
                <w:b/>
                <w:bCs/>
                <w:color w:val="000000"/>
                <w:sz w:val="20"/>
                <w:szCs w:val="20"/>
              </w:rPr>
            </w:pPr>
            <w:r>
              <w:rPr>
                <w:b/>
                <w:bCs/>
                <w:color w:val="000000"/>
                <w:sz w:val="20"/>
                <w:szCs w:val="20"/>
              </w:rPr>
              <w:t>Q3</w:t>
            </w:r>
          </w:p>
        </w:tc>
        <w:tc>
          <w:tcPr>
            <w:tcW w:w="1328" w:type="dxa"/>
            <w:tcBorders>
              <w:top w:val="single" w:sz="4" w:space="0" w:color="000000"/>
              <w:left w:val="nil"/>
              <w:bottom w:val="single" w:sz="4" w:space="0" w:color="000000"/>
              <w:right w:val="single" w:sz="4" w:space="0" w:color="000000"/>
            </w:tcBorders>
            <w:vAlign w:val="center"/>
          </w:tcPr>
          <w:p w14:paraId="6485662B" w14:textId="77777777" w:rsidR="003D1775" w:rsidRDefault="003D1775" w:rsidP="00D7375B">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14:paraId="6CAD6958"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53AF3A1F" w14:textId="77777777" w:rsidR="003D1775" w:rsidRDefault="003D1775" w:rsidP="00D7375B">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14:paraId="0455997F"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62EE55A1" w14:textId="77777777" w:rsidR="003D1775" w:rsidRDefault="003D1775" w:rsidP="00D7375B">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14:paraId="6C58000A" w14:textId="77777777" w:rsidR="003D1775" w:rsidRDefault="003D1775" w:rsidP="00D7375B">
            <w:pPr>
              <w:spacing w:line="480" w:lineRule="auto"/>
              <w:jc w:val="center"/>
              <w:rPr>
                <w:b/>
                <w:bCs/>
                <w:color w:val="000000"/>
                <w:sz w:val="20"/>
                <w:szCs w:val="20"/>
              </w:rPr>
            </w:pPr>
          </w:p>
        </w:tc>
      </w:tr>
      <w:tr w:rsidR="003D1775" w14:paraId="018FADA6" w14:textId="77777777"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1E2F7441" w14:textId="77777777" w:rsidR="003D1775" w:rsidRDefault="003D1775" w:rsidP="00D7375B">
            <w:pPr>
              <w:spacing w:line="480" w:lineRule="auto"/>
              <w:jc w:val="center"/>
              <w:rPr>
                <w:b/>
                <w:bCs/>
                <w:color w:val="000000"/>
                <w:sz w:val="20"/>
                <w:szCs w:val="20"/>
              </w:rPr>
            </w:pPr>
            <w:r>
              <w:rPr>
                <w:b/>
                <w:bCs/>
                <w:color w:val="000000"/>
                <w:sz w:val="20"/>
                <w:szCs w:val="20"/>
              </w:rPr>
              <w:t>Q4</w:t>
            </w:r>
          </w:p>
        </w:tc>
        <w:tc>
          <w:tcPr>
            <w:tcW w:w="1328" w:type="dxa"/>
            <w:tcBorders>
              <w:top w:val="single" w:sz="4" w:space="0" w:color="000000"/>
              <w:left w:val="nil"/>
              <w:bottom w:val="single" w:sz="4" w:space="0" w:color="000000"/>
              <w:right w:val="single" w:sz="4" w:space="0" w:color="000000"/>
            </w:tcBorders>
            <w:vAlign w:val="center"/>
          </w:tcPr>
          <w:p w14:paraId="1D8BA799" w14:textId="77777777" w:rsidR="003D1775" w:rsidRDefault="003D1775" w:rsidP="00D7375B">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14:paraId="11A96516"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2A97C1EE" w14:textId="77777777" w:rsidR="003D1775" w:rsidRDefault="003D1775" w:rsidP="00D7375B">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14:paraId="1AF77F23"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23D5139E" w14:textId="77777777" w:rsidR="003D1775" w:rsidRDefault="003D1775" w:rsidP="00D7375B">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14:paraId="405E6D30" w14:textId="77777777" w:rsidR="003D1775" w:rsidRDefault="003D1775" w:rsidP="00D7375B">
            <w:pPr>
              <w:spacing w:line="480" w:lineRule="auto"/>
              <w:jc w:val="center"/>
              <w:rPr>
                <w:b/>
                <w:bCs/>
                <w:color w:val="000000"/>
                <w:sz w:val="20"/>
                <w:szCs w:val="20"/>
              </w:rPr>
            </w:pPr>
          </w:p>
        </w:tc>
      </w:tr>
    </w:tbl>
    <w:p w14:paraId="0005594E" w14:textId="77777777" w:rsidR="008A0601" w:rsidRDefault="008A0601">
      <w:pPr>
        <w:rPr>
          <w:sz w:val="24"/>
          <w:szCs w:val="24"/>
        </w:rPr>
      </w:pPr>
    </w:p>
    <w:p w14:paraId="683FA7F4" w14:textId="77777777" w:rsidR="003D1775" w:rsidRDefault="003D1775">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6D1B1DD4" w14:textId="77777777" w:rsidR="003D1775" w:rsidRDefault="003D1775" w:rsidP="003D1775">
      <w:pPr>
        <w:jc w:val="right"/>
        <w:rPr>
          <w:sz w:val="24"/>
          <w:szCs w:val="24"/>
        </w:rPr>
      </w:pPr>
      <w:r>
        <w:rPr>
          <w:sz w:val="24"/>
          <w:szCs w:val="24"/>
        </w:rPr>
        <w:t>Faculty Signature</w:t>
      </w:r>
    </w:p>
    <w:p w14:paraId="44544E4B" w14:textId="77777777" w:rsidR="008A0601" w:rsidRDefault="008A0601">
      <w:pPr>
        <w:rPr>
          <w:sz w:val="24"/>
          <w:szCs w:val="24"/>
        </w:rPr>
      </w:pPr>
    </w:p>
    <w:p w14:paraId="714C6BE2" w14:textId="77777777" w:rsidR="008A0601" w:rsidRDefault="00A731C3">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Marks:40</w:t>
      </w:r>
    </w:p>
    <w:p w14:paraId="1BD3B8BC" w14:textId="77777777" w:rsidR="008A0601" w:rsidRDefault="008A0601">
      <w:pPr>
        <w:rPr>
          <w:sz w:val="24"/>
          <w:szCs w:val="24"/>
        </w:rPr>
      </w:pPr>
    </w:p>
    <w:p w14:paraId="2462D30C" w14:textId="77777777" w:rsidR="00136800" w:rsidRPr="003465D1" w:rsidRDefault="00136800" w:rsidP="00136800">
      <w:pPr>
        <w:pStyle w:val="pdq2pgselectionanchorcontainer"/>
        <w:jc w:val="both"/>
        <w:rPr>
          <w:sz w:val="28"/>
          <w:szCs w:val="28"/>
        </w:rPr>
      </w:pPr>
      <w:r>
        <w:rPr>
          <w:sz w:val="28"/>
          <w:szCs w:val="28"/>
        </w:rPr>
        <w:t xml:space="preserve">1. A multinational IT company uses a cloud-based video conferencing platform for daily client meetings. During peak business hours, employees experience frequent voice distortion, frozen video frames, and delayed communication. Network monitoring reports indicate an </w:t>
      </w:r>
      <w:r>
        <w:rPr>
          <w:rStyle w:val="Strong"/>
          <w:sz w:val="28"/>
          <w:szCs w:val="28"/>
        </w:rPr>
        <w:t>8% packet loss</w:t>
      </w:r>
      <w:r>
        <w:rPr>
          <w:sz w:val="28"/>
          <w:szCs w:val="28"/>
        </w:rPr>
        <w:t xml:space="preserve">, </w:t>
      </w:r>
      <w:r>
        <w:rPr>
          <w:rStyle w:val="Strong"/>
          <w:sz w:val="28"/>
          <w:szCs w:val="28"/>
        </w:rPr>
        <w:t>180 ms jitter</w:t>
      </w:r>
      <w:r>
        <w:rPr>
          <w:sz w:val="28"/>
          <w:szCs w:val="28"/>
        </w:rPr>
        <w:t>, and fluctuating bandwidth utilization. The IT administrator suspects that the issue is related to the transport protocol or application-level buffering strategy.</w:t>
      </w:r>
    </w:p>
    <w:p w14:paraId="7E474986" w14:textId="77777777" w:rsidR="00136800" w:rsidRPr="003465D1" w:rsidRDefault="00136800" w:rsidP="00136800">
      <w:pPr>
        <w:pStyle w:val="Heading3"/>
        <w:jc w:val="both"/>
        <w:rPr>
          <w:rFonts w:ascii="Times New Roman" w:hAnsi="Times New Roman" w:cs="Times New Roman"/>
        </w:rPr>
      </w:pPr>
      <w:r>
        <w:rPr>
          <w:rFonts w:ascii="Times New Roman" w:hAnsi="Times New Roman" w:cs="Times New Roman"/>
        </w:rPr>
        <w:t>Questions</w:t>
      </w:r>
    </w:p>
    <w:p w14:paraId="0FDC958A"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Analyze whether the problem is primarily caused by the </w:t>
      </w:r>
      <w:r>
        <w:rPr>
          <w:rStyle w:val="Strong"/>
          <w:rFonts w:ascii="Times New Roman" w:hAnsi="Times New Roman" w:cs="Times New Roman"/>
          <w:sz w:val="28"/>
          <w:szCs w:val="28"/>
        </w:rPr>
        <w:t>transport protocol (TCP/UDP)</w:t>
      </w:r>
      <w:r>
        <w:rPr>
          <w:rFonts w:ascii="Times New Roman" w:hAnsi="Times New Roman" w:cs="Times New Roman"/>
          <w:sz w:val="28"/>
          <w:szCs w:val="28"/>
        </w:rPr>
        <w:t xml:space="preserve"> or the </w:t>
      </w:r>
      <w:r>
        <w:rPr>
          <w:rStyle w:val="Strong"/>
          <w:rFonts w:ascii="Times New Roman" w:hAnsi="Times New Roman" w:cs="Times New Roman"/>
          <w:sz w:val="28"/>
          <w:szCs w:val="28"/>
        </w:rPr>
        <w:t>application layer</w:t>
      </w:r>
      <w:r>
        <w:rPr>
          <w:rFonts w:ascii="Times New Roman" w:hAnsi="Times New Roman" w:cs="Times New Roman"/>
          <w:sz w:val="28"/>
          <w:szCs w:val="28"/>
        </w:rPr>
        <w:t xml:space="preserve">. </w:t>
      </w:r>
    </w:p>
    <w:p w14:paraId="1C618C5A"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Justify your answer based on the communication requirements of real-time multimedia applications. </w:t>
      </w:r>
    </w:p>
    <w:p w14:paraId="65521B88"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Recommend suitable protocol-level or application-level improvements to enhance conferencing quality.</w:t>
      </w:r>
    </w:p>
    <w:p w14:paraId="19F70B26" w14:textId="77777777" w:rsidR="00136800" w:rsidRPr="003465D1" w:rsidRDefault="00136800" w:rsidP="00136800">
      <w:pPr>
        <w:pStyle w:val="Heading3"/>
        <w:jc w:val="both"/>
        <w:rPr>
          <w:rFonts w:ascii="Times New Roman" w:hAnsi="Times New Roman" w:cs="Times New Roman"/>
        </w:rPr>
      </w:pPr>
      <w:r>
        <w:rPr>
          <w:rFonts w:ascii="Times New Roman" w:hAnsi="Times New Roman" w:cs="Times New Roman"/>
        </w:rPr>
        <w:t>Answer</w:t>
      </w:r>
    </w:p>
    <w:p w14:paraId="35736302" w14:textId="77777777" w:rsidR="00136800" w:rsidRPr="003465D1" w:rsidRDefault="00136800" w:rsidP="00136800">
      <w:pPr>
        <w:pStyle w:val="pdq2pgselectionanchorcontainer"/>
        <w:jc w:val="both"/>
        <w:rPr>
          <w:sz w:val="28"/>
          <w:szCs w:val="28"/>
        </w:rPr>
      </w:pPr>
      <w:r>
        <w:rPr>
          <w:b/>
          <w:sz w:val="28"/>
          <w:szCs w:val="28"/>
        </w:rPr>
        <w:t xml:space="preserve">(a) Transport layer vs. application layer: </w:t>
      </w:r>
      <w:r>
        <w:rPr>
          <w:sz w:val="28"/>
          <w:szCs w:val="28"/>
        </w:rPr>
        <w:t>The reported symptoms — 8% packet loss, 180 ms jitter, and fluctuating bandwidth — point primarily to the transport protocol layer rather than the application layer. Real-time video conferencing traffic is normally carried over UDP (often via RTP/RTCP) precisely because it tolerates occasional loss better than delay. If the platform is instead using TCP for the media stream, TCP's built-in reliability mechanisms (retransmission, in-order delivery, and congestion-triggered window shrinking) would convert simple packet loss into large, compounding delays: a single lost segment forces the receiver to hold later, already-arrived frames until the retransmission completes, which manifests exactly as the observed frozen frames and voice distortion. The fluctuating bandwidth utilization further suggests TCP's congestion control (slow start / AIMD) is repeatedly backing off in response to loss, worsening throughput just when the call needs it most.</w:t>
      </w:r>
    </w:p>
    <w:p w14:paraId="26AA1207" w14:textId="77777777" w:rsidR="00136800" w:rsidRPr="003465D1" w:rsidRDefault="00136800" w:rsidP="00136800">
      <w:pPr>
        <w:pStyle w:val="pdq2pgselectionanchorcontainer"/>
        <w:jc w:val="both"/>
        <w:rPr>
          <w:sz w:val="28"/>
          <w:szCs w:val="28"/>
        </w:rPr>
      </w:pPr>
      <w:r>
        <w:rPr>
          <w:b/>
          <w:sz w:val="28"/>
          <w:szCs w:val="28"/>
        </w:rPr>
        <w:t xml:space="preserve">(b) Justification: </w:t>
      </w:r>
      <w:r>
        <w:rPr>
          <w:sz w:val="28"/>
          <w:szCs w:val="28"/>
        </w:rPr>
        <w:t xml:space="preserve">Real-time multimedia has strict latency and jitter budgets (typically under 150 ms one-way delay and low jitter for acceptable voice quality per ITU-T G.114 guidance) but can tolerate a moderate amount of packet loss through concealment techniques, whereas it cannot tolerate the retransmission delay that a reliable transport protocol introduces. This asymmetry — loss-tolerant but delay-intolerant — is the defining requirement of interactive audio/video, and it is precisely why UDP-based transport combined with </w:t>
      </w:r>
      <w:r>
        <w:rPr>
          <w:sz w:val="28"/>
          <w:szCs w:val="28"/>
        </w:rPr>
        <w:lastRenderedPageBreak/>
        <w:t>application-layer adaptation (rather than TCP's blocking reliability) is the correct architectural choice; the symptoms described are consistent with a transport-layer mismatch rather than an application logic bug.</w:t>
      </w:r>
    </w:p>
    <w:p w14:paraId="65826943" w14:textId="77777777" w:rsidR="00136800" w:rsidRPr="003465D1" w:rsidRDefault="00136800" w:rsidP="00136800">
      <w:pPr>
        <w:pStyle w:val="pdq2pgselectionanchorcontainer"/>
        <w:jc w:val="both"/>
        <w:rPr>
          <w:sz w:val="28"/>
          <w:szCs w:val="28"/>
        </w:rPr>
      </w:pPr>
      <w:r>
        <w:rPr>
          <w:b/>
          <w:sz w:val="28"/>
          <w:szCs w:val="28"/>
        </w:rPr>
        <w:t xml:space="preserve">(c) Recommended improvements: </w:t>
      </w:r>
      <w:r>
        <w:rPr>
          <w:sz w:val="28"/>
          <w:szCs w:val="28"/>
        </w:rPr>
        <w:t>Recommended improvements include: (i) confirming and, if necessary, migrating the media path to UDP-based RTP/SRTP rather than TCP, so a lost packet only affects a single frame instead of stalling the stream; (ii) enabling adaptive jitter buffering at the application layer to smooth out the 180 ms jitter without introducing excessive fixed delay; (iii) deploying Forward Error Correction (FEC) and packet-loss concealment codecs (e.g., Opus with in-band FEC) to mask the 8% loss without retransmission; (iv) applying DSCP-based QoS marking (EF class) and traffic shaping/prioritization at the network layer to protect media packets from queuing delay during peak hours; and (v) using adaptive bitrate/simulcast so the application layer reduces resolution or frame rate automatically when bandwidth fluctuates, rather than allowing the transport layer to force a full stall.</w:t>
      </w:r>
    </w:p>
    <w:p w14:paraId="570D1D8F" w14:textId="77777777" w:rsidR="00136800" w:rsidRDefault="00136800">
      <w:pPr>
        <w:rPr>
          <w:sz w:val="24"/>
          <w:szCs w:val="24"/>
        </w:rPr>
      </w:pPr>
    </w:p>
    <w:p w14:paraId="2D33D835" w14:textId="77777777" w:rsidR="00136800" w:rsidRPr="003465D1" w:rsidRDefault="00136800" w:rsidP="00136800">
      <w:pPr>
        <w:pStyle w:val="pdq2pgselectionanchorcontainer"/>
        <w:jc w:val="both"/>
        <w:rPr>
          <w:sz w:val="28"/>
          <w:szCs w:val="28"/>
        </w:rPr>
      </w:pPr>
      <w:r>
        <w:rPr>
          <w:sz w:val="28"/>
          <w:szCs w:val="28"/>
        </w:rPr>
        <w:t xml:space="preserve">2. A multinational software company hosts its web services across multiple continents. Employees frequently report long delays before the application homepage loads. Network analysis shows that the </w:t>
      </w:r>
      <w:r>
        <w:rPr>
          <w:rStyle w:val="Strong"/>
          <w:sz w:val="28"/>
          <w:szCs w:val="28"/>
        </w:rPr>
        <w:t>average DNS lookup time is approximately 800 ms</w:t>
      </w:r>
      <w:r>
        <w:rPr>
          <w:sz w:val="28"/>
          <w:szCs w:val="28"/>
        </w:rPr>
        <w:t>, significantly affecting user experience. The organization plans to redesign its DNS infrastructure while ensuring continuous service availability during server failures.</w:t>
      </w:r>
    </w:p>
    <w:p w14:paraId="38FA3A41" w14:textId="77777777" w:rsidR="00136800" w:rsidRPr="003465D1" w:rsidRDefault="00136800" w:rsidP="00136800">
      <w:pPr>
        <w:pStyle w:val="Heading3"/>
        <w:jc w:val="both"/>
        <w:rPr>
          <w:rFonts w:ascii="Times New Roman" w:hAnsi="Times New Roman" w:cs="Times New Roman"/>
        </w:rPr>
      </w:pPr>
      <w:r>
        <w:rPr>
          <w:rFonts w:ascii="Times New Roman" w:hAnsi="Times New Roman" w:cs="Times New Roman"/>
        </w:rPr>
        <w:t>Questions</w:t>
      </w:r>
    </w:p>
    <w:p w14:paraId="729990A6" w14:textId="77777777" w:rsidR="00136800" w:rsidRPr="003465D1" w:rsidRDefault="00136800" w:rsidP="00136800">
      <w:pPr>
        <w:numPr>
          <w:ilvl w:val="0"/>
          <w:numId w:val="3"/>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Analyze the reasons behind the high DNS resolution time. </w:t>
      </w:r>
    </w:p>
    <w:p w14:paraId="084F23A0" w14:textId="77777777" w:rsidR="00136800" w:rsidRPr="003465D1" w:rsidRDefault="00136800" w:rsidP="00136800">
      <w:pPr>
        <w:numPr>
          <w:ilvl w:val="0"/>
          <w:numId w:val="3"/>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Propose a suitable DNS architecture using techniques such as </w:t>
      </w:r>
      <w:r>
        <w:rPr>
          <w:rStyle w:val="Strong"/>
          <w:rFonts w:ascii="Times New Roman" w:hAnsi="Times New Roman" w:cs="Times New Roman"/>
          <w:sz w:val="28"/>
          <w:szCs w:val="28"/>
        </w:rPr>
        <w:t>Anycast DNS</w:t>
      </w:r>
      <w:r>
        <w:rPr>
          <w:rFonts w:ascii="Times New Roman" w:hAnsi="Times New Roman" w:cs="Times New Roman"/>
          <w:sz w:val="28"/>
          <w:szCs w:val="28"/>
        </w:rPr>
        <w:t xml:space="preserve">, </w:t>
      </w:r>
      <w:r>
        <w:rPr>
          <w:rStyle w:val="Strong"/>
          <w:rFonts w:ascii="Times New Roman" w:hAnsi="Times New Roman" w:cs="Times New Roman"/>
          <w:sz w:val="28"/>
          <w:szCs w:val="28"/>
        </w:rPr>
        <w:t>DNS pre-fetching</w:t>
      </w:r>
      <w:r>
        <w:rPr>
          <w:rFonts w:ascii="Times New Roman" w:hAnsi="Times New Roman" w:cs="Times New Roman"/>
          <w:sz w:val="28"/>
          <w:szCs w:val="28"/>
        </w:rPr>
        <w:t xml:space="preserve">, and </w:t>
      </w:r>
      <w:r>
        <w:rPr>
          <w:rStyle w:val="Strong"/>
          <w:rFonts w:ascii="Times New Roman" w:hAnsi="Times New Roman" w:cs="Times New Roman"/>
          <w:sz w:val="28"/>
          <w:szCs w:val="28"/>
        </w:rPr>
        <w:t>TTL optimization</w:t>
      </w:r>
      <w:r>
        <w:rPr>
          <w:rFonts w:ascii="Times New Roman" w:hAnsi="Times New Roman" w:cs="Times New Roman"/>
          <w:sz w:val="28"/>
          <w:szCs w:val="28"/>
        </w:rPr>
        <w:t xml:space="preserve"> to reduce the lookup time below </w:t>
      </w:r>
      <w:r>
        <w:rPr>
          <w:rStyle w:val="Strong"/>
          <w:rFonts w:ascii="Times New Roman" w:hAnsi="Times New Roman" w:cs="Times New Roman"/>
          <w:sz w:val="28"/>
          <w:szCs w:val="28"/>
        </w:rPr>
        <w:t>50 ms</w:t>
      </w:r>
      <w:r>
        <w:rPr>
          <w:rFonts w:ascii="Times New Roman" w:hAnsi="Times New Roman" w:cs="Times New Roman"/>
          <w:sz w:val="28"/>
          <w:szCs w:val="28"/>
        </w:rPr>
        <w:t xml:space="preserve">. </w:t>
      </w:r>
    </w:p>
    <w:p w14:paraId="5F165337" w14:textId="77777777" w:rsidR="00136800" w:rsidRPr="003465D1" w:rsidRDefault="00136800" w:rsidP="00136800">
      <w:pPr>
        <w:numPr>
          <w:ilvl w:val="0"/>
          <w:numId w:val="3"/>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Evaluate the advantages and limitations of your proposed architecture in terms of performance, scalability, and availability.</w:t>
      </w:r>
    </w:p>
    <w:p w14:paraId="7683579E" w14:textId="77777777" w:rsidR="00136800" w:rsidRPr="003465D1" w:rsidRDefault="00136800" w:rsidP="00136800">
      <w:pPr>
        <w:pStyle w:val="Heading3"/>
        <w:jc w:val="both"/>
        <w:rPr>
          <w:rFonts w:ascii="Times New Roman" w:hAnsi="Times New Roman" w:cs="Times New Roman"/>
        </w:rPr>
      </w:pPr>
      <w:r>
        <w:rPr>
          <w:rFonts w:ascii="Times New Roman" w:hAnsi="Times New Roman" w:cs="Times New Roman"/>
        </w:rPr>
        <w:t>Answer</w:t>
      </w:r>
    </w:p>
    <w:p w14:paraId="27C54528" w14:textId="77777777" w:rsidR="00136800" w:rsidRPr="003465D1" w:rsidRDefault="00136800" w:rsidP="00136800">
      <w:pPr>
        <w:pStyle w:val="pdq2pgselectionanchorcontainer"/>
        <w:jc w:val="both"/>
        <w:rPr>
          <w:sz w:val="28"/>
          <w:szCs w:val="28"/>
        </w:rPr>
      </w:pPr>
      <w:r>
        <w:rPr>
          <w:b/>
          <w:sz w:val="28"/>
          <w:szCs w:val="28"/>
        </w:rPr>
        <w:t xml:space="preserve">(a) Reasons for high DNS resolution time: </w:t>
      </w:r>
      <w:r>
        <w:rPr>
          <w:sz w:val="28"/>
          <w:szCs w:val="28"/>
        </w:rPr>
        <w:t xml:space="preserve">An average DNS lookup time of 800 ms across a globally distributed user base is most likely caused by a combination of factors: (i) a centralized or small number of authoritative/recursive DNS servers located far from many users, forcing long round-trip times across continents; (ii) low cache hit rates due to short or poorly tuned Time-To-Live (TTL) values, causing frequent full resolution instead of cached responses; (iii) </w:t>
      </w:r>
      <w:r>
        <w:rPr>
          <w:sz w:val="28"/>
          <w:szCs w:val="28"/>
        </w:rPr>
        <w:lastRenderedPageBreak/>
        <w:t>deep referral chains (root to TLD to authoritative server) being walked on every cache miss; and (iv) lack of geographic routing, meaning every query — regardless of the user's location — is sent to the same server rather than the nearest available instance.</w:t>
      </w:r>
    </w:p>
    <w:p w14:paraId="55FAD3A4" w14:textId="77777777" w:rsidR="00136800" w:rsidRPr="003465D1" w:rsidRDefault="00136800" w:rsidP="00136800">
      <w:pPr>
        <w:pStyle w:val="pdq2pgselectionanchorcontainer"/>
        <w:jc w:val="both"/>
        <w:rPr>
          <w:sz w:val="28"/>
          <w:szCs w:val="28"/>
        </w:rPr>
      </w:pPr>
      <w:r>
        <w:rPr>
          <w:b/>
          <w:sz w:val="28"/>
          <w:szCs w:val="28"/>
        </w:rPr>
        <w:t xml:space="preserve">(b) Proposed DNS architecture: </w:t>
      </w:r>
      <w:r>
        <w:rPr>
          <w:sz w:val="28"/>
          <w:szCs w:val="28"/>
        </w:rPr>
        <w:t>A redesigned DNS architecture should combine three complementary techniques. Anycast DNS advertises the same IP address from multiple geographically distributed name-server instances; standard BGP routing automatically directs each user's query to the topologically nearest instance, cutting round-trip time from hundreds of milliseconds to typically under 20-30 ms. DNS pre-fetching allows client browsers/applications to resolve likely-needed domains in advance (e.g., while a page is loading) so that by the time a resource is actually requested, its IP address is already cached locally, effectively hiding lookup latency from the user. TTL optimization involves setting TTL values long enough (e.g., 300-3600 seconds for stable records) to maximize cache hit rates at recursive resolvers, while keeping TTLs short enough on records that may need to fail over quickly to preserve availability. Combined, an anycast-based authoritative layer with tuned TTLs and client-side pre-fetching can realistically bring effective lookup time below the 50 ms target for the large majority of queries.</w:t>
      </w:r>
    </w:p>
    <w:p w14:paraId="129618B1" w14:textId="77777777" w:rsidR="00136800" w:rsidRPr="003465D1" w:rsidRDefault="00136800" w:rsidP="00136800">
      <w:pPr>
        <w:pStyle w:val="pdq2pgselectionanchorcontainer"/>
        <w:jc w:val="both"/>
        <w:rPr>
          <w:sz w:val="28"/>
          <w:szCs w:val="28"/>
        </w:rPr>
      </w:pPr>
      <w:r>
        <w:rPr>
          <w:b/>
          <w:sz w:val="28"/>
          <w:szCs w:val="28"/>
        </w:rPr>
        <w:t xml:space="preserve">(c) Advantages and limitations: </w:t>
      </w:r>
      <w:r>
        <w:rPr>
          <w:sz w:val="28"/>
          <w:szCs w:val="28"/>
        </w:rPr>
        <w:t>Advantages: Anycast dramatically improves both latency (nearest-server routing) and availability (if one instance fails, BGP automatically reroutes to the next-nearest healthy instance with no client-side change), and it scales horizontally simply by adding more PoPs. Pre-fetching and TTL tuning further reduce perceived latency at effectively no infrastructure cost. Limitations: Anycast complicates debugging, since the same IP address may be answered by different physical servers on different queries, and it depends on correctly configured BGP peering with multiple ISPs, which adds operational complexity. Overly long TTLs can slow propagation of legitimate DNS changes (e.g., during failover or migration), so architects must balance cache efficiency against agility. Overall, the performance and availability gains substantially outweigh these operational costs for a globally distributed service.</w:t>
      </w:r>
    </w:p>
    <w:p w14:paraId="233DF72C" w14:textId="77777777" w:rsidR="00136800" w:rsidRDefault="00136800">
      <w:pPr>
        <w:rPr>
          <w:sz w:val="24"/>
          <w:szCs w:val="24"/>
        </w:rPr>
      </w:pPr>
    </w:p>
    <w:p w14:paraId="1B4027A8" w14:textId="77777777" w:rsidR="00136800" w:rsidRPr="003465D1" w:rsidRDefault="00136800" w:rsidP="00136800">
      <w:pPr>
        <w:pStyle w:val="pdq2pgselectionanchorcontainer"/>
        <w:jc w:val="both"/>
        <w:rPr>
          <w:sz w:val="28"/>
          <w:szCs w:val="28"/>
        </w:rPr>
      </w:pPr>
      <w:r>
        <w:rPr>
          <w:sz w:val="28"/>
          <w:szCs w:val="28"/>
        </w:rPr>
        <w:t xml:space="preserve">3.A cloud service provider delivers applications to millions of users worldwide. During promotional events, users experience intermittent delays in accessing cloud-hosted services. Investigation reveals that DNS queries are taking nearly </w:t>
      </w:r>
      <w:r>
        <w:rPr>
          <w:rStyle w:val="Strong"/>
          <w:sz w:val="28"/>
          <w:szCs w:val="28"/>
        </w:rPr>
        <w:t>800 ms</w:t>
      </w:r>
      <w:r>
        <w:rPr>
          <w:sz w:val="28"/>
          <w:szCs w:val="28"/>
        </w:rPr>
        <w:t xml:space="preserve"> because all requests are directed to a single primary DNS server. The company wants a highly available DNS solution capable of handling global traffic efficiently.</w:t>
      </w:r>
    </w:p>
    <w:p w14:paraId="073E1540" w14:textId="77777777" w:rsidR="00136800" w:rsidRPr="003465D1" w:rsidRDefault="00136800" w:rsidP="00136800">
      <w:pPr>
        <w:pStyle w:val="Heading3"/>
        <w:jc w:val="both"/>
        <w:rPr>
          <w:rFonts w:ascii="Times New Roman" w:hAnsi="Times New Roman" w:cs="Times New Roman"/>
        </w:rPr>
      </w:pPr>
      <w:r>
        <w:rPr>
          <w:rFonts w:ascii="Times New Roman" w:hAnsi="Times New Roman" w:cs="Times New Roman"/>
        </w:rPr>
        <w:lastRenderedPageBreak/>
        <w:t>Questions</w:t>
      </w:r>
    </w:p>
    <w:p w14:paraId="73C1FB15"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Examine the impact of centralized DNS architecture on application performance. </w:t>
      </w:r>
    </w:p>
    <w:p w14:paraId="73CA55BA"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Design a distributed DNS solution that minimizes lookup latency while maintaining high availability. </w:t>
      </w:r>
    </w:p>
    <w:p w14:paraId="3447BF93"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Analyze how </w:t>
      </w:r>
      <w:r>
        <w:rPr>
          <w:rStyle w:val="Strong"/>
          <w:rFonts w:ascii="Times New Roman" w:hAnsi="Times New Roman" w:cs="Times New Roman"/>
          <w:sz w:val="28"/>
          <w:szCs w:val="28"/>
        </w:rPr>
        <w:t>TTL values</w:t>
      </w:r>
      <w:r>
        <w:rPr>
          <w:rFonts w:ascii="Times New Roman" w:hAnsi="Times New Roman" w:cs="Times New Roman"/>
          <w:sz w:val="28"/>
          <w:szCs w:val="28"/>
        </w:rPr>
        <w:t xml:space="preserve">, </w:t>
      </w:r>
      <w:r>
        <w:rPr>
          <w:rStyle w:val="Strong"/>
          <w:rFonts w:ascii="Times New Roman" w:hAnsi="Times New Roman" w:cs="Times New Roman"/>
          <w:sz w:val="28"/>
          <w:szCs w:val="28"/>
        </w:rPr>
        <w:t>Anycast routing</w:t>
      </w:r>
      <w:r>
        <w:rPr>
          <w:rFonts w:ascii="Times New Roman" w:hAnsi="Times New Roman" w:cs="Times New Roman"/>
          <w:sz w:val="28"/>
          <w:szCs w:val="28"/>
        </w:rPr>
        <w:t xml:space="preserve">, and </w:t>
      </w:r>
      <w:r>
        <w:rPr>
          <w:rStyle w:val="Strong"/>
          <w:rFonts w:ascii="Times New Roman" w:hAnsi="Times New Roman" w:cs="Times New Roman"/>
          <w:sz w:val="28"/>
          <w:szCs w:val="28"/>
        </w:rPr>
        <w:t>DNS caching</w:t>
      </w:r>
      <w:r>
        <w:rPr>
          <w:rFonts w:ascii="Times New Roman" w:hAnsi="Times New Roman" w:cs="Times New Roman"/>
          <w:sz w:val="28"/>
          <w:szCs w:val="28"/>
        </w:rPr>
        <w:t xml:space="preserve"> influence system performance and fault tolerance.</w:t>
      </w:r>
    </w:p>
    <w:p w14:paraId="3F8D3FBF" w14:textId="77777777" w:rsidR="00136800" w:rsidRPr="003465D1" w:rsidRDefault="00136800" w:rsidP="00136800">
      <w:pPr>
        <w:pStyle w:val="Heading3"/>
        <w:jc w:val="both"/>
        <w:rPr>
          <w:rFonts w:ascii="Times New Roman" w:hAnsi="Times New Roman" w:cs="Times New Roman"/>
        </w:rPr>
      </w:pPr>
      <w:r>
        <w:rPr>
          <w:rFonts w:ascii="Times New Roman" w:hAnsi="Times New Roman" w:cs="Times New Roman"/>
        </w:rPr>
        <w:t>Answer</w:t>
      </w:r>
    </w:p>
    <w:p w14:paraId="28D357F5" w14:textId="77777777" w:rsidR="00136800" w:rsidRPr="003465D1" w:rsidRDefault="00136800" w:rsidP="00136800">
      <w:pPr>
        <w:pStyle w:val="pdq2pgselectionanchorcontainer"/>
        <w:jc w:val="both"/>
        <w:rPr>
          <w:sz w:val="28"/>
          <w:szCs w:val="28"/>
        </w:rPr>
      </w:pPr>
      <w:r>
        <w:rPr>
          <w:b/>
          <w:sz w:val="28"/>
          <w:szCs w:val="28"/>
        </w:rPr>
        <w:t xml:space="preserve">(a) Impact of centralized DNS architecture: </w:t>
      </w:r>
      <w:r>
        <w:rPr>
          <w:sz w:val="28"/>
          <w:szCs w:val="28"/>
        </w:rPr>
        <w:t>Routing every global DNS query to a single primary server creates a single point of both latency and failure. Users far from that server incur long propagation delay on every cache miss (consistent with the observed 800 ms), and because all load is concentrated on one server, promotional-event traffic spikes can saturate its query-handling capacity, producing queuing delay and intermittent timeouts even for users who are geographically close. Centralization also removes any redundancy: if the single primary server becomes overloaded or unreachable, DNS resolution — and therefore the entire application — becomes unavailable worldwide, since there is no alternate path for queries to take.</w:t>
      </w:r>
    </w:p>
    <w:p w14:paraId="4EE2161D" w14:textId="77777777" w:rsidR="00136800" w:rsidRPr="003465D1" w:rsidRDefault="00136800" w:rsidP="00136800">
      <w:pPr>
        <w:pStyle w:val="pdq2pgselectionanchorcontainer"/>
        <w:jc w:val="both"/>
        <w:rPr>
          <w:sz w:val="28"/>
          <w:szCs w:val="28"/>
        </w:rPr>
      </w:pPr>
      <w:r>
        <w:rPr>
          <w:b/>
          <w:sz w:val="28"/>
          <w:szCs w:val="28"/>
        </w:rPr>
        <w:t xml:space="preserve">(b) Distributed DNS solution design: </w:t>
      </w:r>
      <w:r>
        <w:rPr>
          <w:sz w:val="28"/>
          <w:szCs w:val="28"/>
        </w:rPr>
        <w:t>The recommended solution is a multi-layered, geographically distributed DNS deployment: multiple authoritative name servers deployed across regions (North America, Europe, Asia-Pacific, etc.) and made reachable via a shared Anycast IP address, so BGP automatically steers each query to the nearest healthy instance. This should be paired with a hierarchy of recursive resolver caching (ISP-level and CDN-provided public resolvers) to absorb repeated queries before they ever reach the authoritative layer, and active health-checking with automatic withdrawal of unhealthy Anycast nodes from BGP advertisement, so traffic is instantly redirected away from a failed or overloaded server without any client reconfiguration. This design distributes load proportionally to global user density, eliminates the single point of failure, and keeps typical resolution paths short regardless of where a request originates.</w:t>
      </w:r>
    </w:p>
    <w:p w14:paraId="527734A5" w14:textId="77777777" w:rsidR="00136800" w:rsidRPr="003465D1" w:rsidRDefault="00136800" w:rsidP="00136800">
      <w:pPr>
        <w:pStyle w:val="pdq2pgselectionanchorcontainer"/>
        <w:jc w:val="both"/>
        <w:rPr>
          <w:sz w:val="28"/>
          <w:szCs w:val="28"/>
        </w:rPr>
      </w:pPr>
      <w:r>
        <w:rPr>
          <w:b/>
          <w:sz w:val="28"/>
          <w:szCs w:val="28"/>
        </w:rPr>
        <w:t xml:space="preserve">(c) Effect of TTL, Anycast routing, and caching: </w:t>
      </w:r>
      <w:r>
        <w:rPr>
          <w:sz w:val="28"/>
          <w:szCs w:val="28"/>
        </w:rPr>
        <w:t xml:space="preserve">TTL values directly control how often a resolver must re-query the authoritative servers: shorter TTLs increase authoritative-server load and average latency (more frequent cache misses) but allow faster propagation of changes (useful for failover), while longer TTLs reduce load and latency by maximizing cache hits at the cost of slower change propagation — a balance typically struck in the range of a few minutes to an hour for most records. Anycast routing improves both latency (nearest-instance routing) and fault tolerance (automatic BGP-level failover away from </w:t>
      </w:r>
      <w:r>
        <w:rPr>
          <w:sz w:val="28"/>
          <w:szCs w:val="28"/>
        </w:rPr>
        <w:lastRenderedPageBreak/>
        <w:t>unreachable nodes) without requiring any client-side logic. DNS caching at multiple layers (browser, OS stub resolver, ISP recursive resolver, and CDN edge resolver) compounds these benefits by satisfying the large majority of repeat queries locally, so that only a small fraction of total queries ever need to traverse the full path to an authoritative Anycast node — together, these three mechanisms are what allow a distributed DNS architecture to sustain both low latency and high availability under global promotional-event load.</w:t>
      </w:r>
    </w:p>
    <w:p w14:paraId="422B7D2D" w14:textId="77777777" w:rsidR="00136800" w:rsidRDefault="00136800">
      <w:pPr>
        <w:rPr>
          <w:sz w:val="24"/>
          <w:szCs w:val="24"/>
        </w:rPr>
      </w:pPr>
    </w:p>
    <w:p w14:paraId="196DFC05" w14:textId="77777777" w:rsidR="00136800" w:rsidRPr="003465D1" w:rsidRDefault="00136800" w:rsidP="00136800">
      <w:pPr>
        <w:pStyle w:val="pdq2pgselectionanchorcontainer"/>
        <w:jc w:val="both"/>
        <w:rPr>
          <w:sz w:val="28"/>
          <w:szCs w:val="28"/>
        </w:rPr>
      </w:pPr>
      <w:r>
        <w:rPr>
          <w:color w:val="000000"/>
          <w:sz w:val="28"/>
          <w:szCs w:val="28"/>
        </w:rPr>
        <w:t>4.</w:t>
      </w:r>
      <w:r>
        <w:rPr>
          <w:sz w:val="28"/>
          <w:szCs w:val="28"/>
        </w:rPr>
        <w:t xml:space="preserve">A financial institution operates an electronic stock trading platform where thousands of buy and sell orders are submitted every second. During market opening hours, the </w:t>
      </w:r>
      <w:r>
        <w:rPr>
          <w:rStyle w:val="Strong"/>
          <w:sz w:val="28"/>
          <w:szCs w:val="28"/>
        </w:rPr>
        <w:t>average order acknowledgment latency increases from 1 ms to 40 ms</w:t>
      </w:r>
      <w:r>
        <w:rPr>
          <w:sz w:val="28"/>
          <w:szCs w:val="28"/>
        </w:rPr>
        <w:t>, resulting in delayed trade confirmations and customer dissatisfaction. Network engineers observe increased TCP retransmissions, longer connection establishment times, and excessive buffering.</w:t>
      </w:r>
    </w:p>
    <w:p w14:paraId="2B6A0909" w14:textId="77777777" w:rsidR="00136800" w:rsidRPr="003465D1" w:rsidRDefault="00136800" w:rsidP="00136800">
      <w:pPr>
        <w:pStyle w:val="Heading3"/>
        <w:jc w:val="both"/>
        <w:rPr>
          <w:rFonts w:ascii="Times New Roman" w:hAnsi="Times New Roman" w:cs="Times New Roman"/>
        </w:rPr>
      </w:pPr>
      <w:r>
        <w:rPr>
          <w:rFonts w:ascii="Times New Roman" w:hAnsi="Times New Roman" w:cs="Times New Roman"/>
        </w:rPr>
        <w:t>Questions</w:t>
      </w:r>
    </w:p>
    <w:p w14:paraId="1DE9611C" w14:textId="77777777" w:rsidR="00136800" w:rsidRPr="003465D1" w:rsidRDefault="00136800" w:rsidP="00136800">
      <w:pPr>
        <w:numPr>
          <w:ilvl w:val="0"/>
          <w:numId w:val="5"/>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Analyze three possible TCP-related factors responsible for the latency increase, considering </w:t>
      </w:r>
      <w:r>
        <w:rPr>
          <w:rStyle w:val="Strong"/>
          <w:rFonts w:ascii="Times New Roman" w:hAnsi="Times New Roman" w:cs="Times New Roman"/>
          <w:sz w:val="28"/>
          <w:szCs w:val="28"/>
        </w:rPr>
        <w:t>flow control</w:t>
      </w:r>
      <w:r>
        <w:rPr>
          <w:rFonts w:ascii="Times New Roman" w:hAnsi="Times New Roman" w:cs="Times New Roman"/>
          <w:sz w:val="28"/>
          <w:szCs w:val="28"/>
        </w:rPr>
        <w:t xml:space="preserve">, </w:t>
      </w:r>
      <w:r>
        <w:rPr>
          <w:rStyle w:val="Strong"/>
          <w:rFonts w:ascii="Times New Roman" w:hAnsi="Times New Roman" w:cs="Times New Roman"/>
          <w:sz w:val="28"/>
          <w:szCs w:val="28"/>
        </w:rPr>
        <w:t>Nagle's algorithm</w:t>
      </w:r>
      <w:r>
        <w:rPr>
          <w:rFonts w:ascii="Times New Roman" w:hAnsi="Times New Roman" w:cs="Times New Roman"/>
          <w:sz w:val="28"/>
          <w:szCs w:val="28"/>
        </w:rPr>
        <w:t xml:space="preserve">, and </w:t>
      </w:r>
      <w:r>
        <w:rPr>
          <w:rStyle w:val="Strong"/>
          <w:rFonts w:ascii="Times New Roman" w:hAnsi="Times New Roman" w:cs="Times New Roman"/>
          <w:sz w:val="28"/>
          <w:szCs w:val="28"/>
        </w:rPr>
        <w:t>SYN queue limitations</w:t>
      </w:r>
      <w:r>
        <w:rPr>
          <w:rFonts w:ascii="Times New Roman" w:hAnsi="Times New Roman" w:cs="Times New Roman"/>
          <w:sz w:val="28"/>
          <w:szCs w:val="28"/>
        </w:rPr>
        <w:t xml:space="preserve">. </w:t>
      </w:r>
    </w:p>
    <w:p w14:paraId="1D3F238D" w14:textId="77777777" w:rsidR="00136800" w:rsidRPr="003465D1" w:rsidRDefault="00136800" w:rsidP="00136800">
      <w:pPr>
        <w:numPr>
          <w:ilvl w:val="0"/>
          <w:numId w:val="5"/>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Explain how each factor affects transaction processing in high-frequency systems </w:t>
      </w:r>
    </w:p>
    <w:p w14:paraId="1A438A6D" w14:textId="77777777" w:rsidR="00136800" w:rsidRPr="003465D1" w:rsidRDefault="00136800" w:rsidP="00136800">
      <w:pPr>
        <w:numPr>
          <w:ilvl w:val="0"/>
          <w:numId w:val="5"/>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Recommend appropriate TCP configuration changes to reduce latency and improve transaction reliability.</w:t>
      </w:r>
    </w:p>
    <w:p w14:paraId="2C2245E6" w14:textId="77777777" w:rsidR="00136800" w:rsidRPr="003465D1" w:rsidRDefault="00136800" w:rsidP="00136800">
      <w:pPr>
        <w:pStyle w:val="Heading3"/>
        <w:jc w:val="both"/>
        <w:rPr>
          <w:rFonts w:ascii="Times New Roman" w:hAnsi="Times New Roman" w:cs="Times New Roman"/>
        </w:rPr>
      </w:pPr>
      <w:r>
        <w:rPr>
          <w:rFonts w:ascii="Times New Roman" w:hAnsi="Times New Roman" w:cs="Times New Roman"/>
        </w:rPr>
        <w:t>Answer</w:t>
      </w:r>
    </w:p>
    <w:p w14:paraId="39E05B47" w14:textId="77777777" w:rsidR="00136800" w:rsidRPr="003465D1" w:rsidRDefault="00136800" w:rsidP="00136800">
      <w:pPr>
        <w:pStyle w:val="pdq2pgselectionanchorcontainer"/>
        <w:jc w:val="both"/>
        <w:rPr>
          <w:sz w:val="28"/>
          <w:szCs w:val="28"/>
        </w:rPr>
      </w:pPr>
      <w:r>
        <w:rPr>
          <w:b/>
          <w:sz w:val="28"/>
          <w:szCs w:val="28"/>
        </w:rPr>
        <w:t xml:space="preserve">(a) Three TCP-related factors: </w:t>
      </w:r>
      <w:r>
        <w:rPr>
          <w:sz w:val="28"/>
          <w:szCs w:val="28"/>
        </w:rPr>
        <w:t xml:space="preserve">Flow control: TCP's receive-window mechanism throttles the sender to match the receiver's available buffer space; if trading-server receive buffers are undersized or slow to be drained by the application under heavy order-message load, the advertised window shrinks, forcing the sender to pause or send smaller segments, directly adding latency to order transmission. Nagle's algorithm: by default, TCP delays sending small segments in order to coalesce them into fewer, larger packets, waiting either for enough data to fill a segment or for an acknowledgment of previously sent data; for a trading system that sends many small, latency-sensitive order messages, this deliberate coalescing delay (interacting poorly with delayed ACKs) can add tens of milliseconds per message. SYN queue limitations: each new TCP connection begins with a three-way handshake, and incoming SYN requests are held in a bounded listen/SYN queue at the server; during market-opening bursts, if the queue fills faster than the application accepts new connections, additional SYNs </w:t>
      </w:r>
      <w:r>
        <w:rPr>
          <w:sz w:val="28"/>
          <w:szCs w:val="28"/>
        </w:rPr>
        <w:lastRenderedPageBreak/>
        <w:t>are dropped or delayed, forcing costly retransmissions and increasing connection-establishment latency at exactly the moment low latency matters most.</w:t>
      </w:r>
    </w:p>
    <w:p w14:paraId="6F1A7AA6" w14:textId="77777777" w:rsidR="00136800" w:rsidRPr="003465D1" w:rsidRDefault="00136800" w:rsidP="00136800">
      <w:pPr>
        <w:pStyle w:val="pdq2pgselectionanchorcontainer"/>
        <w:jc w:val="both"/>
        <w:rPr>
          <w:sz w:val="28"/>
          <w:szCs w:val="28"/>
        </w:rPr>
      </w:pPr>
      <w:r>
        <w:rPr>
          <w:b/>
          <w:sz w:val="28"/>
          <w:szCs w:val="28"/>
        </w:rPr>
        <w:t xml:space="preserve">(b) Effect of each factor on transaction processing: </w:t>
      </w:r>
      <w:r>
        <w:rPr>
          <w:sz w:val="28"/>
          <w:szCs w:val="28"/>
        </w:rPr>
        <w:t>In a high-frequency trading system, flow control problems throttle the steady stream of order and acknowledgment messages, causing acknowledgment latency to rise as buffers approach capacity — directly explaining an increase from roughly 1 ms to 40 ms under load. Nagle's algorithm, combined with the receiver's delayed-ACK strategy, can produce a well-known interaction where each small order message waits up to several hundred milliseconds for a triggering ACK before being sent, which is catastrophic for a system expecting single-digit-millisecond confirmations. SYN queue exhaustion during the burst of new sessions opened at market open increases the time to establish new order-routing connections and causes some clients to silently retry, compounding perceived latency and occasionally producing duplicate or delayed order submissions — all of which directly degrade trade confirmation speed and customer-visible reliability.</w:t>
      </w:r>
    </w:p>
    <w:p w14:paraId="65E0138F" w14:textId="77777777" w:rsidR="00136800" w:rsidRPr="003465D1" w:rsidRDefault="00136800" w:rsidP="00136800">
      <w:pPr>
        <w:pStyle w:val="pdq2pgselectionanchorcontainer"/>
        <w:jc w:val="both"/>
        <w:rPr>
          <w:sz w:val="28"/>
          <w:szCs w:val="28"/>
        </w:rPr>
      </w:pPr>
      <w:r>
        <w:rPr>
          <w:b/>
          <w:sz w:val="28"/>
          <w:szCs w:val="28"/>
        </w:rPr>
        <w:t xml:space="preserve">(c) Recommended TCP configuration changes: </w:t>
      </w:r>
      <w:r>
        <w:rPr>
          <w:sz w:val="28"/>
          <w:szCs w:val="28"/>
        </w:rPr>
        <w:t>Recommended configuration changes: (i) disable Nagle's algorithm on order-message sockets by setting the TCP_NODELAY option, so small, latency-sensitive messages are transmitted immediately rather than buffered for coalescing; (ii) tune or disable delayed ACKs on the server side where TCP_NODELAY is used, to avoid the classic Nagle/delayed-ACK interaction; (iii) increase the TCP receive and send buffer/window sizes (and enable window scaling) so flow control does not throttle throughput under normal peak load, while ensuring the application layer drains buffers quickly; (iv) increase the SYN backlog/listen queue size and enable SYN cookies to absorb bursty connection-establishment load at market open without dropping handshake requests; and (v) consider connection pooling or persistent long-lived connections for known institutional clients, reducing the frequency of new handshakes altogether during the highest-load opening period.</w:t>
      </w:r>
    </w:p>
    <w:p w14:paraId="605B4C75" w14:textId="77777777" w:rsidR="00136800" w:rsidRDefault="00136800">
      <w:pPr>
        <w:rPr>
          <w:sz w:val="24"/>
          <w:szCs w:val="24"/>
        </w:rPr>
      </w:pPr>
    </w:p>
    <w:p w14:paraId="299119D8" w14:textId="77777777" w:rsidR="008A0601" w:rsidRDefault="008A0601">
      <w:pPr>
        <w:rPr>
          <w:i/>
          <w:iCs/>
          <w:sz w:val="24"/>
          <w:szCs w:val="24"/>
        </w:rPr>
      </w:pPr>
    </w:p>
    <w:p w14:paraId="3E99382E" w14:textId="77777777" w:rsidR="001E0CC2" w:rsidRDefault="001E0CC2">
      <w:pPr>
        <w:rPr>
          <w:b/>
          <w:bCs/>
          <w:sz w:val="24"/>
          <w:szCs w:val="24"/>
        </w:rPr>
      </w:pPr>
      <w:r>
        <w:rPr>
          <w:b/>
          <w:bCs/>
          <w:sz w:val="24"/>
          <w:szCs w:val="24"/>
        </w:rPr>
        <w:br w:type="page"/>
      </w:r>
    </w:p>
    <w:p w14:paraId="170D05D8" w14:textId="77777777" w:rsidR="008A0601" w:rsidRDefault="00A731C3">
      <w:pPr>
        <w:rPr>
          <w:b/>
          <w:bCs/>
          <w:sz w:val="24"/>
          <w:szCs w:val="24"/>
        </w:rPr>
      </w:pPr>
      <w:r>
        <w:rPr>
          <w:b/>
          <w:bCs/>
          <w:sz w:val="24"/>
          <w:szCs w:val="24"/>
        </w:rPr>
        <w:lastRenderedPageBreak/>
        <w:t>RUBRICS FOR CALCULATION:</w:t>
      </w:r>
    </w:p>
    <w:p w14:paraId="69A5EDBB" w14:textId="77777777" w:rsidR="008A0601" w:rsidRDefault="008A0601">
      <w:pPr>
        <w:rPr>
          <w:sz w:val="24"/>
          <w:szCs w:val="24"/>
        </w:rPr>
      </w:pPr>
    </w:p>
    <w:tbl>
      <w:tblPr>
        <w:tblStyle w:val="a"/>
        <w:tblW w:w="9019" w:type="dxa"/>
        <w:tblInd w:w="0" w:type="dxa"/>
        <w:tblLayout w:type="fixed"/>
        <w:tblLook w:val="0400" w:firstRow="0" w:lastRow="0" w:firstColumn="0" w:lastColumn="0" w:noHBand="0" w:noVBand="1"/>
      </w:tblPr>
      <w:tblGrid>
        <w:gridCol w:w="1532"/>
        <w:gridCol w:w="1160"/>
        <w:gridCol w:w="1574"/>
        <w:gridCol w:w="1605"/>
        <w:gridCol w:w="1574"/>
        <w:gridCol w:w="1574"/>
      </w:tblGrid>
      <w:tr w:rsidR="008A0601" w14:paraId="2965BE30"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1D9E1CF7" w14:textId="77777777" w:rsidR="008A0601" w:rsidRDefault="00A731C3">
            <w:pPr>
              <w:spacing w:line="240" w:lineRule="auto"/>
              <w:jc w:val="center"/>
              <w:rPr>
                <w:b/>
                <w:bCs/>
                <w:color w:val="000000"/>
                <w:sz w:val="20"/>
                <w:szCs w:val="20"/>
              </w:rPr>
            </w:pPr>
            <w:r>
              <w:rPr>
                <w:b/>
                <w:bCs/>
                <w:color w:val="000000"/>
                <w:sz w:val="20"/>
                <w:szCs w:val="20"/>
              </w:rPr>
              <w:t>Criteria</w:t>
            </w:r>
          </w:p>
        </w:tc>
        <w:tc>
          <w:tcPr>
            <w:tcW w:w="1160" w:type="dxa"/>
            <w:tcBorders>
              <w:top w:val="single" w:sz="4" w:space="0" w:color="000000"/>
              <w:left w:val="nil"/>
              <w:bottom w:val="single" w:sz="4" w:space="0" w:color="000000"/>
              <w:right w:val="single" w:sz="4" w:space="0" w:color="000000"/>
            </w:tcBorders>
            <w:vAlign w:val="center"/>
          </w:tcPr>
          <w:p w14:paraId="55C9F723" w14:textId="77777777" w:rsidR="008A0601" w:rsidRDefault="00A731C3">
            <w:pPr>
              <w:spacing w:line="240" w:lineRule="auto"/>
              <w:jc w:val="center"/>
              <w:rPr>
                <w:b/>
                <w:bCs/>
                <w:color w:val="000000"/>
                <w:sz w:val="20"/>
                <w:szCs w:val="20"/>
              </w:rPr>
            </w:pPr>
            <w:r>
              <w:rPr>
                <w:b/>
                <w:bCs/>
                <w:color w:val="000000"/>
                <w:sz w:val="20"/>
                <w:szCs w:val="20"/>
              </w:rPr>
              <w:t>Weightage</w:t>
            </w:r>
          </w:p>
        </w:tc>
        <w:tc>
          <w:tcPr>
            <w:tcW w:w="1574" w:type="dxa"/>
            <w:tcBorders>
              <w:top w:val="single" w:sz="4" w:space="0" w:color="000000"/>
              <w:left w:val="nil"/>
              <w:bottom w:val="single" w:sz="4" w:space="0" w:color="000000"/>
              <w:right w:val="single" w:sz="4" w:space="0" w:color="000000"/>
            </w:tcBorders>
            <w:vAlign w:val="center"/>
          </w:tcPr>
          <w:p w14:paraId="401AD786" w14:textId="77777777" w:rsidR="008A0601" w:rsidRDefault="00A731C3">
            <w:pPr>
              <w:spacing w:line="240" w:lineRule="auto"/>
              <w:jc w:val="center"/>
              <w:rPr>
                <w:b/>
                <w:bCs/>
                <w:color w:val="000000"/>
                <w:sz w:val="20"/>
                <w:szCs w:val="20"/>
              </w:rPr>
            </w:pPr>
            <w:r>
              <w:rPr>
                <w:b/>
                <w:bCs/>
                <w:color w:val="000000"/>
                <w:sz w:val="20"/>
                <w:szCs w:val="20"/>
              </w:rPr>
              <w:t>Level 4 – Exemplary</w:t>
            </w:r>
          </w:p>
        </w:tc>
        <w:tc>
          <w:tcPr>
            <w:tcW w:w="1605" w:type="dxa"/>
            <w:tcBorders>
              <w:top w:val="single" w:sz="4" w:space="0" w:color="000000"/>
              <w:left w:val="nil"/>
              <w:bottom w:val="single" w:sz="4" w:space="0" w:color="000000"/>
              <w:right w:val="single" w:sz="4" w:space="0" w:color="000000"/>
            </w:tcBorders>
            <w:vAlign w:val="center"/>
          </w:tcPr>
          <w:p w14:paraId="60CB1967" w14:textId="77777777" w:rsidR="008A0601" w:rsidRDefault="00A731C3">
            <w:pPr>
              <w:spacing w:line="240" w:lineRule="auto"/>
              <w:jc w:val="center"/>
              <w:rPr>
                <w:b/>
                <w:bCs/>
                <w:color w:val="000000"/>
                <w:sz w:val="20"/>
                <w:szCs w:val="20"/>
              </w:rPr>
            </w:pPr>
            <w:r>
              <w:rPr>
                <w:b/>
                <w:bCs/>
                <w:color w:val="000000"/>
                <w:sz w:val="20"/>
                <w:szCs w:val="20"/>
              </w:rPr>
              <w:t>Level 3 – Proficient</w:t>
            </w:r>
          </w:p>
        </w:tc>
        <w:tc>
          <w:tcPr>
            <w:tcW w:w="1574" w:type="dxa"/>
            <w:tcBorders>
              <w:top w:val="single" w:sz="4" w:space="0" w:color="000000"/>
              <w:left w:val="nil"/>
              <w:bottom w:val="single" w:sz="4" w:space="0" w:color="000000"/>
              <w:right w:val="single" w:sz="4" w:space="0" w:color="000000"/>
            </w:tcBorders>
            <w:vAlign w:val="center"/>
          </w:tcPr>
          <w:p w14:paraId="6A9A6992" w14:textId="77777777" w:rsidR="008A0601" w:rsidRDefault="00A731C3">
            <w:pPr>
              <w:spacing w:line="240" w:lineRule="auto"/>
              <w:jc w:val="center"/>
              <w:rPr>
                <w:b/>
                <w:bCs/>
                <w:color w:val="000000"/>
                <w:sz w:val="20"/>
                <w:szCs w:val="20"/>
              </w:rPr>
            </w:pPr>
            <w:r>
              <w:rPr>
                <w:b/>
                <w:bCs/>
                <w:color w:val="000000"/>
                <w:sz w:val="20"/>
                <w:szCs w:val="20"/>
              </w:rPr>
              <w:t>Level 2 – Developing</w:t>
            </w:r>
          </w:p>
        </w:tc>
        <w:tc>
          <w:tcPr>
            <w:tcW w:w="1574" w:type="dxa"/>
            <w:tcBorders>
              <w:top w:val="single" w:sz="4" w:space="0" w:color="000000"/>
              <w:left w:val="nil"/>
              <w:bottom w:val="single" w:sz="4" w:space="0" w:color="000000"/>
              <w:right w:val="single" w:sz="4" w:space="0" w:color="000000"/>
            </w:tcBorders>
            <w:vAlign w:val="center"/>
          </w:tcPr>
          <w:p w14:paraId="40D0E81F" w14:textId="77777777" w:rsidR="008A0601" w:rsidRDefault="00A731C3">
            <w:pPr>
              <w:spacing w:line="240" w:lineRule="auto"/>
              <w:jc w:val="center"/>
              <w:rPr>
                <w:b/>
                <w:bCs/>
                <w:color w:val="000000"/>
                <w:sz w:val="20"/>
                <w:szCs w:val="20"/>
              </w:rPr>
            </w:pPr>
            <w:r>
              <w:rPr>
                <w:b/>
                <w:bCs/>
                <w:color w:val="000000"/>
                <w:sz w:val="20"/>
                <w:szCs w:val="20"/>
              </w:rPr>
              <w:t>Level 1 – Beginning</w:t>
            </w:r>
          </w:p>
        </w:tc>
      </w:tr>
      <w:tr w:rsidR="008A0601" w14:paraId="7A7126B0"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3F3DF182" w14:textId="77777777" w:rsidR="008A0601" w:rsidRDefault="00A731C3">
            <w:pPr>
              <w:spacing w:line="240" w:lineRule="auto"/>
              <w:jc w:val="center"/>
              <w:rPr>
                <w:b/>
                <w:bCs/>
                <w:color w:val="000000"/>
                <w:sz w:val="20"/>
                <w:szCs w:val="20"/>
              </w:rPr>
            </w:pPr>
            <w:r>
              <w:rPr>
                <w:b/>
                <w:bCs/>
                <w:color w:val="000000"/>
                <w:sz w:val="20"/>
                <w:szCs w:val="20"/>
              </w:rPr>
              <w:t>Understanding of Case</w:t>
            </w:r>
          </w:p>
        </w:tc>
        <w:tc>
          <w:tcPr>
            <w:tcW w:w="1160" w:type="dxa"/>
            <w:tcBorders>
              <w:top w:val="single" w:sz="4" w:space="0" w:color="000000"/>
              <w:left w:val="nil"/>
              <w:bottom w:val="single" w:sz="4" w:space="0" w:color="000000"/>
              <w:right w:val="single" w:sz="4" w:space="0" w:color="000000"/>
            </w:tcBorders>
            <w:vAlign w:val="center"/>
          </w:tcPr>
          <w:p w14:paraId="4666D94D" w14:textId="77777777" w:rsidR="008A0601" w:rsidRDefault="00A731C3">
            <w:pPr>
              <w:spacing w:line="240" w:lineRule="auto"/>
              <w:jc w:val="center"/>
              <w:rPr>
                <w:b/>
                <w:bCs/>
                <w:color w:val="000000"/>
                <w:sz w:val="20"/>
                <w:szCs w:val="20"/>
              </w:rPr>
            </w:pPr>
            <w:r>
              <w:rPr>
                <w:b/>
                <w:bCs/>
                <w:color w:val="000000"/>
                <w:sz w:val="20"/>
                <w:szCs w:val="20"/>
              </w:rPr>
              <w:t>25</w:t>
            </w:r>
          </w:p>
        </w:tc>
        <w:tc>
          <w:tcPr>
            <w:tcW w:w="1574" w:type="dxa"/>
            <w:tcBorders>
              <w:top w:val="single" w:sz="4" w:space="0" w:color="000000"/>
              <w:left w:val="nil"/>
              <w:bottom w:val="single" w:sz="4" w:space="0" w:color="000000"/>
              <w:right w:val="single" w:sz="4" w:space="0" w:color="000000"/>
            </w:tcBorders>
            <w:vAlign w:val="center"/>
          </w:tcPr>
          <w:p w14:paraId="72AB26FA" w14:textId="77777777" w:rsidR="008A0601" w:rsidRDefault="00A731C3">
            <w:pPr>
              <w:spacing w:line="240" w:lineRule="auto"/>
              <w:jc w:val="center"/>
              <w:rPr>
                <w:b/>
                <w:bCs/>
                <w:color w:val="000000"/>
                <w:sz w:val="20"/>
                <w:szCs w:val="20"/>
              </w:rPr>
            </w:pPr>
            <w:r>
              <w:rPr>
                <w:b/>
                <w:bCs/>
                <w:color w:val="000000"/>
                <w:sz w:val="20"/>
                <w:szCs w:val="20"/>
              </w:rPr>
              <w:t>Thorough understanding; clearly identifies all key issues</w:t>
            </w:r>
          </w:p>
        </w:tc>
        <w:tc>
          <w:tcPr>
            <w:tcW w:w="1605" w:type="dxa"/>
            <w:tcBorders>
              <w:top w:val="single" w:sz="4" w:space="0" w:color="000000"/>
              <w:left w:val="nil"/>
              <w:bottom w:val="single" w:sz="4" w:space="0" w:color="000000"/>
              <w:right w:val="single" w:sz="4" w:space="0" w:color="000000"/>
            </w:tcBorders>
            <w:vAlign w:val="center"/>
          </w:tcPr>
          <w:p w14:paraId="2B033404" w14:textId="77777777" w:rsidR="008A0601" w:rsidRDefault="00A731C3">
            <w:pPr>
              <w:spacing w:line="240" w:lineRule="auto"/>
              <w:jc w:val="center"/>
              <w:rPr>
                <w:b/>
                <w:bCs/>
                <w:color w:val="000000"/>
                <w:sz w:val="20"/>
                <w:szCs w:val="20"/>
              </w:rPr>
            </w:pPr>
            <w:r>
              <w:rPr>
                <w:b/>
                <w:bCs/>
                <w:color w:val="000000"/>
                <w:sz w:val="20"/>
                <w:szCs w:val="20"/>
              </w:rPr>
              <w:t>Good understanding with most issues identified</w:t>
            </w:r>
          </w:p>
        </w:tc>
        <w:tc>
          <w:tcPr>
            <w:tcW w:w="1574" w:type="dxa"/>
            <w:tcBorders>
              <w:top w:val="single" w:sz="4" w:space="0" w:color="000000"/>
              <w:left w:val="nil"/>
              <w:bottom w:val="single" w:sz="4" w:space="0" w:color="000000"/>
              <w:right w:val="single" w:sz="4" w:space="0" w:color="000000"/>
            </w:tcBorders>
            <w:vAlign w:val="center"/>
          </w:tcPr>
          <w:p w14:paraId="34EF4636" w14:textId="77777777" w:rsidR="008A0601" w:rsidRDefault="00A731C3">
            <w:pPr>
              <w:spacing w:line="240" w:lineRule="auto"/>
              <w:jc w:val="center"/>
              <w:rPr>
                <w:b/>
                <w:bCs/>
                <w:color w:val="000000"/>
                <w:sz w:val="20"/>
                <w:szCs w:val="20"/>
              </w:rPr>
            </w:pPr>
            <w:r>
              <w:rPr>
                <w:b/>
                <w:bCs/>
                <w:color w:val="000000"/>
                <w:sz w:val="20"/>
                <w:szCs w:val="20"/>
              </w:rPr>
              <w:t>Basic understanding; some issues missed</w:t>
            </w:r>
          </w:p>
        </w:tc>
        <w:tc>
          <w:tcPr>
            <w:tcW w:w="1574" w:type="dxa"/>
            <w:tcBorders>
              <w:top w:val="single" w:sz="4" w:space="0" w:color="000000"/>
              <w:left w:val="nil"/>
              <w:bottom w:val="single" w:sz="4" w:space="0" w:color="000000"/>
              <w:right w:val="single" w:sz="4" w:space="0" w:color="000000"/>
            </w:tcBorders>
            <w:vAlign w:val="center"/>
          </w:tcPr>
          <w:p w14:paraId="5A654767" w14:textId="77777777" w:rsidR="008A0601" w:rsidRDefault="00A731C3">
            <w:pPr>
              <w:spacing w:line="240" w:lineRule="auto"/>
              <w:jc w:val="center"/>
              <w:rPr>
                <w:b/>
                <w:bCs/>
                <w:color w:val="000000"/>
                <w:sz w:val="20"/>
                <w:szCs w:val="20"/>
              </w:rPr>
            </w:pPr>
            <w:r>
              <w:rPr>
                <w:b/>
                <w:bCs/>
                <w:color w:val="000000"/>
                <w:sz w:val="20"/>
                <w:szCs w:val="20"/>
              </w:rPr>
              <w:t>Poor understanding; problem not identified correctly</w:t>
            </w:r>
          </w:p>
        </w:tc>
      </w:tr>
      <w:tr w:rsidR="008A0601" w14:paraId="1E875FE8"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61E619D5" w14:textId="77777777" w:rsidR="008A0601" w:rsidRDefault="00A731C3">
            <w:pPr>
              <w:spacing w:line="240" w:lineRule="auto"/>
              <w:jc w:val="center"/>
              <w:rPr>
                <w:b/>
                <w:bCs/>
                <w:color w:val="000000"/>
                <w:sz w:val="20"/>
                <w:szCs w:val="20"/>
              </w:rPr>
            </w:pPr>
            <w:r>
              <w:rPr>
                <w:b/>
                <w:bCs/>
                <w:color w:val="000000"/>
                <w:sz w:val="20"/>
                <w:szCs w:val="20"/>
              </w:rPr>
              <w:t>Application of Concepts</w:t>
            </w:r>
          </w:p>
        </w:tc>
        <w:tc>
          <w:tcPr>
            <w:tcW w:w="1160" w:type="dxa"/>
            <w:tcBorders>
              <w:top w:val="single" w:sz="4" w:space="0" w:color="000000"/>
              <w:left w:val="nil"/>
              <w:bottom w:val="single" w:sz="4" w:space="0" w:color="000000"/>
              <w:right w:val="single" w:sz="4" w:space="0" w:color="000000"/>
            </w:tcBorders>
            <w:vAlign w:val="center"/>
          </w:tcPr>
          <w:p w14:paraId="5379EFCC" w14:textId="77777777" w:rsidR="008A0601" w:rsidRDefault="00A731C3">
            <w:pPr>
              <w:spacing w:line="240" w:lineRule="auto"/>
              <w:jc w:val="center"/>
              <w:rPr>
                <w:b/>
                <w:bCs/>
                <w:color w:val="000000"/>
                <w:sz w:val="20"/>
                <w:szCs w:val="20"/>
              </w:rPr>
            </w:pPr>
            <w:r>
              <w:rPr>
                <w:b/>
                <w:bCs/>
                <w:color w:val="000000"/>
                <w:sz w:val="20"/>
                <w:szCs w:val="20"/>
              </w:rPr>
              <w:t>25</w:t>
            </w:r>
          </w:p>
        </w:tc>
        <w:tc>
          <w:tcPr>
            <w:tcW w:w="1574" w:type="dxa"/>
            <w:tcBorders>
              <w:top w:val="single" w:sz="4" w:space="0" w:color="000000"/>
              <w:left w:val="nil"/>
              <w:bottom w:val="single" w:sz="4" w:space="0" w:color="000000"/>
              <w:right w:val="single" w:sz="4" w:space="0" w:color="000000"/>
            </w:tcBorders>
            <w:vAlign w:val="center"/>
          </w:tcPr>
          <w:p w14:paraId="07F142C6" w14:textId="77777777" w:rsidR="008A0601" w:rsidRDefault="00A731C3">
            <w:pPr>
              <w:spacing w:line="240" w:lineRule="auto"/>
              <w:jc w:val="center"/>
              <w:rPr>
                <w:b/>
                <w:bCs/>
                <w:color w:val="000000"/>
                <w:sz w:val="20"/>
                <w:szCs w:val="20"/>
              </w:rPr>
            </w:pPr>
            <w:r>
              <w:rPr>
                <w:b/>
                <w:bCs/>
                <w:color w:val="000000"/>
                <w:sz w:val="20"/>
                <w:szCs w:val="20"/>
              </w:rPr>
              <w:t>Effectively applies relevant concepts to analyze the case deeply</w:t>
            </w:r>
          </w:p>
        </w:tc>
        <w:tc>
          <w:tcPr>
            <w:tcW w:w="1605" w:type="dxa"/>
            <w:tcBorders>
              <w:top w:val="single" w:sz="4" w:space="0" w:color="000000"/>
              <w:left w:val="nil"/>
              <w:bottom w:val="single" w:sz="4" w:space="0" w:color="000000"/>
              <w:right w:val="single" w:sz="4" w:space="0" w:color="000000"/>
            </w:tcBorders>
            <w:vAlign w:val="center"/>
          </w:tcPr>
          <w:p w14:paraId="4D9B5B5A" w14:textId="77777777" w:rsidR="008A0601" w:rsidRDefault="00A731C3">
            <w:pPr>
              <w:spacing w:line="240" w:lineRule="auto"/>
              <w:jc w:val="center"/>
              <w:rPr>
                <w:b/>
                <w:bCs/>
                <w:color w:val="000000"/>
                <w:sz w:val="20"/>
                <w:szCs w:val="20"/>
              </w:rPr>
            </w:pPr>
            <w:r>
              <w:rPr>
                <w:b/>
                <w:bCs/>
                <w:color w:val="000000"/>
                <w:sz w:val="20"/>
                <w:szCs w:val="20"/>
              </w:rPr>
              <w:t>Applies appropriate concepts with minor gaps</w:t>
            </w:r>
          </w:p>
        </w:tc>
        <w:tc>
          <w:tcPr>
            <w:tcW w:w="1574" w:type="dxa"/>
            <w:tcBorders>
              <w:top w:val="single" w:sz="4" w:space="0" w:color="000000"/>
              <w:left w:val="nil"/>
              <w:bottom w:val="single" w:sz="4" w:space="0" w:color="000000"/>
              <w:right w:val="single" w:sz="4" w:space="0" w:color="000000"/>
            </w:tcBorders>
            <w:vAlign w:val="center"/>
          </w:tcPr>
          <w:p w14:paraId="5C0C7917" w14:textId="77777777" w:rsidR="008A0601" w:rsidRDefault="00A731C3">
            <w:pPr>
              <w:spacing w:line="240" w:lineRule="auto"/>
              <w:jc w:val="center"/>
              <w:rPr>
                <w:b/>
                <w:bCs/>
                <w:color w:val="000000"/>
                <w:sz w:val="20"/>
                <w:szCs w:val="20"/>
              </w:rPr>
            </w:pPr>
            <w:r>
              <w:rPr>
                <w:b/>
                <w:bCs/>
                <w:color w:val="000000"/>
                <w:sz w:val="20"/>
                <w:szCs w:val="20"/>
              </w:rPr>
              <w:t>Limited application of concepts</w:t>
            </w:r>
          </w:p>
        </w:tc>
        <w:tc>
          <w:tcPr>
            <w:tcW w:w="1574" w:type="dxa"/>
            <w:tcBorders>
              <w:top w:val="single" w:sz="4" w:space="0" w:color="000000"/>
              <w:left w:val="nil"/>
              <w:bottom w:val="single" w:sz="4" w:space="0" w:color="000000"/>
              <w:right w:val="single" w:sz="4" w:space="0" w:color="000000"/>
            </w:tcBorders>
            <w:vAlign w:val="center"/>
          </w:tcPr>
          <w:p w14:paraId="658E48AF" w14:textId="77777777" w:rsidR="008A0601" w:rsidRDefault="00A731C3">
            <w:pPr>
              <w:spacing w:line="240" w:lineRule="auto"/>
              <w:jc w:val="center"/>
              <w:rPr>
                <w:b/>
                <w:bCs/>
                <w:color w:val="000000"/>
                <w:sz w:val="20"/>
                <w:szCs w:val="20"/>
              </w:rPr>
            </w:pPr>
            <w:r>
              <w:rPr>
                <w:b/>
                <w:bCs/>
                <w:color w:val="000000"/>
                <w:sz w:val="20"/>
                <w:szCs w:val="20"/>
              </w:rPr>
              <w:t>Fails to apply relevant concepts</w:t>
            </w:r>
          </w:p>
        </w:tc>
      </w:tr>
      <w:tr w:rsidR="008A0601" w14:paraId="102FB8A8"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4A770433" w14:textId="77777777" w:rsidR="008A0601" w:rsidRDefault="00A731C3">
            <w:pPr>
              <w:spacing w:line="240" w:lineRule="auto"/>
              <w:jc w:val="center"/>
              <w:rPr>
                <w:b/>
                <w:bCs/>
                <w:color w:val="000000"/>
                <w:sz w:val="20"/>
                <w:szCs w:val="20"/>
              </w:rPr>
            </w:pPr>
            <w:r>
              <w:rPr>
                <w:b/>
                <w:bCs/>
                <w:color w:val="000000"/>
                <w:sz w:val="20"/>
                <w:szCs w:val="20"/>
              </w:rPr>
              <w:t>Analysis</w:t>
            </w:r>
          </w:p>
        </w:tc>
        <w:tc>
          <w:tcPr>
            <w:tcW w:w="1160" w:type="dxa"/>
            <w:tcBorders>
              <w:top w:val="single" w:sz="4" w:space="0" w:color="000000"/>
              <w:left w:val="nil"/>
              <w:bottom w:val="single" w:sz="4" w:space="0" w:color="000000"/>
              <w:right w:val="single" w:sz="4" w:space="0" w:color="000000"/>
            </w:tcBorders>
            <w:vAlign w:val="center"/>
          </w:tcPr>
          <w:p w14:paraId="52E8E5DA" w14:textId="77777777" w:rsidR="008A0601" w:rsidRDefault="00A731C3">
            <w:pPr>
              <w:spacing w:line="240" w:lineRule="auto"/>
              <w:jc w:val="center"/>
              <w:rPr>
                <w:b/>
                <w:bCs/>
                <w:color w:val="000000"/>
                <w:sz w:val="20"/>
                <w:szCs w:val="20"/>
              </w:rPr>
            </w:pPr>
            <w:r>
              <w:rPr>
                <w:b/>
                <w:bCs/>
                <w:color w:val="000000"/>
                <w:sz w:val="20"/>
                <w:szCs w:val="20"/>
              </w:rPr>
              <w:t>20</w:t>
            </w:r>
          </w:p>
        </w:tc>
        <w:tc>
          <w:tcPr>
            <w:tcW w:w="1574" w:type="dxa"/>
            <w:tcBorders>
              <w:top w:val="single" w:sz="4" w:space="0" w:color="000000"/>
              <w:left w:val="nil"/>
              <w:bottom w:val="single" w:sz="4" w:space="0" w:color="000000"/>
              <w:right w:val="single" w:sz="4" w:space="0" w:color="000000"/>
            </w:tcBorders>
            <w:vAlign w:val="center"/>
          </w:tcPr>
          <w:p w14:paraId="4BC6C76B" w14:textId="77777777" w:rsidR="008A0601" w:rsidRDefault="00A731C3">
            <w:pPr>
              <w:spacing w:line="240" w:lineRule="auto"/>
              <w:jc w:val="center"/>
              <w:rPr>
                <w:b/>
                <w:bCs/>
                <w:color w:val="000000"/>
                <w:sz w:val="20"/>
                <w:szCs w:val="20"/>
              </w:rPr>
            </w:pPr>
            <w:r>
              <w:rPr>
                <w:b/>
                <w:bCs/>
                <w:color w:val="000000"/>
                <w:sz w:val="20"/>
                <w:szCs w:val="20"/>
              </w:rPr>
              <w:t>In-depth analysis with strong reasoning and insights</w:t>
            </w:r>
          </w:p>
        </w:tc>
        <w:tc>
          <w:tcPr>
            <w:tcW w:w="1605" w:type="dxa"/>
            <w:tcBorders>
              <w:top w:val="single" w:sz="4" w:space="0" w:color="000000"/>
              <w:left w:val="nil"/>
              <w:bottom w:val="single" w:sz="4" w:space="0" w:color="000000"/>
              <w:right w:val="single" w:sz="4" w:space="0" w:color="000000"/>
            </w:tcBorders>
            <w:vAlign w:val="center"/>
          </w:tcPr>
          <w:p w14:paraId="23DD2AF1" w14:textId="77777777" w:rsidR="008A0601" w:rsidRDefault="00A731C3">
            <w:pPr>
              <w:spacing w:line="240" w:lineRule="auto"/>
              <w:jc w:val="center"/>
              <w:rPr>
                <w:b/>
                <w:bCs/>
                <w:color w:val="000000"/>
                <w:sz w:val="20"/>
                <w:szCs w:val="20"/>
              </w:rPr>
            </w:pPr>
            <w:r>
              <w:rPr>
                <w:b/>
                <w:bCs/>
                <w:color w:val="000000"/>
                <w:sz w:val="20"/>
                <w:szCs w:val="20"/>
              </w:rPr>
              <w:t>Good analysis with logical reasoning</w:t>
            </w:r>
          </w:p>
        </w:tc>
        <w:tc>
          <w:tcPr>
            <w:tcW w:w="1574" w:type="dxa"/>
            <w:tcBorders>
              <w:top w:val="single" w:sz="4" w:space="0" w:color="000000"/>
              <w:left w:val="nil"/>
              <w:bottom w:val="single" w:sz="4" w:space="0" w:color="000000"/>
              <w:right w:val="single" w:sz="4" w:space="0" w:color="000000"/>
            </w:tcBorders>
            <w:vAlign w:val="center"/>
          </w:tcPr>
          <w:p w14:paraId="76C51592" w14:textId="77777777" w:rsidR="008A0601" w:rsidRDefault="00A731C3">
            <w:pPr>
              <w:spacing w:line="240" w:lineRule="auto"/>
              <w:jc w:val="center"/>
              <w:rPr>
                <w:b/>
                <w:bCs/>
                <w:color w:val="000000"/>
                <w:sz w:val="20"/>
                <w:szCs w:val="20"/>
              </w:rPr>
            </w:pPr>
            <w:r>
              <w:rPr>
                <w:b/>
                <w:bCs/>
                <w:color w:val="000000"/>
                <w:sz w:val="20"/>
                <w:szCs w:val="20"/>
              </w:rPr>
              <w:t>Basic analysis with limited depth</w:t>
            </w:r>
          </w:p>
        </w:tc>
        <w:tc>
          <w:tcPr>
            <w:tcW w:w="1574" w:type="dxa"/>
            <w:tcBorders>
              <w:top w:val="single" w:sz="4" w:space="0" w:color="000000"/>
              <w:left w:val="nil"/>
              <w:bottom w:val="single" w:sz="4" w:space="0" w:color="000000"/>
              <w:right w:val="single" w:sz="4" w:space="0" w:color="000000"/>
            </w:tcBorders>
            <w:vAlign w:val="center"/>
          </w:tcPr>
          <w:p w14:paraId="01D980D2" w14:textId="77777777" w:rsidR="008A0601" w:rsidRDefault="00A731C3">
            <w:pPr>
              <w:spacing w:line="240" w:lineRule="auto"/>
              <w:jc w:val="center"/>
              <w:rPr>
                <w:b/>
                <w:bCs/>
                <w:color w:val="000000"/>
                <w:sz w:val="20"/>
                <w:szCs w:val="20"/>
              </w:rPr>
            </w:pPr>
            <w:r>
              <w:rPr>
                <w:b/>
                <w:bCs/>
                <w:color w:val="000000"/>
                <w:sz w:val="20"/>
                <w:szCs w:val="20"/>
              </w:rPr>
              <w:t>Weak or no analysis; lacks reasoning</w:t>
            </w:r>
          </w:p>
        </w:tc>
      </w:tr>
      <w:tr w:rsidR="008A0601" w14:paraId="6B080B7A"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11CBB9A3" w14:textId="77777777" w:rsidR="008A0601" w:rsidRDefault="00A731C3">
            <w:pPr>
              <w:spacing w:line="240" w:lineRule="auto"/>
              <w:jc w:val="center"/>
              <w:rPr>
                <w:b/>
                <w:bCs/>
                <w:color w:val="000000"/>
                <w:sz w:val="20"/>
                <w:szCs w:val="20"/>
              </w:rPr>
            </w:pPr>
            <w:r>
              <w:rPr>
                <w:b/>
                <w:bCs/>
                <w:color w:val="000000"/>
                <w:sz w:val="20"/>
                <w:szCs w:val="20"/>
              </w:rPr>
              <w:t>Solution Design</w:t>
            </w:r>
          </w:p>
        </w:tc>
        <w:tc>
          <w:tcPr>
            <w:tcW w:w="1160" w:type="dxa"/>
            <w:tcBorders>
              <w:top w:val="single" w:sz="4" w:space="0" w:color="000000"/>
              <w:left w:val="nil"/>
              <w:bottom w:val="single" w:sz="4" w:space="0" w:color="000000"/>
              <w:right w:val="single" w:sz="4" w:space="0" w:color="000000"/>
            </w:tcBorders>
            <w:vAlign w:val="center"/>
          </w:tcPr>
          <w:p w14:paraId="4F9D59F6" w14:textId="77777777" w:rsidR="008A0601" w:rsidRDefault="00A731C3">
            <w:pPr>
              <w:spacing w:line="240" w:lineRule="auto"/>
              <w:jc w:val="center"/>
              <w:rPr>
                <w:b/>
                <w:bCs/>
                <w:color w:val="000000"/>
                <w:sz w:val="20"/>
                <w:szCs w:val="20"/>
              </w:rPr>
            </w:pPr>
            <w:r>
              <w:rPr>
                <w:b/>
                <w:bCs/>
                <w:color w:val="000000"/>
                <w:sz w:val="20"/>
                <w:szCs w:val="20"/>
              </w:rPr>
              <w:t>20</w:t>
            </w:r>
          </w:p>
        </w:tc>
        <w:tc>
          <w:tcPr>
            <w:tcW w:w="1574" w:type="dxa"/>
            <w:tcBorders>
              <w:top w:val="single" w:sz="4" w:space="0" w:color="000000"/>
              <w:left w:val="nil"/>
              <w:bottom w:val="single" w:sz="4" w:space="0" w:color="000000"/>
              <w:right w:val="single" w:sz="4" w:space="0" w:color="000000"/>
            </w:tcBorders>
            <w:vAlign w:val="center"/>
          </w:tcPr>
          <w:p w14:paraId="62911199" w14:textId="77777777" w:rsidR="008A0601" w:rsidRDefault="00A731C3">
            <w:pPr>
              <w:spacing w:line="240" w:lineRule="auto"/>
              <w:jc w:val="center"/>
              <w:rPr>
                <w:b/>
                <w:bCs/>
                <w:color w:val="000000"/>
                <w:sz w:val="20"/>
                <w:szCs w:val="20"/>
              </w:rPr>
            </w:pPr>
            <w:r>
              <w:rPr>
                <w:b/>
                <w:bCs/>
                <w:color w:val="000000"/>
                <w:sz w:val="20"/>
                <w:szCs w:val="20"/>
              </w:rPr>
              <w:t>Innovative, feasible solutions with strong justification</w:t>
            </w:r>
          </w:p>
        </w:tc>
        <w:tc>
          <w:tcPr>
            <w:tcW w:w="1605" w:type="dxa"/>
            <w:tcBorders>
              <w:top w:val="single" w:sz="4" w:space="0" w:color="000000"/>
              <w:left w:val="nil"/>
              <w:bottom w:val="single" w:sz="4" w:space="0" w:color="000000"/>
              <w:right w:val="single" w:sz="4" w:space="0" w:color="000000"/>
            </w:tcBorders>
            <w:vAlign w:val="center"/>
          </w:tcPr>
          <w:p w14:paraId="725D159D" w14:textId="77777777" w:rsidR="008A0601" w:rsidRDefault="00A731C3">
            <w:pPr>
              <w:spacing w:line="240" w:lineRule="auto"/>
              <w:jc w:val="center"/>
              <w:rPr>
                <w:b/>
                <w:bCs/>
                <w:color w:val="000000"/>
                <w:sz w:val="20"/>
                <w:szCs w:val="20"/>
              </w:rPr>
            </w:pPr>
            <w:r>
              <w:rPr>
                <w:b/>
                <w:bCs/>
                <w:color w:val="000000"/>
                <w:sz w:val="20"/>
                <w:szCs w:val="20"/>
              </w:rPr>
              <w:t>Logical solutions with adequate justification</w:t>
            </w:r>
          </w:p>
        </w:tc>
        <w:tc>
          <w:tcPr>
            <w:tcW w:w="1574" w:type="dxa"/>
            <w:tcBorders>
              <w:top w:val="single" w:sz="4" w:space="0" w:color="000000"/>
              <w:left w:val="nil"/>
              <w:bottom w:val="single" w:sz="4" w:space="0" w:color="000000"/>
              <w:right w:val="single" w:sz="4" w:space="0" w:color="000000"/>
            </w:tcBorders>
            <w:vAlign w:val="center"/>
          </w:tcPr>
          <w:p w14:paraId="78130B9D" w14:textId="77777777" w:rsidR="008A0601" w:rsidRDefault="00A731C3">
            <w:pPr>
              <w:spacing w:line="240" w:lineRule="auto"/>
              <w:jc w:val="center"/>
              <w:rPr>
                <w:b/>
                <w:bCs/>
                <w:color w:val="000000"/>
                <w:sz w:val="20"/>
                <w:szCs w:val="20"/>
              </w:rPr>
            </w:pPr>
            <w:r>
              <w:rPr>
                <w:b/>
                <w:bCs/>
                <w:color w:val="000000"/>
                <w:sz w:val="20"/>
                <w:szCs w:val="20"/>
              </w:rPr>
              <w:t>Basic solutions with weak justification</w:t>
            </w:r>
          </w:p>
        </w:tc>
        <w:tc>
          <w:tcPr>
            <w:tcW w:w="1574" w:type="dxa"/>
            <w:tcBorders>
              <w:top w:val="single" w:sz="4" w:space="0" w:color="000000"/>
              <w:left w:val="nil"/>
              <w:bottom w:val="single" w:sz="4" w:space="0" w:color="000000"/>
              <w:right w:val="single" w:sz="4" w:space="0" w:color="000000"/>
            </w:tcBorders>
            <w:vAlign w:val="center"/>
          </w:tcPr>
          <w:p w14:paraId="0DB16F50" w14:textId="77777777" w:rsidR="008A0601" w:rsidRDefault="00A731C3">
            <w:pPr>
              <w:spacing w:line="240" w:lineRule="auto"/>
              <w:jc w:val="center"/>
              <w:rPr>
                <w:b/>
                <w:bCs/>
                <w:color w:val="000000"/>
                <w:sz w:val="20"/>
                <w:szCs w:val="20"/>
              </w:rPr>
            </w:pPr>
            <w:r>
              <w:rPr>
                <w:b/>
                <w:bCs/>
                <w:color w:val="000000"/>
                <w:sz w:val="20"/>
                <w:szCs w:val="20"/>
              </w:rPr>
              <w:t>Incorrect or no solution provided</w:t>
            </w:r>
          </w:p>
        </w:tc>
      </w:tr>
      <w:tr w:rsidR="008A0601" w14:paraId="7C741176"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2EAD4919" w14:textId="77777777" w:rsidR="008A0601" w:rsidRDefault="00A731C3">
            <w:pPr>
              <w:spacing w:line="240" w:lineRule="auto"/>
              <w:jc w:val="center"/>
              <w:rPr>
                <w:b/>
                <w:bCs/>
                <w:color w:val="000000"/>
                <w:sz w:val="20"/>
                <w:szCs w:val="20"/>
              </w:rPr>
            </w:pPr>
            <w:r>
              <w:rPr>
                <w:b/>
                <w:bCs/>
                <w:color w:val="000000"/>
                <w:sz w:val="20"/>
                <w:szCs w:val="20"/>
              </w:rPr>
              <w:t>Clarity</w:t>
            </w:r>
          </w:p>
        </w:tc>
        <w:tc>
          <w:tcPr>
            <w:tcW w:w="1160" w:type="dxa"/>
            <w:tcBorders>
              <w:top w:val="single" w:sz="4" w:space="0" w:color="000000"/>
              <w:left w:val="nil"/>
              <w:bottom w:val="single" w:sz="4" w:space="0" w:color="000000"/>
              <w:right w:val="single" w:sz="4" w:space="0" w:color="000000"/>
            </w:tcBorders>
            <w:vAlign w:val="center"/>
          </w:tcPr>
          <w:p w14:paraId="48DA0EA3" w14:textId="77777777" w:rsidR="008A0601" w:rsidRDefault="00A731C3">
            <w:pPr>
              <w:spacing w:line="240" w:lineRule="auto"/>
              <w:jc w:val="center"/>
              <w:rPr>
                <w:b/>
                <w:bCs/>
                <w:color w:val="000000"/>
                <w:sz w:val="20"/>
                <w:szCs w:val="20"/>
              </w:rPr>
            </w:pPr>
            <w:r>
              <w:rPr>
                <w:b/>
                <w:bCs/>
                <w:color w:val="000000"/>
                <w:sz w:val="20"/>
                <w:szCs w:val="20"/>
              </w:rPr>
              <w:t>10</w:t>
            </w:r>
          </w:p>
        </w:tc>
        <w:tc>
          <w:tcPr>
            <w:tcW w:w="1574" w:type="dxa"/>
            <w:tcBorders>
              <w:top w:val="single" w:sz="4" w:space="0" w:color="000000"/>
              <w:left w:val="nil"/>
              <w:bottom w:val="single" w:sz="4" w:space="0" w:color="000000"/>
              <w:right w:val="single" w:sz="4" w:space="0" w:color="000000"/>
            </w:tcBorders>
            <w:vAlign w:val="center"/>
          </w:tcPr>
          <w:p w14:paraId="707052C9" w14:textId="77777777" w:rsidR="008A0601" w:rsidRDefault="00A731C3">
            <w:pPr>
              <w:spacing w:line="240" w:lineRule="auto"/>
              <w:jc w:val="center"/>
              <w:rPr>
                <w:b/>
                <w:bCs/>
                <w:color w:val="000000"/>
                <w:sz w:val="20"/>
                <w:szCs w:val="20"/>
              </w:rPr>
            </w:pPr>
            <w:r>
              <w:rPr>
                <w:b/>
                <w:bCs/>
                <w:color w:val="000000"/>
                <w:sz w:val="20"/>
                <w:szCs w:val="20"/>
              </w:rPr>
              <w:t>Clear, well-structured, and easy to understand</w:t>
            </w:r>
          </w:p>
        </w:tc>
        <w:tc>
          <w:tcPr>
            <w:tcW w:w="1605" w:type="dxa"/>
            <w:tcBorders>
              <w:top w:val="single" w:sz="4" w:space="0" w:color="000000"/>
              <w:left w:val="nil"/>
              <w:bottom w:val="single" w:sz="4" w:space="0" w:color="000000"/>
              <w:right w:val="single" w:sz="4" w:space="0" w:color="000000"/>
            </w:tcBorders>
            <w:vAlign w:val="center"/>
          </w:tcPr>
          <w:p w14:paraId="2024E57A" w14:textId="77777777" w:rsidR="008A0601" w:rsidRDefault="00A731C3">
            <w:pPr>
              <w:spacing w:line="240" w:lineRule="auto"/>
              <w:jc w:val="center"/>
              <w:rPr>
                <w:b/>
                <w:bCs/>
                <w:color w:val="000000"/>
                <w:sz w:val="20"/>
                <w:szCs w:val="20"/>
              </w:rPr>
            </w:pPr>
            <w:r>
              <w:rPr>
                <w:b/>
                <w:bCs/>
                <w:color w:val="000000"/>
                <w:sz w:val="20"/>
                <w:szCs w:val="20"/>
              </w:rPr>
              <w:t>Organized and understandable presentation</w:t>
            </w:r>
          </w:p>
        </w:tc>
        <w:tc>
          <w:tcPr>
            <w:tcW w:w="1574" w:type="dxa"/>
            <w:tcBorders>
              <w:top w:val="single" w:sz="4" w:space="0" w:color="000000"/>
              <w:left w:val="nil"/>
              <w:bottom w:val="single" w:sz="4" w:space="0" w:color="000000"/>
              <w:right w:val="single" w:sz="4" w:space="0" w:color="000000"/>
            </w:tcBorders>
            <w:vAlign w:val="center"/>
          </w:tcPr>
          <w:p w14:paraId="428447EC" w14:textId="77777777" w:rsidR="008A0601" w:rsidRDefault="00A731C3">
            <w:pPr>
              <w:spacing w:line="240" w:lineRule="auto"/>
              <w:jc w:val="center"/>
              <w:rPr>
                <w:b/>
                <w:bCs/>
                <w:color w:val="000000"/>
                <w:sz w:val="20"/>
                <w:szCs w:val="20"/>
              </w:rPr>
            </w:pPr>
            <w:r>
              <w:rPr>
                <w:b/>
                <w:bCs/>
                <w:color w:val="000000"/>
                <w:sz w:val="20"/>
                <w:szCs w:val="20"/>
              </w:rPr>
              <w:t>Limited clarity and structure</w:t>
            </w:r>
          </w:p>
        </w:tc>
        <w:tc>
          <w:tcPr>
            <w:tcW w:w="1574" w:type="dxa"/>
            <w:tcBorders>
              <w:top w:val="single" w:sz="4" w:space="0" w:color="000000"/>
              <w:left w:val="nil"/>
              <w:bottom w:val="single" w:sz="4" w:space="0" w:color="000000"/>
              <w:right w:val="single" w:sz="4" w:space="0" w:color="000000"/>
            </w:tcBorders>
            <w:vAlign w:val="center"/>
          </w:tcPr>
          <w:p w14:paraId="67C7F0F7" w14:textId="77777777" w:rsidR="008A0601" w:rsidRDefault="00A731C3">
            <w:pPr>
              <w:spacing w:line="240" w:lineRule="auto"/>
              <w:jc w:val="center"/>
              <w:rPr>
                <w:b/>
                <w:bCs/>
                <w:color w:val="000000"/>
                <w:sz w:val="20"/>
                <w:szCs w:val="20"/>
              </w:rPr>
            </w:pPr>
            <w:r>
              <w:rPr>
                <w:b/>
                <w:bCs/>
                <w:color w:val="000000"/>
                <w:sz w:val="20"/>
                <w:szCs w:val="20"/>
              </w:rPr>
              <w:t>Poor clarity; difficult to understand</w:t>
            </w:r>
          </w:p>
        </w:tc>
      </w:tr>
    </w:tbl>
    <w:p w14:paraId="0BCEE4FD" w14:textId="77777777" w:rsidR="008A0601" w:rsidRDefault="008A0601">
      <w:pPr>
        <w:rPr>
          <w:sz w:val="24"/>
          <w:szCs w:val="24"/>
        </w:rPr>
      </w:pPr>
    </w:p>
    <w:p w14:paraId="1B3380F9" w14:textId="77777777" w:rsidR="008A0601" w:rsidRDefault="008A0601">
      <w:pPr>
        <w:rPr>
          <w:sz w:val="24"/>
          <w:szCs w:val="24"/>
        </w:rPr>
      </w:pPr>
    </w:p>
    <w:sectPr w:rsidR="008A060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EDE31BC-CF20-48B3-BDDB-69907EE7C1AF}"/>
  </w:font>
  <w:font w:name="Cambria">
    <w:panose1 w:val="02040503050406030204"/>
    <w:charset w:val="00"/>
    <w:family w:val="roman"/>
    <w:pitch w:val="variable"/>
    <w:sig w:usb0="E00006FF" w:usb1="420024FF" w:usb2="02000000" w:usb3="00000000" w:csb0="0000019F" w:csb1="00000000"/>
    <w:embedRegular r:id="rId2" w:fontKey="{A2BC6645-A9D6-4F05-BF45-5650FFF2B1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1414B"/>
    <w:multiLevelType w:val="multilevel"/>
    <w:tmpl w:val="4D58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4C5EAB"/>
    <w:multiLevelType w:val="multilevel"/>
    <w:tmpl w:val="366E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D4090F"/>
    <w:multiLevelType w:val="multilevel"/>
    <w:tmpl w:val="4856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07440B"/>
    <w:multiLevelType w:val="multilevel"/>
    <w:tmpl w:val="2EDE5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E3F38E6"/>
    <w:multiLevelType w:val="multilevel"/>
    <w:tmpl w:val="17DA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9085770">
    <w:abstractNumId w:val="3"/>
  </w:num>
  <w:num w:numId="2" w16cid:durableId="2012635242">
    <w:abstractNumId w:val="0"/>
  </w:num>
  <w:num w:numId="3" w16cid:durableId="721758021">
    <w:abstractNumId w:val="2"/>
  </w:num>
  <w:num w:numId="4" w16cid:durableId="1827814403">
    <w:abstractNumId w:val="1"/>
  </w:num>
  <w:num w:numId="5" w16cid:durableId="1869219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601"/>
    <w:rsid w:val="00136800"/>
    <w:rsid w:val="001E0CC2"/>
    <w:rsid w:val="00325B60"/>
    <w:rsid w:val="003465D1"/>
    <w:rsid w:val="003D1775"/>
    <w:rsid w:val="005B004C"/>
    <w:rsid w:val="005E6B50"/>
    <w:rsid w:val="00874695"/>
    <w:rsid w:val="008A0601"/>
    <w:rsid w:val="00A73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1B247"/>
  <w15:docId w15:val="{C3F5E2A5-163B-438B-B8DE-2426AABDA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customStyle="1" w:styleId="pdq2pgselectionanchorcontainer">
    <w:name w:val="pdq2pg_selectionanchorcontainer"/>
    <w:basedOn w:val="Normal"/>
    <w:rsid w:val="0013680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368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014603">
      <w:bodyDiv w:val="1"/>
      <w:marLeft w:val="0"/>
      <w:marRight w:val="0"/>
      <w:marTop w:val="0"/>
      <w:marBottom w:val="0"/>
      <w:divBdr>
        <w:top w:val="none" w:sz="0" w:space="0" w:color="auto"/>
        <w:left w:val="none" w:sz="0" w:space="0" w:color="auto"/>
        <w:bottom w:val="none" w:sz="0" w:space="0" w:color="auto"/>
        <w:right w:val="none" w:sz="0" w:space="0" w:color="auto"/>
      </w:divBdr>
    </w:div>
    <w:div w:id="1490823170">
      <w:bodyDiv w:val="1"/>
      <w:marLeft w:val="0"/>
      <w:marRight w:val="0"/>
      <w:marTop w:val="0"/>
      <w:marBottom w:val="0"/>
      <w:divBdr>
        <w:top w:val="none" w:sz="0" w:space="0" w:color="auto"/>
        <w:left w:val="none" w:sz="0" w:space="0" w:color="auto"/>
        <w:bottom w:val="none" w:sz="0" w:space="0" w:color="auto"/>
        <w:right w:val="none" w:sz="0" w:space="0" w:color="auto"/>
      </w:divBdr>
    </w:div>
    <w:div w:id="1533109284">
      <w:bodyDiv w:val="1"/>
      <w:marLeft w:val="0"/>
      <w:marRight w:val="0"/>
      <w:marTop w:val="0"/>
      <w:marBottom w:val="0"/>
      <w:divBdr>
        <w:top w:val="none" w:sz="0" w:space="0" w:color="auto"/>
        <w:left w:val="none" w:sz="0" w:space="0" w:color="auto"/>
        <w:bottom w:val="none" w:sz="0" w:space="0" w:color="auto"/>
        <w:right w:val="none" w:sz="0" w:space="0" w:color="auto"/>
      </w:divBdr>
    </w:div>
    <w:div w:id="2127844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xQFn14WEIx3Vm1DeZB1wGnOUA==">CgMxLjA4AHIhMUNYSGZBUXZJM2ZWdkRDUUZneElMQjJCWlhyUDFwQ1lW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2471</Words>
  <Characters>14086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ksrisayee@outlook.com</cp:lastModifiedBy>
  <cp:revision>8</cp:revision>
  <dcterms:created xsi:type="dcterms:W3CDTF">2026-07-10T03:40:00Z</dcterms:created>
  <dcterms:modified xsi:type="dcterms:W3CDTF">2026-08-11T15:09:00Z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81a76503-3d02-45ef-84af-024c35c0c52f</vt:lpwstr>
  </property>
</Properties>
</file>