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ГРАФИЧЕСКИЕ ОКНА GPSS WORLD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назначение и функции графических окон в системе GSPP World.</w:t>
      </w: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Система GPSS World позволяет наблюдать и взаимодействовать с моделью посредством 17 графических окон. В дополнение к ним имеются четыре окна для осуществления операций ввода и вывода. Десять окон обновляются динамически в процессе моделирования, в то время как другие являются статическими, позволяя сделать снимок модели в текущий момент моделирования.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en-US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К</w:t>
      </w:r>
      <w:r>
        <w:rPr>
          <w:rFonts w:hint="default" w:ascii="Times New Roman" w:hAnsi="Times New Roman" w:eastAsiaTheme="minorHAnsi"/>
          <w:iCs w:val="0"/>
          <w:lang w:val="en-US" w:eastAsia="ru-RU"/>
        </w:rPr>
        <w:t xml:space="preserve"> окнам, обновляемым динамически относятся: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>Blocks - обзор блоков модели;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>Expressions - обзор выражений, исполняемых в процессе моделирования;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 xml:space="preserve">Facility Entities </w:t>
      </w: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 xml:space="preserve">- </w:t>
      </w: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>обзор устройств модели</w:t>
      </w: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 xml:space="preserve">Logicswitch </w:t>
      </w:r>
      <w:r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  <w:t>- о</w:t>
      </w: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>бзор динамики изменения значений логических ключей;</w:t>
      </w:r>
    </w:p>
    <w:p>
      <w:pPr>
        <w:pStyle w:val="85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iCs w:val="0"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/>
          <w:iCs w:val="0"/>
          <w:color w:val="1D1D1F"/>
          <w:sz w:val="28"/>
          <w:szCs w:val="28"/>
          <w:lang w:val="ru-RU" w:eastAsia="en-GB"/>
        </w:rPr>
        <w:t>Queues - обзор динамики изменения очередей и т.д.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В системе GPSS World также имеется возможность сделать статические снимки одного транзакта, цепей СТС и СБС, группы транзактов и чисел, а также пользовательских цепей («Userchains»). Все графические окна позволяют взаимодействовать с моделью посредством мыши. Статические окна предназначены для отображения состояния системы в конкретный момент времени и не обновляются динамически. Они могут сообщить информацию об одном транзакте, транзактах в разных цепях и группах в модели.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 xml:space="preserve">Все окна открываются с помощью пунктов Simulation Snapshot (Снимок моделирования) и Simulation Window (Окно моделирования) в выпадающем меню пункта Window главного меню.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6.1:  изучить назначение графического окна «Block Entities».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939155" cy="286639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Окно журнала после остановки модели на транзакте 5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6.2: рассмотреть процесс моделирования в окне «Block Entities» пошагово.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7885" cy="331152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2 – Окно «Блоки» во время процесса моделирования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6.3: исследовать окно «Facilities».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4710" cy="3238500"/>
            <wp:effectExtent l="0" t="0" r="889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3 – Окно устройств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5980" cy="2986405"/>
            <wp:effectExtent l="0" t="0" r="7620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4 – Окно устройств с выведенным из строя устройством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6.4: использовать метод моделирования вручную для изменения одной из ячеек матрицы.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9790" cy="3002915"/>
            <wp:effectExtent l="0" t="0" r="3810" b="146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5 – Динамическое окно матрицы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5936615" cy="2967990"/>
            <wp:effectExtent l="0" t="0" r="6985" b="381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6 – Результат выполнения команды «MSAVEVALUE Matrix1,3,3,1000»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6.5: создать 6-размерную матрицу в окне «Matrix».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114675" cy="3171190"/>
            <wp:effectExtent l="0" t="0" r="9525" b="1397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7 – Диалоговое окно создания 6-размерной матриц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6.6: изучить функции окна хранилищ «Storage Entities».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50790" cy="2525395"/>
            <wp:effectExtent l="0" t="0" r="8890" b="444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8 – Окно «Storage Entities»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5890260" cy="3036570"/>
            <wp:effectExtent l="0" t="0" r="7620" b="1143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 </w:t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9 – Цепь задержек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6.7: изучить функции окна таблиц «Table».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6045200" cy="3168015"/>
            <wp:effectExtent l="0" t="0" r="5080" b="190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10 – Окно «Table»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6.8: изучить функции окна «Plots».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5345" cy="3140075"/>
            <wp:effectExtent l="0" t="0" r="8255" b="1460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11 – Окно «Plots» в процессе моделирования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6.9: изучить функции окон «Logicswitches» и «Savevalues».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245100" cy="3357245"/>
            <wp:effectExtent l="0" t="0" r="12700" b="1079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12 – Окна «Logicswitches» и «Savevalues»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6.10: изучить функции окна очередей «Queue».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074795" cy="2534285"/>
            <wp:effectExtent l="0" t="0" r="9525" b="1079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13 – Окно «Queues»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6.11: изучить функции графического окна «Expression».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295900" cy="1066800"/>
            <wp:effectExtent l="0" t="0" r="762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14 – Окно выражений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6.12: запустить процесс моделирования и проследить за изменением значений.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235450" cy="1187450"/>
            <wp:effectExtent l="0" t="0" r="1270" b="127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rcRect b="45333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15 – Окно выражений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6.13: изучить функции окон «Snapshot».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144770" cy="2581910"/>
            <wp:effectExtent l="0" t="0" r="6350" b="889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16 –Окно «Numeric Groups Snapshot»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 изучены принципы работы и основные функции динамических окон.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Кудрявцев, Е. М. GPSS World. Основы имитационного моделирования различных систем / Е. М. Кудрявцев. – М. : ДМК Пресс, 2004. – 320 с.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 ред. К. В. Кудашова. – Казань : Мас</w:t>
      </w:r>
      <w:bookmarkStart w:id="1" w:name="_GoBack"/>
      <w:bookmarkEnd w:id="1"/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тер Лайн, 2002. – 272 с.</w:t>
      </w:r>
    </w:p>
    <w:sectPr>
      <w:footerReference r:id="rId4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F4440"/>
    <w:multiLevelType w:val="multilevel"/>
    <w:tmpl w:val="F18F4440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80B7817"/>
    <w:multiLevelType w:val="singleLevel"/>
    <w:tmpl w:val="480B781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360" w:leftChars="0" w:firstLine="440" w:firstLineChars="0"/>
      </w:pPr>
      <w:rPr>
        <w:rFonts w:hint="default" w:ascii="Times New Roman" w:hAnsi="Times New Roman" w:cs="Times New Roman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2A49E3"/>
    <w:rsid w:val="146513D2"/>
    <w:rsid w:val="1AF82A88"/>
    <w:rsid w:val="214E4E28"/>
    <w:rsid w:val="259A5079"/>
    <w:rsid w:val="35CE7E59"/>
    <w:rsid w:val="3BB120C8"/>
    <w:rsid w:val="463457FB"/>
    <w:rsid w:val="48026A6F"/>
    <w:rsid w:val="493914B1"/>
    <w:rsid w:val="4B00208A"/>
    <w:rsid w:val="52D93A12"/>
    <w:rsid w:val="554E6676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411</Words>
  <Characters>2584</Characters>
  <Lines>0</Lines>
  <Paragraphs>0</Paragraphs>
  <TotalTime>1</TotalTime>
  <ScaleCrop>false</ScaleCrop>
  <LinksUpToDate>false</LinksUpToDate>
  <CharactersWithSpaces>2968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2023-09-23T15:02:22Z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BA2AFD00F1094E96AAE45EB5928A68CD</vt:lpwstr>
  </property>
</Properties>
</file>