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E3A6E"/>
          <w:sz w:val="56"/>
        </w:rPr>
        <w:t>Capstone Report</w:t>
      </w:r>
    </w:p>
    <w:p>
      <w:pPr>
        <w:jc w:val="center"/>
      </w:pPr>
      <w:r>
        <w:rPr>
          <w:color w:val="0E4D92"/>
          <w:sz w:val="40"/>
        </w:rPr>
        <w:t>Network Traffic Anomaly Detection</w:t>
      </w:r>
    </w:p>
    <w:p/>
    <w:p>
      <w:pPr>
        <w:jc w:val="center"/>
      </w:pPr>
      <w:r>
        <w:rPr>
          <w:b/>
          <w:color w:val="0E3A6E"/>
        </w:rPr>
        <w:t xml:space="preserve">Pillar:  </w:t>
      </w:r>
      <w:r>
        <w:rPr>
          <w:color w:val="333333"/>
        </w:rPr>
        <w:t>5 — AI/ML Fundamentals Program</w:t>
      </w:r>
    </w:p>
    <w:p>
      <w:pPr>
        <w:jc w:val="center"/>
      </w:pPr>
      <w:r>
        <w:rPr>
          <w:b/>
          <w:color w:val="0E3A6E"/>
        </w:rPr>
        <w:t xml:space="preserve">Domain:  </w:t>
      </w:r>
      <w:r>
        <w:rPr>
          <w:color w:val="333333"/>
        </w:rPr>
        <w:t>Cybersecurity — Network Intrusion Detection</w:t>
      </w:r>
    </w:p>
    <w:p>
      <w:pPr>
        <w:jc w:val="center"/>
      </w:pPr>
      <w:r>
        <w:rPr>
          <w:b/>
          <w:color w:val="0E3A6E"/>
        </w:rPr>
        <w:t xml:space="preserve">Dataset:  </w:t>
      </w:r>
      <w:r>
        <w:rPr>
          <w:color w:val="333333"/>
        </w:rPr>
        <w:t>NSL-KDD (University of New Brunswick, 2009)</w:t>
      </w:r>
    </w:p>
    <w:p>
      <w:pPr>
        <w:jc w:val="center"/>
      </w:pPr>
      <w:r>
        <w:rPr>
          <w:b/>
          <w:color w:val="0E3A6E"/>
        </w:rPr>
        <w:t xml:space="preserve">Best Model:  </w:t>
      </w:r>
      <w:r>
        <w:rPr>
          <w:color w:val="333333"/>
        </w:rPr>
        <w:t>XGBoost  |  F1 = 0.993  |  AUC-ROC = 0.999</w:t>
      </w:r>
    </w:p>
    <w:p>
      <w:pPr>
        <w:jc w:val="center"/>
      </w:pPr>
      <w:r>
        <w:rPr>
          <w:b/>
          <w:color w:val="0E3A6E"/>
        </w:rPr>
        <w:t xml:space="preserve">Date:  </w:t>
      </w:r>
      <w:r>
        <w:rPr>
          <w:color w:val="333333"/>
        </w:rPr>
        <w:t>July 2025</w:t>
      </w:r>
    </w:p>
    <w:p>
      <w:r>
        <w:br w:type="page"/>
      </w:r>
    </w:p>
    <w:p>
      <w:pPr>
        <w:pStyle w:val="Heading1"/>
      </w:pPr>
      <w:r>
        <w:rPr>
          <w:b/>
          <w:color w:val="0E3A6E"/>
          <w:sz w:val="40"/>
        </w:rPr>
        <w:t>Table of Contents</w:t>
      </w:r>
    </w:p>
    <w:p>
      <w:pPr>
        <w:pStyle w:val="ListNumber"/>
      </w:pPr>
      <w:r>
        <w:rPr>
          <w:color w:val="0E4D92"/>
        </w:rPr>
        <w:t>1. Problem Understanding &amp; Framing</w:t>
      </w:r>
    </w:p>
    <w:p>
      <w:pPr>
        <w:pStyle w:val="ListNumber"/>
      </w:pPr>
      <w:r>
        <w:rPr>
          <w:color w:val="0E4D92"/>
        </w:rPr>
        <w:t>2. Data Collection &amp; Understanding</w:t>
      </w:r>
    </w:p>
    <w:p>
      <w:pPr>
        <w:pStyle w:val="ListNumber"/>
      </w:pPr>
      <w:r>
        <w:rPr>
          <w:color w:val="0E4D92"/>
        </w:rPr>
        <w:t>3. Data Preprocessing, EDA &amp; Feature Engineering</w:t>
      </w:r>
    </w:p>
    <w:p>
      <w:pPr>
        <w:pStyle w:val="ListNumber"/>
      </w:pPr>
      <w:r>
        <w:rPr>
          <w:color w:val="0E4D92"/>
        </w:rPr>
        <w:t>4. Model Implementation &amp; Comparison</w:t>
      </w:r>
    </w:p>
    <w:p>
      <w:pPr>
        <w:pStyle w:val="ListNumber"/>
      </w:pPr>
      <w:r>
        <w:rPr>
          <w:color w:val="0E4D92"/>
        </w:rPr>
        <w:t>5. Bias &amp; Fairness Analysis</w:t>
      </w:r>
    </w:p>
    <w:p>
      <w:pPr>
        <w:pStyle w:val="ListNumber"/>
      </w:pPr>
      <w:r>
        <w:rPr>
          <w:color w:val="0E4D92"/>
        </w:rPr>
        <w:t>6. Final Presentation Summary</w:t>
      </w:r>
    </w:p>
    <w:p>
      <w:pPr>
        <w:pStyle w:val="ListNumber"/>
      </w:pPr>
      <w:r>
        <w:rPr>
          <w:color w:val="0E4D92"/>
        </w:rPr>
        <w:t>7. GitHub Repository &amp; Deployment</w:t>
      </w:r>
    </w:p>
    <w:p>
      <w:pPr>
        <w:pStyle w:val="ListNumber"/>
      </w:pPr>
      <w:r>
        <w:rPr>
          <w:color w:val="0E4D92"/>
        </w:rPr>
        <w:t>8. Conclusion</w:t>
      </w:r>
    </w:p>
    <w:p>
      <w:pPr>
        <w:pStyle w:val="ListNumber"/>
      </w:pPr>
      <w:r>
        <w:rPr>
          <w:color w:val="0E4D92"/>
        </w:rPr>
        <w:t>9. Generative AI Usage</w:t>
      </w:r>
    </w:p>
    <w:p>
      <w:r>
        <w:br w:type="page"/>
      </w:r>
    </w:p>
    <w:p>
      <w:pPr>
        <w:pStyle w:val="Heading1"/>
      </w:pPr>
      <w:r>
        <w:rPr>
          <w:b/>
          <w:color w:val="0E3A6E"/>
          <w:sz w:val="40"/>
        </w:rPr>
        <w:t>1. Problem Understanding &amp; Framing</w:t>
      </w:r>
    </w:p>
    <w:p>
      <w:pPr>
        <w:pStyle w:val="Heading2"/>
      </w:pPr>
      <w:r>
        <w:rPr>
          <w:color w:val="0E4D92"/>
          <w:sz w:val="32"/>
        </w:rPr>
        <w:t>1.1 Business Context</w:t>
      </w:r>
    </w:p>
    <w:p>
      <w:r>
        <w:t xml:space="preserve">Modern enterprise networks process millions of connection events daily. Undetected intrusions cost organisations an average </w:t>
      </w:r>
      <w:r>
        <w:rPr>
          <w:b/>
        </w:rPr>
        <w:t>USD 4.45M per breach</w:t>
      </w:r>
      <w:r>
        <w:t xml:space="preserve"> (IBM, 2023). Traditional Intrusion Detection Systems (IDS) rely on static signatures and cannot detect novel (zero-day) attacks, generating excessive false positives that overwhelm Security Operations Centre (SOC) teams.</w:t>
      </w:r>
    </w:p>
    <w:p>
      <w:pPr>
        <w:pStyle w:val="Heading4"/>
      </w:pPr>
      <w:r>
        <w:rPr>
          <w:color w:val="336699"/>
          <w:sz w:val="24"/>
        </w:rPr>
        <w:t>Opportunity: An ML-based anomaly detection system can:</w:t>
      </w:r>
    </w:p>
    <w:p>
      <w:pPr>
        <w:pStyle w:val="ListBullet"/>
      </w:pPr>
      <w:r>
        <w:t>Detect previously unseen attack patterns</w:t>
      </w:r>
    </w:p>
    <w:p>
      <w:pPr>
        <w:pStyle w:val="ListBullet"/>
      </w:pPr>
      <w:r>
        <w:t>Reduce false-positive rates by learning normal baselines</w:t>
      </w:r>
    </w:p>
    <w:p>
      <w:pPr>
        <w:pStyle w:val="ListBullet"/>
      </w:pPr>
      <w:r>
        <w:t>Provide probabilistic risk scores for alert prioritisation</w:t>
      </w:r>
    </w:p>
    <w:p>
      <w:pPr>
        <w:pStyle w:val="Heading2"/>
      </w:pPr>
      <w:r>
        <w:rPr>
          <w:color w:val="0E4D92"/>
          <w:sz w:val="32"/>
        </w:rPr>
        <w:t>1.2 Problem Statement</w:t>
      </w:r>
    </w:p>
    <w:p>
      <w:pPr>
        <w:ind w:left="576"/>
      </w:pPr>
      <w:r>
        <w:rPr>
          <w:i/>
          <w:color w:val="0E3A6E"/>
        </w:rPr>
        <w:t>Given a network connection record described by 41 features (protocol, byte volumes, error rates, connection statistics), determine whether the connection is normal or an attack, and identify its category (DoS, Probe, R2L, or U2R).</w:t>
      </w:r>
    </w:p>
    <w:p>
      <w:pPr>
        <w:pStyle w:val="Heading2"/>
      </w:pPr>
      <w:r>
        <w:rPr>
          <w:color w:val="0E4D92"/>
          <w:sz w:val="32"/>
        </w:rPr>
        <w:t>1.3 Task Type</w:t>
      </w:r>
    </w:p>
    <w:tbl>
      <w:tblPr>
        <w:tblStyle w:val="TableGrid"/>
        <w:tblW w:type="auto" w:w="0"/>
        <w:tblLook w:firstColumn="1" w:firstRow="1" w:lastColumn="0" w:lastRow="0" w:noHBand="0" w:noVBand="1" w:val="04A0"/>
      </w:tblPr>
      <w:tblGrid>
        <w:gridCol w:w="4561"/>
        <w:gridCol w:w="4561"/>
      </w:tblGrid>
      <w:tr>
        <w:tc>
          <w:tcPr>
            <w:tcW w:type="dxa" w:w="2880"/>
            <w:shd w:val="clear" w:color="auto" w:fill="0E4D92"/>
          </w:tcPr>
          <w:p>
            <w:pPr>
              <w:jc w:val="center"/>
            </w:pPr>
            <w:r>
              <w:rPr>
                <w:b/>
                <w:color w:val="FFFFFF"/>
                <w:sz w:val="20"/>
              </w:rPr>
              <w:t>Dimension</w:t>
            </w:r>
          </w:p>
        </w:tc>
        <w:tc>
          <w:tcPr>
            <w:tcW w:type="dxa" w:w="6480"/>
            <w:shd w:val="clear" w:color="auto" w:fill="0E4D92"/>
          </w:tcPr>
          <w:p>
            <w:pPr>
              <w:jc w:val="center"/>
            </w:pPr>
            <w:r>
              <w:rPr>
                <w:b/>
                <w:color w:val="FFFFFF"/>
                <w:sz w:val="20"/>
              </w:rPr>
              <w:t>Selection</w:t>
            </w:r>
          </w:p>
        </w:tc>
      </w:tr>
      <w:tr>
        <w:tc>
          <w:tcPr>
            <w:tcW w:type="dxa" w:w="2880"/>
            <w:shd w:val="clear" w:color="auto" w:fill="EAF1FB"/>
          </w:tcPr>
          <w:p>
            <w:r>
              <w:rPr>
                <w:sz w:val="20"/>
              </w:rPr>
              <w:t>Primary</w:t>
            </w:r>
          </w:p>
        </w:tc>
        <w:tc>
          <w:tcPr>
            <w:tcW w:type="dxa" w:w="6480"/>
            <w:shd w:val="clear" w:color="auto" w:fill="EAF1FB"/>
          </w:tcPr>
          <w:p>
            <w:r>
              <w:rPr>
                <w:sz w:val="20"/>
              </w:rPr>
              <w:t>Binary Classification (Normal vs. Attack)</w:t>
            </w:r>
          </w:p>
        </w:tc>
      </w:tr>
      <w:tr>
        <w:tc>
          <w:tcPr>
            <w:tcW w:type="dxa" w:w="2880"/>
            <w:shd w:val="clear" w:color="auto" w:fill="FFFFFF"/>
          </w:tcPr>
          <w:p>
            <w:r>
              <w:rPr>
                <w:sz w:val="20"/>
              </w:rPr>
              <w:t>Secondary</w:t>
            </w:r>
          </w:p>
        </w:tc>
        <w:tc>
          <w:tcPr>
            <w:tcW w:type="dxa" w:w="6480"/>
            <w:shd w:val="clear" w:color="auto" w:fill="FFFFFF"/>
          </w:tcPr>
          <w:p>
            <w:r>
              <w:rPr>
                <w:sz w:val="20"/>
              </w:rPr>
              <w:t>Multi-class (4 attack categories)</w:t>
            </w:r>
          </w:p>
        </w:tc>
      </w:tr>
      <w:tr>
        <w:tc>
          <w:tcPr>
            <w:tcW w:type="dxa" w:w="2880"/>
            <w:shd w:val="clear" w:color="auto" w:fill="EAF1FB"/>
          </w:tcPr>
          <w:p>
            <w:r>
              <w:rPr>
                <w:sz w:val="20"/>
              </w:rPr>
              <w:t>Unsupervised</w:t>
            </w:r>
          </w:p>
        </w:tc>
        <w:tc>
          <w:tcPr>
            <w:tcW w:type="dxa" w:w="6480"/>
            <w:shd w:val="clear" w:color="auto" w:fill="EAF1FB"/>
          </w:tcPr>
          <w:p>
            <w:r>
              <w:rPr>
                <w:sz w:val="20"/>
              </w:rPr>
              <w:t>Anomaly Detection (Isolation Forest + Autoencoder)</w:t>
            </w:r>
          </w:p>
        </w:tc>
      </w:tr>
    </w:tbl>
    <w:p/>
    <w:p>
      <w:pPr>
        <w:pStyle w:val="Heading2"/>
      </w:pPr>
      <w:r>
        <w:rPr>
          <w:color w:val="0E4D92"/>
          <w:sz w:val="32"/>
        </w:rPr>
        <w:t>1.4 Success Metrics</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0E4D92"/>
          </w:tcPr>
          <w:p>
            <w:pPr>
              <w:jc w:val="center"/>
            </w:pPr>
            <w:r>
              <w:rPr>
                <w:b/>
                <w:color w:val="FFFFFF"/>
                <w:sz w:val="20"/>
              </w:rPr>
              <w:t>Metric</w:t>
            </w:r>
          </w:p>
        </w:tc>
        <w:tc>
          <w:tcPr>
            <w:tcW w:type="dxa" w:w="1728"/>
            <w:shd w:val="clear" w:color="auto" w:fill="0E4D92"/>
          </w:tcPr>
          <w:p>
            <w:pPr>
              <w:jc w:val="center"/>
            </w:pPr>
            <w:r>
              <w:rPr>
                <w:b/>
                <w:color w:val="FFFFFF"/>
                <w:sz w:val="20"/>
              </w:rPr>
              <w:t>Target</w:t>
            </w:r>
          </w:p>
        </w:tc>
        <w:tc>
          <w:tcPr>
            <w:tcW w:type="dxa" w:w="5472"/>
            <w:shd w:val="clear" w:color="auto" w:fill="0E4D92"/>
          </w:tcPr>
          <w:p>
            <w:pPr>
              <w:jc w:val="center"/>
            </w:pPr>
            <w:r>
              <w:rPr>
                <w:b/>
                <w:color w:val="FFFFFF"/>
                <w:sz w:val="20"/>
              </w:rPr>
              <w:t>Justification</w:t>
            </w:r>
          </w:p>
        </w:tc>
      </w:tr>
      <w:tr>
        <w:tc>
          <w:tcPr>
            <w:tcW w:type="dxa" w:w="2880"/>
            <w:shd w:val="clear" w:color="auto" w:fill="EAF1FB"/>
          </w:tcPr>
          <w:p>
            <w:r>
              <w:rPr>
                <w:sz w:val="20"/>
              </w:rPr>
              <w:t>F1-Score</w:t>
            </w:r>
          </w:p>
        </w:tc>
        <w:tc>
          <w:tcPr>
            <w:tcW w:type="dxa" w:w="1728"/>
            <w:shd w:val="clear" w:color="auto" w:fill="EAF1FB"/>
          </w:tcPr>
          <w:p>
            <w:r>
              <w:rPr>
                <w:sz w:val="20"/>
              </w:rPr>
              <w:t>≥ 0.97</w:t>
            </w:r>
          </w:p>
        </w:tc>
        <w:tc>
          <w:tcPr>
            <w:tcW w:type="dxa" w:w="5472"/>
            <w:shd w:val="clear" w:color="auto" w:fill="EAF1FB"/>
          </w:tcPr>
          <w:p>
            <w:r>
              <w:rPr>
                <w:sz w:val="20"/>
              </w:rPr>
              <w:t>Balances precision/recall; critical for imbalanced attack data</w:t>
            </w:r>
          </w:p>
        </w:tc>
      </w:tr>
      <w:tr>
        <w:tc>
          <w:tcPr>
            <w:tcW w:type="dxa" w:w="2880"/>
            <w:shd w:val="clear" w:color="auto" w:fill="FFFFFF"/>
          </w:tcPr>
          <w:p>
            <w:r>
              <w:rPr>
                <w:sz w:val="20"/>
              </w:rPr>
              <w:t>AUC-ROC</w:t>
            </w:r>
          </w:p>
        </w:tc>
        <w:tc>
          <w:tcPr>
            <w:tcW w:type="dxa" w:w="1728"/>
            <w:shd w:val="clear" w:color="auto" w:fill="FFFFFF"/>
          </w:tcPr>
          <w:p>
            <w:r>
              <w:rPr>
                <w:sz w:val="20"/>
              </w:rPr>
              <w:t>≥ 0.99</w:t>
            </w:r>
          </w:p>
        </w:tc>
        <w:tc>
          <w:tcPr>
            <w:tcW w:type="dxa" w:w="5472"/>
            <w:shd w:val="clear" w:color="auto" w:fill="FFFFFF"/>
          </w:tcPr>
          <w:p>
            <w:r>
              <w:rPr>
                <w:sz w:val="20"/>
              </w:rPr>
              <w:t>Ranking quality across all decision thresholds</w:t>
            </w:r>
          </w:p>
        </w:tc>
      </w:tr>
      <w:tr>
        <w:tc>
          <w:tcPr>
            <w:tcW w:type="dxa" w:w="2880"/>
            <w:shd w:val="clear" w:color="auto" w:fill="EAF1FB"/>
          </w:tcPr>
          <w:p>
            <w:r>
              <w:rPr>
                <w:sz w:val="20"/>
              </w:rPr>
              <w:t>False Positive Rate</w:t>
            </w:r>
          </w:p>
        </w:tc>
        <w:tc>
          <w:tcPr>
            <w:tcW w:type="dxa" w:w="1728"/>
            <w:shd w:val="clear" w:color="auto" w:fill="EAF1FB"/>
          </w:tcPr>
          <w:p>
            <w:r>
              <w:rPr>
                <w:sz w:val="20"/>
              </w:rPr>
              <w:t>≤ 0.02</w:t>
            </w:r>
          </w:p>
        </w:tc>
        <w:tc>
          <w:tcPr>
            <w:tcW w:type="dxa" w:w="5472"/>
            <w:shd w:val="clear" w:color="auto" w:fill="EAF1FB"/>
          </w:tcPr>
          <w:p>
            <w:r>
              <w:rPr>
                <w:sz w:val="20"/>
              </w:rPr>
              <w:t>SOC capacity constraint</w:t>
            </w:r>
          </w:p>
        </w:tc>
      </w:tr>
      <w:tr>
        <w:tc>
          <w:tcPr>
            <w:tcW w:type="dxa" w:w="2880"/>
            <w:shd w:val="clear" w:color="auto" w:fill="FFFFFF"/>
          </w:tcPr>
          <w:p>
            <w:r>
              <w:rPr>
                <w:sz w:val="20"/>
              </w:rPr>
              <w:t>Recall</w:t>
            </w:r>
          </w:p>
        </w:tc>
        <w:tc>
          <w:tcPr>
            <w:tcW w:type="dxa" w:w="1728"/>
            <w:shd w:val="clear" w:color="auto" w:fill="FFFFFF"/>
          </w:tcPr>
          <w:p>
            <w:r>
              <w:rPr>
                <w:sz w:val="20"/>
              </w:rPr>
              <w:t>≥ 0.98</w:t>
            </w:r>
          </w:p>
        </w:tc>
        <w:tc>
          <w:tcPr>
            <w:tcW w:type="dxa" w:w="5472"/>
            <w:shd w:val="clear" w:color="auto" w:fill="FFFFFF"/>
          </w:tcPr>
          <w:p>
            <w:r>
              <w:rPr>
                <w:sz w:val="20"/>
              </w:rPr>
              <w:t>Missing an attack is costlier than a false alarm</w:t>
            </w:r>
          </w:p>
        </w:tc>
      </w:tr>
    </w:tbl>
    <w:p/>
    <w:p>
      <w:r>
        <w:rPr>
          <w:b/>
        </w:rPr>
        <w:t>Business KPIs:</w:t>
      </w:r>
      <w:r>
        <w:t xml:space="preserve"> 80% reduction in undetected breaches, 40% reduction in alert fatigue, MTTD &lt; 60 seconds.</w:t>
      </w:r>
    </w:p>
    <w:p>
      <w:r>
        <w:br w:type="page"/>
      </w:r>
    </w:p>
    <w:p>
      <w:pPr>
        <w:pStyle w:val="Heading1"/>
      </w:pPr>
      <w:r>
        <w:rPr>
          <w:b/>
          <w:color w:val="0E3A6E"/>
          <w:sz w:val="40"/>
        </w:rPr>
        <w:t>2. Data Collection &amp; Understanding</w:t>
      </w:r>
    </w:p>
    <w:p>
      <w:pPr>
        <w:pStyle w:val="Heading2"/>
      </w:pPr>
      <w:r>
        <w:rPr>
          <w:color w:val="0E4D92"/>
          <w:sz w:val="32"/>
        </w:rPr>
        <w:t>2.1 Dataset</w:t>
      </w:r>
    </w:p>
    <w:p>
      <w:r>
        <w:rPr>
          <w:b/>
        </w:rPr>
        <w:t>NSL-KDD</w:t>
      </w:r>
      <w:r>
        <w:t xml:space="preserve"> — University of New Brunswick (2009)</w:t>
      </w:r>
    </w:p>
    <w:p>
      <w:r>
        <w:t>Source: https://www.unb.ca/cic/datasets/nsl.html</w:t>
      </w:r>
    </w:p>
    <w:p>
      <w:r>
        <w:t>NSL-KDD improves upon the KDD Cup 1999 dataset by:</w:t>
      </w:r>
    </w:p>
    <w:p>
      <w:pPr>
        <w:pStyle w:val="ListBullet"/>
      </w:pPr>
      <w:r>
        <w:t>Eliminating ~78% duplicate records (which distorted model performance)</w:t>
      </w:r>
    </w:p>
    <w:p>
      <w:pPr>
        <w:pStyle w:val="ListBullet"/>
      </w:pPr>
      <w:r>
        <w:t>Providing balanced representation of rare attack types in the test set</w:t>
      </w:r>
    </w:p>
    <w:p>
      <w:pPr>
        <w:pStyle w:val="ListBullet"/>
      </w:pPr>
      <w:r>
        <w:t>Enabling meaningful comparisons with published research</w:t>
      </w:r>
    </w:p>
    <w:tbl>
      <w:tblPr>
        <w:tblStyle w:val="TableGrid"/>
        <w:tblW w:type="auto" w:w="0"/>
        <w:tblLook w:firstColumn="1" w:firstRow="1" w:lastColumn="0" w:lastRow="0" w:noHBand="0" w:noVBand="1" w:val="04A0"/>
      </w:tblPr>
      <w:tblGrid>
        <w:gridCol w:w="2280"/>
        <w:gridCol w:w="2280"/>
        <w:gridCol w:w="2280"/>
        <w:gridCol w:w="2280"/>
      </w:tblGrid>
      <w:tr>
        <w:tc>
          <w:tcPr>
            <w:tcW w:type="dxa" w:w="2160"/>
            <w:shd w:val="clear" w:color="auto" w:fill="0E4D92"/>
          </w:tcPr>
          <w:p>
            <w:pPr>
              <w:jc w:val="center"/>
            </w:pPr>
            <w:r>
              <w:rPr>
                <w:b/>
                <w:color w:val="FFFFFF"/>
                <w:sz w:val="20"/>
              </w:rPr>
              <w:t>Split</w:t>
            </w:r>
          </w:p>
        </w:tc>
        <w:tc>
          <w:tcPr>
            <w:tcW w:type="dxa" w:w="2160"/>
            <w:shd w:val="clear" w:color="auto" w:fill="0E4D92"/>
          </w:tcPr>
          <w:p>
            <w:pPr>
              <w:jc w:val="center"/>
            </w:pPr>
            <w:r>
              <w:rPr>
                <w:b/>
                <w:color w:val="FFFFFF"/>
                <w:sz w:val="20"/>
              </w:rPr>
              <w:t>Records</w:t>
            </w:r>
          </w:p>
        </w:tc>
        <w:tc>
          <w:tcPr>
            <w:tcW w:type="dxa" w:w="2160"/>
            <w:shd w:val="clear" w:color="auto" w:fill="0E4D92"/>
          </w:tcPr>
          <w:p>
            <w:pPr>
              <w:jc w:val="center"/>
            </w:pPr>
            <w:r>
              <w:rPr>
                <w:b/>
                <w:color w:val="FFFFFF"/>
                <w:sz w:val="20"/>
              </w:rPr>
              <w:t>Normal %</w:t>
            </w:r>
          </w:p>
        </w:tc>
        <w:tc>
          <w:tcPr>
            <w:tcW w:type="dxa" w:w="2160"/>
            <w:shd w:val="clear" w:color="auto" w:fill="0E4D92"/>
          </w:tcPr>
          <w:p>
            <w:pPr>
              <w:jc w:val="center"/>
            </w:pPr>
            <w:r>
              <w:rPr>
                <w:b/>
                <w:color w:val="FFFFFF"/>
                <w:sz w:val="20"/>
              </w:rPr>
              <w:t>Attack %</w:t>
            </w:r>
          </w:p>
        </w:tc>
      </w:tr>
      <w:tr>
        <w:tc>
          <w:tcPr>
            <w:tcW w:type="dxa" w:w="2160"/>
            <w:shd w:val="clear" w:color="auto" w:fill="EAF1FB"/>
          </w:tcPr>
          <w:p>
            <w:r>
              <w:rPr>
                <w:sz w:val="20"/>
              </w:rPr>
              <w:t>Train</w:t>
            </w:r>
          </w:p>
        </w:tc>
        <w:tc>
          <w:tcPr>
            <w:tcW w:type="dxa" w:w="2160"/>
            <w:shd w:val="clear" w:color="auto" w:fill="EAF1FB"/>
          </w:tcPr>
          <w:p>
            <w:r>
              <w:rPr>
                <w:sz w:val="20"/>
              </w:rPr>
              <w:t>125,973</w:t>
            </w:r>
          </w:p>
        </w:tc>
        <w:tc>
          <w:tcPr>
            <w:tcW w:type="dxa" w:w="2160"/>
            <w:shd w:val="clear" w:color="auto" w:fill="EAF1FB"/>
          </w:tcPr>
          <w:p>
            <w:r>
              <w:rPr>
                <w:sz w:val="20"/>
              </w:rPr>
              <w:t>53.4%</w:t>
            </w:r>
          </w:p>
        </w:tc>
        <w:tc>
          <w:tcPr>
            <w:tcW w:type="dxa" w:w="2160"/>
            <w:shd w:val="clear" w:color="auto" w:fill="EAF1FB"/>
          </w:tcPr>
          <w:p>
            <w:r>
              <w:rPr>
                <w:sz w:val="20"/>
              </w:rPr>
              <w:t>46.6%</w:t>
            </w:r>
          </w:p>
        </w:tc>
      </w:tr>
      <w:tr>
        <w:tc>
          <w:tcPr>
            <w:tcW w:type="dxa" w:w="2160"/>
            <w:shd w:val="clear" w:color="auto" w:fill="FFFFFF"/>
          </w:tcPr>
          <w:p>
            <w:r>
              <w:rPr>
                <w:sz w:val="20"/>
              </w:rPr>
              <w:t>Test</w:t>
            </w:r>
          </w:p>
        </w:tc>
        <w:tc>
          <w:tcPr>
            <w:tcW w:type="dxa" w:w="2160"/>
            <w:shd w:val="clear" w:color="auto" w:fill="FFFFFF"/>
          </w:tcPr>
          <w:p>
            <w:r>
              <w:rPr>
                <w:sz w:val="20"/>
              </w:rPr>
              <w:t>22,544</w:t>
            </w:r>
          </w:p>
        </w:tc>
        <w:tc>
          <w:tcPr>
            <w:tcW w:type="dxa" w:w="2160"/>
            <w:shd w:val="clear" w:color="auto" w:fill="FFFFFF"/>
          </w:tcPr>
          <w:p>
            <w:r>
              <w:rPr>
                <w:sz w:val="20"/>
              </w:rPr>
              <w:t>43.1%</w:t>
            </w:r>
          </w:p>
        </w:tc>
        <w:tc>
          <w:tcPr>
            <w:tcW w:type="dxa" w:w="2160"/>
            <w:shd w:val="clear" w:color="auto" w:fill="FFFFFF"/>
          </w:tcPr>
          <w:p>
            <w:r>
              <w:rPr>
                <w:sz w:val="20"/>
              </w:rPr>
              <w:t>56.9%</w:t>
            </w:r>
          </w:p>
        </w:tc>
      </w:tr>
    </w:tbl>
    <w:p/>
    <w:p>
      <w:pPr>
        <w:pStyle w:val="Heading2"/>
      </w:pPr>
      <w:r>
        <w:rPr>
          <w:color w:val="0E4D92"/>
          <w:sz w:val="32"/>
        </w:rPr>
        <w:t>2.2 Feature Overview</w:t>
      </w:r>
    </w:p>
    <w:p>
      <w:pPr>
        <w:pStyle w:val="ListBullet"/>
      </w:pPr>
      <w:r>
        <w:t>41 features + label column</w:t>
      </w:r>
    </w:p>
    <w:p>
      <w:pPr>
        <w:pStyle w:val="ListBullet"/>
      </w:pPr>
      <w:r>
        <w:t>38 numeric (int/float): byte counts, duration, error rates, connection statistics</w:t>
      </w:r>
    </w:p>
    <w:p>
      <w:pPr>
        <w:pStyle w:val="ListBullet"/>
      </w:pPr>
      <w:r>
        <w:t>3 categorical: protocol_type (tcp/udp/icmp), service (70 values), flag (11 values)</w:t>
      </w:r>
    </w:p>
    <w:p>
      <w:pPr>
        <w:pStyle w:val="ListBullet"/>
      </w:pPr>
      <w:r>
        <w:t>No missing values in NSL-KDD</w:t>
      </w:r>
    </w:p>
    <w:p>
      <w:pPr>
        <w:pStyle w:val="ListBullet"/>
      </w:pPr>
      <w:r>
        <w:t>Attack categories: DoS (76%), Probe (19%), R2L (4%), U2R (0.3%)</w:t>
      </w:r>
    </w:p>
    <w:p>
      <w:pPr>
        <w:pStyle w:val="Heading2"/>
      </w:pPr>
      <w:r>
        <w:rPr>
          <w:color w:val="0E4D92"/>
          <w:sz w:val="32"/>
        </w:rPr>
        <w:t>2.3 Key Features</w:t>
      </w:r>
    </w:p>
    <w:tbl>
      <w:tblPr>
        <w:tblStyle w:val="TableGrid"/>
        <w:tblW w:type="auto" w:w="0"/>
        <w:tblLook w:firstColumn="1" w:firstRow="1" w:lastColumn="0" w:lastRow="0" w:noHBand="0" w:noVBand="1" w:val="04A0"/>
      </w:tblPr>
      <w:tblGrid>
        <w:gridCol w:w="4561"/>
        <w:gridCol w:w="4561"/>
      </w:tblGrid>
      <w:tr>
        <w:tc>
          <w:tcPr>
            <w:tcW w:type="dxa" w:w="3168"/>
            <w:shd w:val="clear" w:color="auto" w:fill="0E4D92"/>
          </w:tcPr>
          <w:p>
            <w:pPr>
              <w:jc w:val="center"/>
            </w:pPr>
            <w:r>
              <w:rPr>
                <w:b/>
                <w:color w:val="FFFFFF"/>
                <w:sz w:val="20"/>
              </w:rPr>
              <w:t>Feature</w:t>
            </w:r>
          </w:p>
        </w:tc>
        <w:tc>
          <w:tcPr>
            <w:tcW w:type="dxa" w:w="6912"/>
            <w:shd w:val="clear" w:color="auto" w:fill="0E4D92"/>
          </w:tcPr>
          <w:p>
            <w:pPr>
              <w:jc w:val="center"/>
            </w:pPr>
            <w:r>
              <w:rPr>
                <w:b/>
                <w:color w:val="FFFFFF"/>
                <w:sz w:val="20"/>
              </w:rPr>
              <w:t>Security Meaning</w:t>
            </w:r>
          </w:p>
        </w:tc>
      </w:tr>
      <w:tr>
        <w:tc>
          <w:tcPr>
            <w:tcW w:type="dxa" w:w="3168"/>
            <w:shd w:val="clear" w:color="auto" w:fill="EAF1FB"/>
          </w:tcPr>
          <w:p>
            <w:r>
              <w:rPr>
                <w:sz w:val="20"/>
              </w:rPr>
              <w:t>src_bytes / dst_bytes</w:t>
            </w:r>
          </w:p>
        </w:tc>
        <w:tc>
          <w:tcPr>
            <w:tcW w:type="dxa" w:w="6912"/>
            <w:shd w:val="clear" w:color="auto" w:fill="EAF1FB"/>
          </w:tcPr>
          <w:p>
            <w:r>
              <w:rPr>
                <w:sz w:val="20"/>
              </w:rPr>
              <w:t>Volume of data — extremes indicate exfiltration or DoS</w:t>
            </w:r>
          </w:p>
        </w:tc>
      </w:tr>
      <w:tr>
        <w:tc>
          <w:tcPr>
            <w:tcW w:type="dxa" w:w="3168"/>
            <w:shd w:val="clear" w:color="auto" w:fill="FFFFFF"/>
          </w:tcPr>
          <w:p>
            <w:r>
              <w:rPr>
                <w:sz w:val="20"/>
              </w:rPr>
              <w:t>serror_rate</w:t>
            </w:r>
          </w:p>
        </w:tc>
        <w:tc>
          <w:tcPr>
            <w:tcW w:type="dxa" w:w="6912"/>
            <w:shd w:val="clear" w:color="auto" w:fill="FFFFFF"/>
          </w:tcPr>
          <w:p>
            <w:r>
              <w:rPr>
                <w:sz w:val="20"/>
              </w:rPr>
              <w:t>Fraction of SYN-error connections — high = SYN flood</w:t>
            </w:r>
          </w:p>
        </w:tc>
      </w:tr>
      <w:tr>
        <w:tc>
          <w:tcPr>
            <w:tcW w:type="dxa" w:w="3168"/>
            <w:shd w:val="clear" w:color="auto" w:fill="EAF1FB"/>
          </w:tcPr>
          <w:p>
            <w:r>
              <w:rPr>
                <w:sz w:val="20"/>
              </w:rPr>
              <w:t>same_srv_rate</w:t>
            </w:r>
          </w:p>
        </w:tc>
        <w:tc>
          <w:tcPr>
            <w:tcW w:type="dxa" w:w="6912"/>
            <w:shd w:val="clear" w:color="auto" w:fill="EAF1FB"/>
          </w:tcPr>
          <w:p>
            <w:r>
              <w:rPr>
                <w:sz w:val="20"/>
              </w:rPr>
              <w:t>Fraction of connections to same service — low = port scan</w:t>
            </w:r>
          </w:p>
        </w:tc>
      </w:tr>
      <w:tr>
        <w:tc>
          <w:tcPr>
            <w:tcW w:type="dxa" w:w="3168"/>
            <w:shd w:val="clear" w:color="auto" w:fill="FFFFFF"/>
          </w:tcPr>
          <w:p>
            <w:r>
              <w:rPr>
                <w:sz w:val="20"/>
              </w:rPr>
              <w:t>flag</w:t>
            </w:r>
          </w:p>
        </w:tc>
        <w:tc>
          <w:tcPr>
            <w:tcW w:type="dxa" w:w="6912"/>
            <w:shd w:val="clear" w:color="auto" w:fill="FFFFFF"/>
          </w:tcPr>
          <w:p>
            <w:r>
              <w:rPr>
                <w:sz w:val="20"/>
              </w:rPr>
              <w:t>Connection status — S0 (no response) and REJ indicate attacks</w:t>
            </w:r>
          </w:p>
        </w:tc>
      </w:tr>
      <w:tr>
        <w:tc>
          <w:tcPr>
            <w:tcW w:type="dxa" w:w="3168"/>
            <w:shd w:val="clear" w:color="auto" w:fill="EAF1FB"/>
          </w:tcPr>
          <w:p>
            <w:r>
              <w:rPr>
                <w:sz w:val="20"/>
              </w:rPr>
              <w:t>logged_in</w:t>
            </w:r>
          </w:p>
        </w:tc>
        <w:tc>
          <w:tcPr>
            <w:tcW w:type="dxa" w:w="6912"/>
            <w:shd w:val="clear" w:color="auto" w:fill="EAF1FB"/>
          </w:tcPr>
          <w:p>
            <w:r>
              <w:rPr>
                <w:sz w:val="20"/>
              </w:rPr>
              <w:t>Whether login succeeded — key predictor for R2L and U2R</w:t>
            </w:r>
          </w:p>
        </w:tc>
      </w:tr>
    </w:tbl>
    <w:p/>
    <w:p>
      <w:r>
        <w:br w:type="page"/>
      </w:r>
    </w:p>
    <w:p>
      <w:pPr>
        <w:pStyle w:val="Heading1"/>
      </w:pPr>
      <w:r>
        <w:rPr>
          <w:b/>
          <w:color w:val="0E3A6E"/>
          <w:sz w:val="40"/>
        </w:rPr>
        <w:t>3. Data Preprocessing, EDA &amp; Feature Engineering</w:t>
      </w:r>
    </w:p>
    <w:p>
      <w:pPr>
        <w:pStyle w:val="Heading2"/>
      </w:pPr>
      <w:r>
        <w:rPr>
          <w:color w:val="0E4D92"/>
          <w:sz w:val="32"/>
        </w:rPr>
        <w:t>3.1 Data Cleaning</w:t>
      </w:r>
    </w:p>
    <w:p>
      <w:pPr>
        <w:pStyle w:val="ListBullet"/>
      </w:pPr>
      <w:r>
        <w:t>Duplicates: 0 exact duplicates in NSL-KDD (by design)</w:t>
      </w:r>
    </w:p>
    <w:p>
      <w:pPr>
        <w:pStyle w:val="ListBullet"/>
      </w:pPr>
      <w:r>
        <w:t>Missing values: None present (verified programmatically)</w:t>
      </w:r>
    </w:p>
    <w:p>
      <w:pPr>
        <w:pStyle w:val="ListBullet"/>
      </w:pPr>
      <w:r>
        <w:t>Outliers: IQR-based Winsorisation applied using 3× IQR threshold — training data only to prevent leakage</w:t>
      </w:r>
    </w:p>
    <w:p>
      <w:pPr>
        <w:pStyle w:val="Heading2"/>
      </w:pPr>
      <w:r>
        <w:rPr>
          <w:color w:val="0E4D92"/>
          <w:sz w:val="32"/>
        </w:rPr>
        <w:t>3.2 Feature Engineering</w:t>
      </w:r>
    </w:p>
    <w:p>
      <w:r>
        <w:t>10 domain-derived features:</w:t>
      </w:r>
    </w:p>
    <w:tbl>
      <w:tblPr>
        <w:tblStyle w:val="TableGrid"/>
        <w:tblW w:type="auto" w:w="0"/>
        <w:tblLook w:firstColumn="1" w:firstRow="1" w:lastColumn="0" w:lastRow="0" w:noHBand="0" w:noVBand="1" w:val="04A0"/>
      </w:tblPr>
      <w:tblGrid>
        <w:gridCol w:w="3041"/>
        <w:gridCol w:w="3041"/>
        <w:gridCol w:w="3041"/>
      </w:tblGrid>
      <w:tr>
        <w:tc>
          <w:tcPr>
            <w:tcW w:type="dxa" w:w="2736"/>
            <w:shd w:val="clear" w:color="auto" w:fill="0E4D92"/>
          </w:tcPr>
          <w:p>
            <w:pPr>
              <w:jc w:val="center"/>
            </w:pPr>
            <w:r>
              <w:rPr>
                <w:b/>
                <w:color w:val="FFFFFF"/>
                <w:sz w:val="20"/>
              </w:rPr>
              <w:t>Feature</w:t>
            </w:r>
          </w:p>
        </w:tc>
        <w:tc>
          <w:tcPr>
            <w:tcW w:type="dxa" w:w="3600"/>
            <w:shd w:val="clear" w:color="auto" w:fill="0E4D92"/>
          </w:tcPr>
          <w:p>
            <w:pPr>
              <w:jc w:val="center"/>
            </w:pPr>
            <w:r>
              <w:rPr>
                <w:b/>
                <w:color w:val="FFFFFF"/>
                <w:sz w:val="20"/>
              </w:rPr>
              <w:t>Formula / Source</w:t>
            </w:r>
          </w:p>
        </w:tc>
        <w:tc>
          <w:tcPr>
            <w:tcW w:type="dxa" w:w="3744"/>
            <w:shd w:val="clear" w:color="auto" w:fill="0E4D92"/>
          </w:tcPr>
          <w:p>
            <w:pPr>
              <w:jc w:val="center"/>
            </w:pPr>
            <w:r>
              <w:rPr>
                <w:b/>
                <w:color w:val="FFFFFF"/>
                <w:sz w:val="20"/>
              </w:rPr>
              <w:t>Security Rationale</w:t>
            </w:r>
          </w:p>
        </w:tc>
      </w:tr>
      <w:tr>
        <w:tc>
          <w:tcPr>
            <w:tcW w:type="dxa" w:w="2736"/>
            <w:shd w:val="clear" w:color="auto" w:fill="EAF1FB"/>
          </w:tcPr>
          <w:p>
            <w:r>
              <w:rPr>
                <w:sz w:val="20"/>
              </w:rPr>
              <w:t>byte_ratio</w:t>
            </w:r>
          </w:p>
        </w:tc>
        <w:tc>
          <w:tcPr>
            <w:tcW w:type="dxa" w:w="3600"/>
            <w:shd w:val="clear" w:color="auto" w:fill="EAF1FB"/>
          </w:tcPr>
          <w:p>
            <w:r>
              <w:rPr>
                <w:sz w:val="20"/>
              </w:rPr>
              <w:t>src_bytes / (dst_bytes + 1)</w:t>
            </w:r>
          </w:p>
        </w:tc>
        <w:tc>
          <w:tcPr>
            <w:tcW w:type="dxa" w:w="3744"/>
            <w:shd w:val="clear" w:color="auto" w:fill="EAF1FB"/>
          </w:tcPr>
          <w:p>
            <w:r>
              <w:rPr>
                <w:sz w:val="20"/>
              </w:rPr>
              <w:t>Asymmetric traffic → C&amp;C or exfiltration</w:t>
            </w:r>
          </w:p>
        </w:tc>
      </w:tr>
      <w:tr>
        <w:tc>
          <w:tcPr>
            <w:tcW w:type="dxa" w:w="2736"/>
            <w:shd w:val="clear" w:color="auto" w:fill="FFFFFF"/>
          </w:tcPr>
          <w:p>
            <w:r>
              <w:rPr>
                <w:sz w:val="20"/>
              </w:rPr>
              <w:t>total_bytes</w:t>
            </w:r>
          </w:p>
        </w:tc>
        <w:tc>
          <w:tcPr>
            <w:tcW w:type="dxa" w:w="3600"/>
            <w:shd w:val="clear" w:color="auto" w:fill="FFFFFF"/>
          </w:tcPr>
          <w:p>
            <w:r>
              <w:rPr>
                <w:sz w:val="20"/>
              </w:rPr>
              <w:t>src_bytes + dst_bytes</w:t>
            </w:r>
          </w:p>
        </w:tc>
        <w:tc>
          <w:tcPr>
            <w:tcW w:type="dxa" w:w="3744"/>
            <w:shd w:val="clear" w:color="auto" w:fill="FFFFFF"/>
          </w:tcPr>
          <w:p>
            <w:r>
              <w:rPr>
                <w:sz w:val="20"/>
              </w:rPr>
              <w:t>Total bandwidth consumed</w:t>
            </w:r>
          </w:p>
        </w:tc>
      </w:tr>
      <w:tr>
        <w:tc>
          <w:tcPr>
            <w:tcW w:type="dxa" w:w="2736"/>
            <w:shd w:val="clear" w:color="auto" w:fill="EAF1FB"/>
          </w:tcPr>
          <w:p>
            <w:r>
              <w:rPr>
                <w:sz w:val="20"/>
              </w:rPr>
              <w:t>log_src_bytes</w:t>
            </w:r>
          </w:p>
        </w:tc>
        <w:tc>
          <w:tcPr>
            <w:tcW w:type="dxa" w:w="3600"/>
            <w:shd w:val="clear" w:color="auto" w:fill="EAF1FB"/>
          </w:tcPr>
          <w:p>
            <w:r>
              <w:rPr>
                <w:sz w:val="20"/>
              </w:rPr>
              <w:t>log1p(src_bytes)</w:t>
            </w:r>
          </w:p>
        </w:tc>
        <w:tc>
          <w:tcPr>
            <w:tcW w:type="dxa" w:w="3744"/>
            <w:shd w:val="clear" w:color="auto" w:fill="EAF1FB"/>
          </w:tcPr>
          <w:p>
            <w:r>
              <w:rPr>
                <w:sz w:val="20"/>
              </w:rPr>
              <w:t>Normalises heavy-tailed distribution</w:t>
            </w:r>
          </w:p>
        </w:tc>
      </w:tr>
      <w:tr>
        <w:tc>
          <w:tcPr>
            <w:tcW w:type="dxa" w:w="2736"/>
            <w:shd w:val="clear" w:color="auto" w:fill="FFFFFF"/>
          </w:tcPr>
          <w:p>
            <w:r>
              <w:rPr>
                <w:sz w:val="20"/>
              </w:rPr>
              <w:t>log_dst_bytes</w:t>
            </w:r>
          </w:p>
        </w:tc>
        <w:tc>
          <w:tcPr>
            <w:tcW w:type="dxa" w:w="3600"/>
            <w:shd w:val="clear" w:color="auto" w:fill="FFFFFF"/>
          </w:tcPr>
          <w:p>
            <w:r>
              <w:rPr>
                <w:sz w:val="20"/>
              </w:rPr>
              <w:t>log1p(dst_bytes)</w:t>
            </w:r>
          </w:p>
        </w:tc>
        <w:tc>
          <w:tcPr>
            <w:tcW w:type="dxa" w:w="3744"/>
            <w:shd w:val="clear" w:color="auto" w:fill="FFFFFF"/>
          </w:tcPr>
          <w:p>
            <w:r>
              <w:rPr>
                <w:sz w:val="20"/>
              </w:rPr>
              <w:t>Normalises heavy-tailed distribution</w:t>
            </w:r>
          </w:p>
        </w:tc>
      </w:tr>
      <w:tr>
        <w:tc>
          <w:tcPr>
            <w:tcW w:type="dxa" w:w="2736"/>
            <w:shd w:val="clear" w:color="auto" w:fill="EAF1FB"/>
          </w:tcPr>
          <w:p>
            <w:r>
              <w:rPr>
                <w:sz w:val="20"/>
              </w:rPr>
              <w:t>error_rate_total</w:t>
            </w:r>
          </w:p>
        </w:tc>
        <w:tc>
          <w:tcPr>
            <w:tcW w:type="dxa" w:w="3600"/>
            <w:shd w:val="clear" w:color="auto" w:fill="EAF1FB"/>
          </w:tcPr>
          <w:p>
            <w:r>
              <w:rPr>
                <w:sz w:val="20"/>
              </w:rPr>
              <w:t>serror_rate + rerror_rate</w:t>
            </w:r>
          </w:p>
        </w:tc>
        <w:tc>
          <w:tcPr>
            <w:tcW w:type="dxa" w:w="3744"/>
            <w:shd w:val="clear" w:color="auto" w:fill="EAF1FB"/>
          </w:tcPr>
          <w:p>
            <w:r>
              <w:rPr>
                <w:sz w:val="20"/>
              </w:rPr>
              <w:t>Combined connection error indicator</w:t>
            </w:r>
          </w:p>
        </w:tc>
      </w:tr>
      <w:tr>
        <w:tc>
          <w:tcPr>
            <w:tcW w:type="dxa" w:w="2736"/>
            <w:shd w:val="clear" w:color="auto" w:fill="FFFFFF"/>
          </w:tcPr>
          <w:p>
            <w:r>
              <w:rPr>
                <w:sz w:val="20"/>
              </w:rPr>
              <w:t>srv_error_diff</w:t>
            </w:r>
          </w:p>
        </w:tc>
        <w:tc>
          <w:tcPr>
            <w:tcW w:type="dxa" w:w="3600"/>
            <w:shd w:val="clear" w:color="auto" w:fill="FFFFFF"/>
          </w:tcPr>
          <w:p>
            <w:r>
              <w:rPr>
                <w:sz w:val="20"/>
              </w:rPr>
              <w:t>|serror_rate − srv_serror_rate|</w:t>
            </w:r>
          </w:p>
        </w:tc>
        <w:tc>
          <w:tcPr>
            <w:tcW w:type="dxa" w:w="3744"/>
            <w:shd w:val="clear" w:color="auto" w:fill="FFFFFF"/>
          </w:tcPr>
          <w:p>
            <w:r>
              <w:rPr>
                <w:sz w:val="20"/>
              </w:rPr>
              <w:t>Service-level error anomaly</w:t>
            </w:r>
          </w:p>
        </w:tc>
      </w:tr>
      <w:tr>
        <w:tc>
          <w:tcPr>
            <w:tcW w:type="dxa" w:w="2736"/>
            <w:shd w:val="clear" w:color="auto" w:fill="EAF1FB"/>
          </w:tcPr>
          <w:p>
            <w:r>
              <w:rPr>
                <w:sz w:val="20"/>
              </w:rPr>
              <w:t>host_srv_ratio</w:t>
            </w:r>
          </w:p>
        </w:tc>
        <w:tc>
          <w:tcPr>
            <w:tcW w:type="dxa" w:w="3600"/>
            <w:shd w:val="clear" w:color="auto" w:fill="EAF1FB"/>
          </w:tcPr>
          <w:p>
            <w:r>
              <w:rPr>
                <w:sz w:val="20"/>
              </w:rPr>
              <w:t>dst_host_srv_count / (dst_host_count+1)</w:t>
            </w:r>
          </w:p>
        </w:tc>
        <w:tc>
          <w:tcPr>
            <w:tcW w:type="dxa" w:w="3744"/>
            <w:shd w:val="clear" w:color="auto" w:fill="EAF1FB"/>
          </w:tcPr>
          <w:p>
            <w:r>
              <w:rPr>
                <w:sz w:val="20"/>
              </w:rPr>
              <w:t>Service concentration at destination</w:t>
            </w:r>
          </w:p>
        </w:tc>
      </w:tr>
      <w:tr>
        <w:tc>
          <w:tcPr>
            <w:tcW w:type="dxa" w:w="2736"/>
            <w:shd w:val="clear" w:color="auto" w:fill="FFFFFF"/>
          </w:tcPr>
          <w:p>
            <w:r>
              <w:rPr>
                <w:sz w:val="20"/>
              </w:rPr>
              <w:t>is_long_connection</w:t>
            </w:r>
          </w:p>
        </w:tc>
        <w:tc>
          <w:tcPr>
            <w:tcW w:type="dxa" w:w="3600"/>
            <w:shd w:val="clear" w:color="auto" w:fill="FFFFFF"/>
          </w:tcPr>
          <w:p>
            <w:r>
              <w:rPr>
                <w:sz w:val="20"/>
              </w:rPr>
              <w:t>duration &gt; 30s</w:t>
            </w:r>
          </w:p>
        </w:tc>
        <w:tc>
          <w:tcPr>
            <w:tcW w:type="dxa" w:w="3744"/>
            <w:shd w:val="clear" w:color="auto" w:fill="FFFFFF"/>
          </w:tcPr>
          <w:p>
            <w:r>
              <w:rPr>
                <w:sz w:val="20"/>
              </w:rPr>
              <w:t>Long connections indicate tunnelling</w:t>
            </w:r>
          </w:p>
        </w:tc>
      </w:tr>
      <w:tr>
        <w:tc>
          <w:tcPr>
            <w:tcW w:type="dxa" w:w="2736"/>
            <w:shd w:val="clear" w:color="auto" w:fill="EAF1FB"/>
          </w:tcPr>
          <w:p>
            <w:r>
              <w:rPr>
                <w:sz w:val="20"/>
              </w:rPr>
              <w:t>is_big_transfer</w:t>
            </w:r>
          </w:p>
        </w:tc>
        <w:tc>
          <w:tcPr>
            <w:tcW w:type="dxa" w:w="3600"/>
            <w:shd w:val="clear" w:color="auto" w:fill="EAF1FB"/>
          </w:tcPr>
          <w:p>
            <w:r>
              <w:rPr>
                <w:sz w:val="20"/>
              </w:rPr>
              <w:t>total_bytes &gt; 50KB</w:t>
            </w:r>
          </w:p>
        </w:tc>
        <w:tc>
          <w:tcPr>
            <w:tcW w:type="dxa" w:w="3744"/>
            <w:shd w:val="clear" w:color="auto" w:fill="EAF1FB"/>
          </w:tcPr>
          <w:p>
            <w:r>
              <w:rPr>
                <w:sz w:val="20"/>
              </w:rPr>
              <w:t>Large transfers may indicate exfiltration</w:t>
            </w:r>
          </w:p>
        </w:tc>
      </w:tr>
    </w:tbl>
    <w:p/>
    <w:p>
      <w:pPr>
        <w:pStyle w:val="Heading2"/>
      </w:pPr>
      <w:r>
        <w:rPr>
          <w:color w:val="0E4D92"/>
          <w:sz w:val="32"/>
        </w:rPr>
        <w:t>3.3 Key EDA Findings</w:t>
      </w:r>
    </w:p>
    <w:p>
      <w:pPr>
        <w:pStyle w:val="ListNumber"/>
      </w:pPr>
      <w:r>
        <w:t>serror_rate perfectly separates DoS/SYN attacks from normal traffic</w:t>
      </w:r>
    </w:p>
    <w:p>
      <w:pPr>
        <w:pStyle w:val="ListNumber"/>
      </w:pPr>
      <w:r>
        <w:t>flag=S0 (connection attempted, no response) appears almost exclusively in attacks</w:t>
      </w:r>
    </w:p>
    <w:p>
      <w:pPr>
        <w:pStyle w:val="ListNumber"/>
      </w:pPr>
      <w:r>
        <w:t>src_bytes=0, dst_bytes=0 is a strong attack indicator (probe/scan traffic)</w:t>
      </w:r>
    </w:p>
    <w:p>
      <w:pPr>
        <w:pStyle w:val="ListNumber"/>
      </w:pPr>
      <w:r>
        <w:t>count &gt; 200 in 2 seconds with high error rate is the signature of DDoS</w:t>
      </w:r>
    </w:p>
    <w:p>
      <w:pPr>
        <w:pStyle w:val="ListNumber"/>
      </w:pPr>
      <w:r>
        <w:t>PCA scree plot: 95% variance retained in 23 components from ~55 total features</w:t>
      </w:r>
    </w:p>
    <w:p>
      <w:pPr>
        <w:pStyle w:val="Heading2"/>
      </w:pPr>
      <w:r>
        <w:rPr>
          <w:color w:val="0E4D92"/>
          <w:sz w:val="32"/>
        </w:rPr>
        <w:t>3.4 Feature Selection</w:t>
      </w:r>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0E4D92"/>
          </w:tcPr>
          <w:p>
            <w:pPr>
              <w:jc w:val="center"/>
            </w:pPr>
            <w:r>
              <w:rPr>
                <w:b/>
                <w:color w:val="FFFFFF"/>
                <w:sz w:val="20"/>
              </w:rPr>
              <w:t>Method</w:t>
            </w:r>
          </w:p>
        </w:tc>
        <w:tc>
          <w:tcPr>
            <w:tcW w:type="dxa" w:w="1872"/>
            <w:shd w:val="clear" w:color="auto" w:fill="0E4D92"/>
          </w:tcPr>
          <w:p>
            <w:pPr>
              <w:jc w:val="center"/>
            </w:pPr>
            <w:r>
              <w:rPr>
                <w:b/>
                <w:color w:val="FFFFFF"/>
                <w:sz w:val="20"/>
              </w:rPr>
              <w:t>Features Selected</w:t>
            </w:r>
          </w:p>
        </w:tc>
        <w:tc>
          <w:tcPr>
            <w:tcW w:type="dxa" w:w="5040"/>
            <w:shd w:val="clear" w:color="auto" w:fill="0E4D92"/>
          </w:tcPr>
          <w:p>
            <w:pPr>
              <w:jc w:val="center"/>
            </w:pPr>
            <w:r>
              <w:rPr>
                <w:b/>
                <w:color w:val="FFFFFF"/>
                <w:sz w:val="20"/>
              </w:rPr>
              <w:t>Top Features</w:t>
            </w:r>
          </w:p>
        </w:tc>
      </w:tr>
      <w:tr>
        <w:tc>
          <w:tcPr>
            <w:tcW w:type="dxa" w:w="3168"/>
            <w:shd w:val="clear" w:color="auto" w:fill="EAF1FB"/>
          </w:tcPr>
          <w:p>
            <w:r>
              <w:rPr>
                <w:sz w:val="20"/>
              </w:rPr>
              <w:t>Filter (Mutual Information)</w:t>
            </w:r>
          </w:p>
        </w:tc>
        <w:tc>
          <w:tcPr>
            <w:tcW w:type="dxa" w:w="1872"/>
            <w:shd w:val="clear" w:color="auto" w:fill="EAF1FB"/>
          </w:tcPr>
          <w:p>
            <w:r>
              <w:rPr>
                <w:sz w:val="20"/>
              </w:rPr>
              <w:t>20</w:t>
            </w:r>
          </w:p>
        </w:tc>
        <w:tc>
          <w:tcPr>
            <w:tcW w:type="dxa" w:w="5040"/>
            <w:shd w:val="clear" w:color="auto" w:fill="EAF1FB"/>
          </w:tcPr>
          <w:p>
            <w:r>
              <w:rPr>
                <w:sz w:val="20"/>
              </w:rPr>
              <w:t>serror_rate, flag_SF, flag_S0, dst_host_serror_rate, same_srv_rate</w:t>
            </w:r>
          </w:p>
        </w:tc>
      </w:tr>
      <w:tr>
        <w:tc>
          <w:tcPr>
            <w:tcW w:type="dxa" w:w="3168"/>
            <w:shd w:val="clear" w:color="auto" w:fill="FFFFFF"/>
          </w:tcPr>
          <w:p>
            <w:r>
              <w:rPr>
                <w:sz w:val="20"/>
              </w:rPr>
              <w:t>Embedded (SelectFromModel)</w:t>
            </w:r>
          </w:p>
        </w:tc>
        <w:tc>
          <w:tcPr>
            <w:tcW w:type="dxa" w:w="1872"/>
            <w:shd w:val="clear" w:color="auto" w:fill="FFFFFF"/>
          </w:tcPr>
          <w:p>
            <w:r>
              <w:rPr>
                <w:sz w:val="20"/>
              </w:rPr>
              <w:t>18</w:t>
            </w:r>
          </w:p>
        </w:tc>
        <w:tc>
          <w:tcPr>
            <w:tcW w:type="dxa" w:w="5040"/>
            <w:shd w:val="clear" w:color="auto" w:fill="FFFFFF"/>
          </w:tcPr>
          <w:p>
            <w:r>
              <w:rPr>
                <w:sz w:val="20"/>
              </w:rPr>
              <w:t>Gradient Boosting median importance threshold</w:t>
            </w:r>
          </w:p>
        </w:tc>
      </w:tr>
      <w:tr>
        <w:tc>
          <w:tcPr>
            <w:tcW w:type="dxa" w:w="3168"/>
            <w:shd w:val="clear" w:color="auto" w:fill="EAF1FB"/>
          </w:tcPr>
          <w:p>
            <w:r>
              <w:rPr>
                <w:sz w:val="20"/>
              </w:rPr>
              <w:t>Agreement (both methods)</w:t>
            </w:r>
          </w:p>
        </w:tc>
        <w:tc>
          <w:tcPr>
            <w:tcW w:type="dxa" w:w="1872"/>
            <w:shd w:val="clear" w:color="auto" w:fill="EAF1FB"/>
          </w:tcPr>
          <w:p>
            <w:r>
              <w:rPr>
                <w:sz w:val="20"/>
              </w:rPr>
              <w:t>15</w:t>
            </w:r>
          </w:p>
        </w:tc>
        <w:tc>
          <w:tcPr>
            <w:tcW w:type="dxa" w:w="5040"/>
            <w:shd w:val="clear" w:color="auto" w:fill="EAF1FB"/>
          </w:tcPr>
          <w:p>
            <w:r>
              <w:rPr>
                <w:sz w:val="20"/>
              </w:rPr>
              <w:t>High-confidence feature set used for final models</w:t>
            </w:r>
          </w:p>
        </w:tc>
      </w:tr>
    </w:tbl>
    <w:p/>
    <w:p>
      <w:pPr>
        <w:pStyle w:val="Heading2"/>
      </w:pPr>
      <w:r>
        <w:rPr>
          <w:color w:val="0E4D92"/>
          <w:sz w:val="32"/>
        </w:rPr>
        <w:t>3.5 Dimensionality Reduction</w:t>
      </w:r>
    </w:p>
    <w:p>
      <w:pPr>
        <w:pStyle w:val="ListBullet"/>
      </w:pPr>
      <w:r>
        <w:t>PCA: 55 features → 23 principal components (95% variance retained)</w:t>
      </w:r>
    </w:p>
    <w:p>
      <w:pPr>
        <w:pStyle w:val="ListBullet"/>
      </w:pPr>
      <w:r>
        <w:t>t-SNE: Clear visual separation of Normal vs. Attack clusters in 2D embedding</w:t>
      </w:r>
    </w:p>
    <w:p>
      <w:r>
        <w:br w:type="page"/>
      </w:r>
    </w:p>
    <w:p>
      <w:pPr>
        <w:pStyle w:val="Heading1"/>
      </w:pPr>
      <w:r>
        <w:rPr>
          <w:b/>
          <w:color w:val="0E3A6E"/>
          <w:sz w:val="40"/>
        </w:rPr>
        <w:t>4. Model Implementation &amp; Comparison</w:t>
      </w:r>
    </w:p>
    <w:p>
      <w:pPr>
        <w:pStyle w:val="Heading2"/>
      </w:pPr>
      <w:r>
        <w:rPr>
          <w:color w:val="0E4D92"/>
          <w:sz w:val="32"/>
        </w:rPr>
        <w:t>4.1 Models Implemented</w:t>
      </w:r>
    </w:p>
    <w:tbl>
      <w:tblPr>
        <w:tblStyle w:val="TableGrid"/>
        <w:tblW w:type="auto" w:w="0"/>
        <w:tblLook w:firstColumn="1" w:firstRow="1" w:lastColumn="0" w:lastRow="0" w:noHBand="0" w:noVBand="1" w:val="04A0"/>
      </w:tblPr>
      <w:tblGrid>
        <w:gridCol w:w="2280"/>
        <w:gridCol w:w="2280"/>
        <w:gridCol w:w="2280"/>
        <w:gridCol w:w="2280"/>
      </w:tblGrid>
      <w:tr>
        <w:tc>
          <w:tcPr>
            <w:tcW w:type="dxa" w:w="576"/>
            <w:shd w:val="clear" w:color="auto" w:fill="0E4D92"/>
          </w:tcPr>
          <w:p>
            <w:pPr>
              <w:jc w:val="center"/>
            </w:pPr>
            <w:r>
              <w:rPr>
                <w:b/>
                <w:color w:val="FFFFFF"/>
                <w:sz w:val="20"/>
              </w:rPr>
              <w:t>#</w:t>
            </w:r>
          </w:p>
        </w:tc>
        <w:tc>
          <w:tcPr>
            <w:tcW w:type="dxa" w:w="2592"/>
            <w:shd w:val="clear" w:color="auto" w:fill="0E4D92"/>
          </w:tcPr>
          <w:p>
            <w:pPr>
              <w:jc w:val="center"/>
            </w:pPr>
            <w:r>
              <w:rPr>
                <w:b/>
                <w:color w:val="FFFFFF"/>
                <w:sz w:val="20"/>
              </w:rPr>
              <w:t>Model</w:t>
            </w:r>
          </w:p>
        </w:tc>
        <w:tc>
          <w:tcPr>
            <w:tcW w:type="dxa" w:w="2880"/>
            <w:shd w:val="clear" w:color="auto" w:fill="0E4D92"/>
          </w:tcPr>
          <w:p>
            <w:pPr>
              <w:jc w:val="center"/>
            </w:pPr>
            <w:r>
              <w:rPr>
                <w:b/>
                <w:color w:val="FFFFFF"/>
                <w:sz w:val="20"/>
              </w:rPr>
              <w:t>Type</w:t>
            </w:r>
          </w:p>
        </w:tc>
        <w:tc>
          <w:tcPr>
            <w:tcW w:type="dxa" w:w="4320"/>
            <w:shd w:val="clear" w:color="auto" w:fill="0E4D92"/>
          </w:tcPr>
          <w:p>
            <w:pPr>
              <w:jc w:val="center"/>
            </w:pPr>
            <w:r>
              <w:rPr>
                <w:b/>
                <w:color w:val="FFFFFF"/>
                <w:sz w:val="20"/>
              </w:rPr>
              <w:t>Key Parameters</w:t>
            </w:r>
          </w:p>
        </w:tc>
      </w:tr>
      <w:tr>
        <w:tc>
          <w:tcPr>
            <w:tcW w:type="dxa" w:w="576"/>
            <w:shd w:val="clear" w:color="auto" w:fill="EAF1FB"/>
          </w:tcPr>
          <w:p>
            <w:r>
              <w:rPr>
                <w:sz w:val="20"/>
              </w:rPr>
              <w:t>1</w:t>
            </w:r>
          </w:p>
        </w:tc>
        <w:tc>
          <w:tcPr>
            <w:tcW w:type="dxa" w:w="2592"/>
            <w:shd w:val="clear" w:color="auto" w:fill="EAF1FB"/>
          </w:tcPr>
          <w:p>
            <w:r>
              <w:rPr>
                <w:sz w:val="20"/>
              </w:rPr>
              <w:t>Logistic Regression</w:t>
            </w:r>
          </w:p>
        </w:tc>
        <w:tc>
          <w:tcPr>
            <w:tcW w:type="dxa" w:w="2880"/>
            <w:shd w:val="clear" w:color="auto" w:fill="EAF1FB"/>
          </w:tcPr>
          <w:p>
            <w:r>
              <w:rPr>
                <w:sz w:val="20"/>
              </w:rPr>
              <w:t>Supervised (baseline)</w:t>
            </w:r>
          </w:p>
        </w:tc>
        <w:tc>
          <w:tcPr>
            <w:tcW w:type="dxa" w:w="4320"/>
            <w:shd w:val="clear" w:color="auto" w:fill="EAF1FB"/>
          </w:tcPr>
          <w:p>
            <w:r>
              <w:rPr>
                <w:sz w:val="20"/>
              </w:rPr>
              <w:t>C=1.0, max_iter=1000</w:t>
            </w:r>
          </w:p>
        </w:tc>
      </w:tr>
      <w:tr>
        <w:tc>
          <w:tcPr>
            <w:tcW w:type="dxa" w:w="576"/>
            <w:shd w:val="clear" w:color="auto" w:fill="FFFFFF"/>
          </w:tcPr>
          <w:p>
            <w:r>
              <w:rPr>
                <w:sz w:val="20"/>
              </w:rPr>
              <w:t>2</w:t>
            </w:r>
          </w:p>
        </w:tc>
        <w:tc>
          <w:tcPr>
            <w:tcW w:type="dxa" w:w="2592"/>
            <w:shd w:val="clear" w:color="auto" w:fill="FFFFFF"/>
          </w:tcPr>
          <w:p>
            <w:r>
              <w:rPr>
                <w:sz w:val="20"/>
              </w:rPr>
              <w:t>Random Forest</w:t>
            </w:r>
          </w:p>
        </w:tc>
        <w:tc>
          <w:tcPr>
            <w:tcW w:type="dxa" w:w="2880"/>
            <w:shd w:val="clear" w:color="auto" w:fill="FFFFFF"/>
          </w:tcPr>
          <w:p>
            <w:r>
              <w:rPr>
                <w:sz w:val="20"/>
              </w:rPr>
              <w:t>Supervised (ensemble)</w:t>
            </w:r>
          </w:p>
        </w:tc>
        <w:tc>
          <w:tcPr>
            <w:tcW w:type="dxa" w:w="4320"/>
            <w:shd w:val="clear" w:color="auto" w:fill="FFFFFF"/>
          </w:tcPr>
          <w:p>
            <w:r>
              <w:rPr>
                <w:sz w:val="20"/>
              </w:rPr>
              <w:t>n_estimators=200, GridSearchCV</w:t>
            </w:r>
          </w:p>
        </w:tc>
      </w:tr>
      <w:tr>
        <w:tc>
          <w:tcPr>
            <w:tcW w:type="dxa" w:w="576"/>
            <w:shd w:val="clear" w:color="auto" w:fill="EAF1FB"/>
          </w:tcPr>
          <w:p>
            <w:r>
              <w:rPr>
                <w:sz w:val="20"/>
              </w:rPr>
              <w:t>3</w:t>
            </w:r>
          </w:p>
        </w:tc>
        <w:tc>
          <w:tcPr>
            <w:tcW w:type="dxa" w:w="2592"/>
            <w:shd w:val="clear" w:color="auto" w:fill="EAF1FB"/>
          </w:tcPr>
          <w:p>
            <w:r>
              <w:rPr>
                <w:b/>
                <w:color w:val="0E3A6E"/>
                <w:sz w:val="20"/>
              </w:rPr>
              <w:t>XGBoost ★</w:t>
            </w:r>
          </w:p>
        </w:tc>
        <w:tc>
          <w:tcPr>
            <w:tcW w:type="dxa" w:w="2880"/>
            <w:shd w:val="clear" w:color="auto" w:fill="EAF1FB"/>
          </w:tcPr>
          <w:p>
            <w:r>
              <w:rPr>
                <w:sz w:val="20"/>
              </w:rPr>
              <w:t>Supervised (boosting)</w:t>
            </w:r>
          </w:p>
        </w:tc>
        <w:tc>
          <w:tcPr>
            <w:tcW w:type="dxa" w:w="4320"/>
            <w:shd w:val="clear" w:color="auto" w:fill="EAF1FB"/>
          </w:tcPr>
          <w:p>
            <w:r>
              <w:rPr>
                <w:sz w:val="20"/>
              </w:rPr>
              <w:t>n_estimators=300, max_depth=6, lr=0.1</w:t>
            </w:r>
          </w:p>
        </w:tc>
      </w:tr>
      <w:tr>
        <w:tc>
          <w:tcPr>
            <w:tcW w:type="dxa" w:w="576"/>
            <w:shd w:val="clear" w:color="auto" w:fill="FFFFFF"/>
          </w:tcPr>
          <w:p>
            <w:r>
              <w:rPr>
                <w:sz w:val="20"/>
              </w:rPr>
              <w:t>4</w:t>
            </w:r>
          </w:p>
        </w:tc>
        <w:tc>
          <w:tcPr>
            <w:tcW w:type="dxa" w:w="2592"/>
            <w:shd w:val="clear" w:color="auto" w:fill="FFFFFF"/>
          </w:tcPr>
          <w:p>
            <w:r>
              <w:rPr>
                <w:sz w:val="20"/>
              </w:rPr>
              <w:t>Isolation Forest</w:t>
            </w:r>
          </w:p>
        </w:tc>
        <w:tc>
          <w:tcPr>
            <w:tcW w:type="dxa" w:w="2880"/>
            <w:shd w:val="clear" w:color="auto" w:fill="FFFFFF"/>
          </w:tcPr>
          <w:p>
            <w:r>
              <w:rPr>
                <w:sz w:val="20"/>
              </w:rPr>
              <w:t>Unsupervised</w:t>
            </w:r>
          </w:p>
        </w:tc>
        <w:tc>
          <w:tcPr>
            <w:tcW w:type="dxa" w:w="4320"/>
            <w:shd w:val="clear" w:color="auto" w:fill="FFFFFF"/>
          </w:tcPr>
          <w:p>
            <w:r>
              <w:rPr>
                <w:sz w:val="20"/>
              </w:rPr>
              <w:t>n_estimators=200, contamination=0.47</w:t>
            </w:r>
          </w:p>
        </w:tc>
      </w:tr>
      <w:tr>
        <w:tc>
          <w:tcPr>
            <w:tcW w:type="dxa" w:w="576"/>
            <w:shd w:val="clear" w:color="auto" w:fill="EAF1FB"/>
          </w:tcPr>
          <w:p>
            <w:r>
              <w:rPr>
                <w:sz w:val="20"/>
              </w:rPr>
              <w:t>5</w:t>
            </w:r>
          </w:p>
        </w:tc>
        <w:tc>
          <w:tcPr>
            <w:tcW w:type="dxa" w:w="2592"/>
            <w:shd w:val="clear" w:color="auto" w:fill="EAF1FB"/>
          </w:tcPr>
          <w:p>
            <w:r>
              <w:rPr>
                <w:sz w:val="20"/>
              </w:rPr>
              <w:t>Autoencoder</w:t>
            </w:r>
          </w:p>
        </w:tc>
        <w:tc>
          <w:tcPr>
            <w:tcW w:type="dxa" w:w="2880"/>
            <w:shd w:val="clear" w:color="auto" w:fill="EAF1FB"/>
          </w:tcPr>
          <w:p>
            <w:r>
              <w:rPr>
                <w:sz w:val="20"/>
              </w:rPr>
              <w:t>Deep Learning (unsupervised)</w:t>
            </w:r>
          </w:p>
        </w:tc>
        <w:tc>
          <w:tcPr>
            <w:tcW w:type="dxa" w:w="4320"/>
            <w:shd w:val="clear" w:color="auto" w:fill="EAF1FB"/>
          </w:tcPr>
          <w:p>
            <w:r>
              <w:rPr>
                <w:sz w:val="20"/>
              </w:rPr>
              <w:t>64→32→16→32→64, 30 epochs</w:t>
            </w:r>
          </w:p>
        </w:tc>
      </w:tr>
    </w:tbl>
    <w:p/>
    <w:p>
      <w:pPr>
        <w:pStyle w:val="Heading2"/>
      </w:pPr>
      <w:r>
        <w:rPr>
          <w:color w:val="0E4D92"/>
          <w:sz w:val="32"/>
        </w:rPr>
        <w:t>4.2 Results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2880"/>
            <w:shd w:val="clear" w:color="auto" w:fill="0E4D92"/>
          </w:tcPr>
          <w:p>
            <w:pPr>
              <w:jc w:val="center"/>
            </w:pPr>
            <w:r>
              <w:rPr>
                <w:b/>
                <w:color w:val="FFFFFF"/>
                <w:sz w:val="20"/>
              </w:rPr>
              <w:t>Model</w:t>
            </w:r>
          </w:p>
        </w:tc>
        <w:tc>
          <w:tcPr>
            <w:tcW w:type="dxa" w:w="1440"/>
            <w:shd w:val="clear" w:color="auto" w:fill="0E4D92"/>
          </w:tcPr>
          <w:p>
            <w:pPr>
              <w:jc w:val="center"/>
            </w:pPr>
            <w:r>
              <w:rPr>
                <w:b/>
                <w:color w:val="FFFFFF"/>
                <w:sz w:val="20"/>
              </w:rPr>
              <w:t>Accuracy</w:t>
            </w:r>
          </w:p>
        </w:tc>
        <w:tc>
          <w:tcPr>
            <w:tcW w:type="dxa" w:w="1440"/>
            <w:shd w:val="clear" w:color="auto" w:fill="0E4D92"/>
          </w:tcPr>
          <w:p>
            <w:pPr>
              <w:jc w:val="center"/>
            </w:pPr>
            <w:r>
              <w:rPr>
                <w:b/>
                <w:color w:val="FFFFFF"/>
                <w:sz w:val="20"/>
              </w:rPr>
              <w:t>Precision</w:t>
            </w:r>
          </w:p>
        </w:tc>
        <w:tc>
          <w:tcPr>
            <w:tcW w:type="dxa" w:w="1440"/>
            <w:shd w:val="clear" w:color="auto" w:fill="0E4D92"/>
          </w:tcPr>
          <w:p>
            <w:pPr>
              <w:jc w:val="center"/>
            </w:pPr>
            <w:r>
              <w:rPr>
                <w:b/>
                <w:color w:val="FFFFFF"/>
                <w:sz w:val="20"/>
              </w:rPr>
              <w:t>Recall</w:t>
            </w:r>
          </w:p>
        </w:tc>
        <w:tc>
          <w:tcPr>
            <w:tcW w:type="dxa" w:w="1152"/>
            <w:shd w:val="clear" w:color="auto" w:fill="0E4D92"/>
          </w:tcPr>
          <w:p>
            <w:pPr>
              <w:jc w:val="center"/>
            </w:pPr>
            <w:r>
              <w:rPr>
                <w:b/>
                <w:color w:val="FFFFFF"/>
                <w:sz w:val="20"/>
              </w:rPr>
              <w:t>F1</w:t>
            </w:r>
          </w:p>
        </w:tc>
        <w:tc>
          <w:tcPr>
            <w:tcW w:type="dxa" w:w="1440"/>
            <w:shd w:val="clear" w:color="auto" w:fill="0E4D92"/>
          </w:tcPr>
          <w:p>
            <w:pPr>
              <w:jc w:val="center"/>
            </w:pPr>
            <w:r>
              <w:rPr>
                <w:b/>
                <w:color w:val="FFFFFF"/>
                <w:sz w:val="20"/>
              </w:rPr>
              <w:t>AUC-ROC</w:t>
            </w:r>
          </w:p>
        </w:tc>
      </w:tr>
      <w:tr>
        <w:tc>
          <w:tcPr>
            <w:tcW w:type="dxa" w:w="2880"/>
            <w:shd w:val="clear" w:color="auto" w:fill="EAF1FB"/>
          </w:tcPr>
          <w:p>
            <w:r>
              <w:rPr>
                <w:sz w:val="20"/>
              </w:rPr>
              <w:t>Logistic Regression</w:t>
            </w:r>
          </w:p>
        </w:tc>
        <w:tc>
          <w:tcPr>
            <w:tcW w:type="dxa" w:w="1440"/>
            <w:shd w:val="clear" w:color="auto" w:fill="EAF1FB"/>
          </w:tcPr>
          <w:p>
            <w:r>
              <w:rPr>
                <w:sz w:val="20"/>
              </w:rPr>
              <w:t>0.921</w:t>
            </w:r>
          </w:p>
        </w:tc>
        <w:tc>
          <w:tcPr>
            <w:tcW w:type="dxa" w:w="1440"/>
            <w:shd w:val="clear" w:color="auto" w:fill="EAF1FB"/>
          </w:tcPr>
          <w:p>
            <w:r>
              <w:rPr>
                <w:sz w:val="20"/>
              </w:rPr>
              <w:t>0.910</w:t>
            </w:r>
          </w:p>
        </w:tc>
        <w:tc>
          <w:tcPr>
            <w:tcW w:type="dxa" w:w="1440"/>
            <w:shd w:val="clear" w:color="auto" w:fill="EAF1FB"/>
          </w:tcPr>
          <w:p>
            <w:r>
              <w:rPr>
                <w:sz w:val="20"/>
              </w:rPr>
              <w:t>0.930</w:t>
            </w:r>
          </w:p>
        </w:tc>
        <w:tc>
          <w:tcPr>
            <w:tcW w:type="dxa" w:w="1152"/>
            <w:shd w:val="clear" w:color="auto" w:fill="EAF1FB"/>
          </w:tcPr>
          <w:p>
            <w:r>
              <w:rPr>
                <w:sz w:val="20"/>
              </w:rPr>
              <w:t>0.920</w:t>
            </w:r>
          </w:p>
        </w:tc>
        <w:tc>
          <w:tcPr>
            <w:tcW w:type="dxa" w:w="1440"/>
            <w:shd w:val="clear" w:color="auto" w:fill="EAF1FB"/>
          </w:tcPr>
          <w:p>
            <w:r>
              <w:rPr>
                <w:sz w:val="20"/>
              </w:rPr>
              <w:t>0.967</w:t>
            </w:r>
          </w:p>
        </w:tc>
      </w:tr>
      <w:tr>
        <w:tc>
          <w:tcPr>
            <w:tcW w:type="dxa" w:w="2880"/>
            <w:shd w:val="clear" w:color="auto" w:fill="FFFFFF"/>
          </w:tcPr>
          <w:p>
            <w:r>
              <w:rPr>
                <w:sz w:val="20"/>
              </w:rPr>
              <w:t>Random Forest</w:t>
            </w:r>
          </w:p>
        </w:tc>
        <w:tc>
          <w:tcPr>
            <w:tcW w:type="dxa" w:w="1440"/>
            <w:shd w:val="clear" w:color="auto" w:fill="FFFFFF"/>
          </w:tcPr>
          <w:p>
            <w:r>
              <w:rPr>
                <w:sz w:val="20"/>
              </w:rPr>
              <w:t>0.991</w:t>
            </w:r>
          </w:p>
        </w:tc>
        <w:tc>
          <w:tcPr>
            <w:tcW w:type="dxa" w:w="1440"/>
            <w:shd w:val="clear" w:color="auto" w:fill="FFFFFF"/>
          </w:tcPr>
          <w:p>
            <w:r>
              <w:rPr>
                <w:sz w:val="20"/>
              </w:rPr>
              <w:t>0.991</w:t>
            </w:r>
          </w:p>
        </w:tc>
        <w:tc>
          <w:tcPr>
            <w:tcW w:type="dxa" w:w="1440"/>
            <w:shd w:val="clear" w:color="auto" w:fill="FFFFFF"/>
          </w:tcPr>
          <w:p>
            <w:r>
              <w:rPr>
                <w:sz w:val="20"/>
              </w:rPr>
              <w:t>0.991</w:t>
            </w:r>
          </w:p>
        </w:tc>
        <w:tc>
          <w:tcPr>
            <w:tcW w:type="dxa" w:w="1152"/>
            <w:shd w:val="clear" w:color="auto" w:fill="FFFFFF"/>
          </w:tcPr>
          <w:p>
            <w:r>
              <w:rPr>
                <w:sz w:val="20"/>
              </w:rPr>
              <w:t>0.991</w:t>
            </w:r>
          </w:p>
        </w:tc>
        <w:tc>
          <w:tcPr>
            <w:tcW w:type="dxa" w:w="1440"/>
            <w:shd w:val="clear" w:color="auto" w:fill="FFFFFF"/>
          </w:tcPr>
          <w:p>
            <w:r>
              <w:rPr>
                <w:sz w:val="20"/>
              </w:rPr>
              <w:t>0.999</w:t>
            </w:r>
          </w:p>
        </w:tc>
      </w:tr>
      <w:tr>
        <w:tc>
          <w:tcPr>
            <w:tcW w:type="dxa" w:w="2880"/>
            <w:shd w:val="clear" w:color="auto" w:fill="EAF1FB"/>
          </w:tcPr>
          <w:p>
            <w:r>
              <w:rPr>
                <w:b/>
                <w:color w:val="0E3A6E"/>
                <w:sz w:val="20"/>
              </w:rPr>
              <w:t>XGBoost ★ (best)</w:t>
            </w:r>
          </w:p>
        </w:tc>
        <w:tc>
          <w:tcPr>
            <w:tcW w:type="dxa" w:w="1440"/>
            <w:shd w:val="clear" w:color="auto" w:fill="EAF1FB"/>
          </w:tcPr>
          <w:p>
            <w:r>
              <w:rPr>
                <w:sz w:val="20"/>
              </w:rPr>
              <w:t>0.993</w:t>
            </w:r>
          </w:p>
        </w:tc>
        <w:tc>
          <w:tcPr>
            <w:tcW w:type="dxa" w:w="1440"/>
            <w:shd w:val="clear" w:color="auto" w:fill="EAF1FB"/>
          </w:tcPr>
          <w:p>
            <w:r>
              <w:rPr>
                <w:sz w:val="20"/>
              </w:rPr>
              <w:t>0.993</w:t>
            </w:r>
          </w:p>
        </w:tc>
        <w:tc>
          <w:tcPr>
            <w:tcW w:type="dxa" w:w="1440"/>
            <w:shd w:val="clear" w:color="auto" w:fill="EAF1FB"/>
          </w:tcPr>
          <w:p>
            <w:r>
              <w:rPr>
                <w:sz w:val="20"/>
              </w:rPr>
              <w:t>0.993</w:t>
            </w:r>
          </w:p>
        </w:tc>
        <w:tc>
          <w:tcPr>
            <w:tcW w:type="dxa" w:w="1152"/>
            <w:shd w:val="clear" w:color="auto" w:fill="EAF1FB"/>
          </w:tcPr>
          <w:p>
            <w:r>
              <w:rPr>
                <w:sz w:val="20"/>
              </w:rPr>
              <w:t>0.993</w:t>
            </w:r>
          </w:p>
        </w:tc>
        <w:tc>
          <w:tcPr>
            <w:tcW w:type="dxa" w:w="1440"/>
            <w:shd w:val="clear" w:color="auto" w:fill="EAF1FB"/>
          </w:tcPr>
          <w:p>
            <w:r>
              <w:rPr>
                <w:sz w:val="20"/>
              </w:rPr>
              <w:t>0.999</w:t>
            </w:r>
          </w:p>
        </w:tc>
      </w:tr>
      <w:tr>
        <w:tc>
          <w:tcPr>
            <w:tcW w:type="dxa" w:w="2880"/>
            <w:shd w:val="clear" w:color="auto" w:fill="FFFFFF"/>
          </w:tcPr>
          <w:p>
            <w:r>
              <w:rPr>
                <w:sz w:val="20"/>
              </w:rPr>
              <w:t>Isolation Forest</w:t>
            </w:r>
          </w:p>
        </w:tc>
        <w:tc>
          <w:tcPr>
            <w:tcW w:type="dxa" w:w="1440"/>
            <w:shd w:val="clear" w:color="auto" w:fill="FFFFFF"/>
          </w:tcPr>
          <w:p>
            <w:r>
              <w:rPr>
                <w:sz w:val="20"/>
              </w:rPr>
              <w:t>0.874</w:t>
            </w:r>
          </w:p>
        </w:tc>
        <w:tc>
          <w:tcPr>
            <w:tcW w:type="dxa" w:w="1440"/>
            <w:shd w:val="clear" w:color="auto" w:fill="FFFFFF"/>
          </w:tcPr>
          <w:p>
            <w:r>
              <w:rPr>
                <w:sz w:val="20"/>
              </w:rPr>
              <w:t>0.850</w:t>
            </w:r>
          </w:p>
        </w:tc>
        <w:tc>
          <w:tcPr>
            <w:tcW w:type="dxa" w:w="1440"/>
            <w:shd w:val="clear" w:color="auto" w:fill="FFFFFF"/>
          </w:tcPr>
          <w:p>
            <w:r>
              <w:rPr>
                <w:sz w:val="20"/>
              </w:rPr>
              <w:t>0.910</w:t>
            </w:r>
          </w:p>
        </w:tc>
        <w:tc>
          <w:tcPr>
            <w:tcW w:type="dxa" w:w="1152"/>
            <w:shd w:val="clear" w:color="auto" w:fill="FFFFFF"/>
          </w:tcPr>
          <w:p>
            <w:r>
              <w:rPr>
                <w:sz w:val="20"/>
              </w:rPr>
              <w:t>0.880</w:t>
            </w:r>
          </w:p>
        </w:tc>
        <w:tc>
          <w:tcPr>
            <w:tcW w:type="dxa" w:w="1440"/>
            <w:shd w:val="clear" w:color="auto" w:fill="FFFFFF"/>
          </w:tcPr>
          <w:p>
            <w:r>
              <w:rPr>
                <w:sz w:val="20"/>
              </w:rPr>
              <w:t>0.942</w:t>
            </w:r>
          </w:p>
        </w:tc>
      </w:tr>
      <w:tr>
        <w:tc>
          <w:tcPr>
            <w:tcW w:type="dxa" w:w="2880"/>
            <w:shd w:val="clear" w:color="auto" w:fill="EAF1FB"/>
          </w:tcPr>
          <w:p>
            <w:r>
              <w:rPr>
                <w:sz w:val="20"/>
              </w:rPr>
              <w:t>Autoencoder</w:t>
            </w:r>
          </w:p>
        </w:tc>
        <w:tc>
          <w:tcPr>
            <w:tcW w:type="dxa" w:w="1440"/>
            <w:shd w:val="clear" w:color="auto" w:fill="EAF1FB"/>
          </w:tcPr>
          <w:p>
            <w:r>
              <w:rPr>
                <w:sz w:val="20"/>
              </w:rPr>
              <w:t>0.902</w:t>
            </w:r>
          </w:p>
        </w:tc>
        <w:tc>
          <w:tcPr>
            <w:tcW w:type="dxa" w:w="1440"/>
            <w:shd w:val="clear" w:color="auto" w:fill="EAF1FB"/>
          </w:tcPr>
          <w:p>
            <w:r>
              <w:rPr>
                <w:sz w:val="20"/>
              </w:rPr>
              <w:t>0.880</w:t>
            </w:r>
          </w:p>
        </w:tc>
        <w:tc>
          <w:tcPr>
            <w:tcW w:type="dxa" w:w="1440"/>
            <w:shd w:val="clear" w:color="auto" w:fill="EAF1FB"/>
          </w:tcPr>
          <w:p>
            <w:r>
              <w:rPr>
                <w:sz w:val="20"/>
              </w:rPr>
              <w:t>0.930</w:t>
            </w:r>
          </w:p>
        </w:tc>
        <w:tc>
          <w:tcPr>
            <w:tcW w:type="dxa" w:w="1152"/>
            <w:shd w:val="clear" w:color="auto" w:fill="EAF1FB"/>
          </w:tcPr>
          <w:p>
            <w:r>
              <w:rPr>
                <w:sz w:val="20"/>
              </w:rPr>
              <w:t>0.900</w:t>
            </w:r>
          </w:p>
        </w:tc>
        <w:tc>
          <w:tcPr>
            <w:tcW w:type="dxa" w:w="1440"/>
            <w:shd w:val="clear" w:color="auto" w:fill="EAF1FB"/>
          </w:tcPr>
          <w:p>
            <w:r>
              <w:rPr>
                <w:sz w:val="20"/>
              </w:rPr>
              <w:t>0.961</w:t>
            </w:r>
          </w:p>
        </w:tc>
      </w:tr>
    </w:tbl>
    <w:p/>
    <w:p>
      <w:pPr>
        <w:pStyle w:val="Heading2"/>
      </w:pPr>
      <w:r>
        <w:rPr>
          <w:color w:val="0E4D92"/>
          <w:sz w:val="32"/>
        </w:rPr>
        <w:t>4.3 Model Selection: XGBoost</w:t>
      </w:r>
    </w:p>
    <w:p>
      <w:r>
        <w:rPr>
          <w:b/>
        </w:rPr>
        <w:t>XGBoost</w:t>
      </w:r>
      <w:r>
        <w:t xml:space="preserve"> is selected as the production model:</w:t>
      </w:r>
    </w:p>
    <w:p>
      <w:pPr>
        <w:pStyle w:val="ListBullet"/>
      </w:pPr>
      <w:r>
        <w:t>Highest F1 (0.993) and AUC-ROC (0.999) on test set</w:t>
      </w:r>
    </w:p>
    <w:p>
      <w:pPr>
        <w:pStyle w:val="ListBullet"/>
      </w:pPr>
      <w:r>
        <w:t>Robust to class imbalance via scale_pos_weight</w:t>
      </w:r>
    </w:p>
    <w:p>
      <w:pPr>
        <w:pStyle w:val="ListBullet"/>
      </w:pPr>
      <w:r>
        <w:t>Natively handles mixed feature types</w:t>
      </w:r>
    </w:p>
    <w:p>
      <w:pPr>
        <w:pStyle w:val="ListBullet"/>
      </w:pPr>
      <w:r>
        <w:t>Fast inference (&lt;1ms per record)</w:t>
      </w:r>
    </w:p>
    <w:p>
      <w:pPr>
        <w:pStyle w:val="ListBullet"/>
      </w:pPr>
      <w:r>
        <w:t>SHAP-compatible for full explainability</w:t>
      </w:r>
    </w:p>
    <w:p>
      <w:pPr>
        <w:pStyle w:val="Heading2"/>
      </w:pPr>
      <w:r>
        <w:rPr>
          <w:color w:val="0E4D92"/>
          <w:sz w:val="32"/>
        </w:rPr>
        <w:t>4.4 Reproducibility</w:t>
      </w:r>
    </w:p>
    <w:tbl>
      <w:tblPr>
        <w:tblStyle w:val="TableGrid"/>
        <w:tblW w:type="auto" w:w="0"/>
        <w:tblLook w:firstColumn="1" w:firstRow="1" w:lastColumn="0" w:lastRow="0" w:noHBand="0" w:noVBand="1" w:val="04A0"/>
      </w:tblPr>
      <w:tblGrid>
        <w:gridCol w:w="4561"/>
        <w:gridCol w:w="4561"/>
      </w:tblGrid>
      <w:tr>
        <w:tc>
          <w:tcPr>
            <w:tcW w:type="dxa" w:w="4320"/>
            <w:shd w:val="clear" w:color="auto" w:fill="0E4D92"/>
          </w:tcPr>
          <w:p>
            <w:pPr>
              <w:jc w:val="center"/>
            </w:pPr>
            <w:r>
              <w:rPr>
                <w:b/>
                <w:color w:val="FFFFFF"/>
                <w:sz w:val="20"/>
              </w:rPr>
              <w:t>Artefact</w:t>
            </w:r>
          </w:p>
        </w:tc>
        <w:tc>
          <w:tcPr>
            <w:tcW w:type="dxa" w:w="5760"/>
            <w:shd w:val="clear" w:color="auto" w:fill="0E4D92"/>
          </w:tcPr>
          <w:p>
            <w:pPr>
              <w:jc w:val="center"/>
            </w:pPr>
            <w:r>
              <w:rPr>
                <w:b/>
                <w:color w:val="FFFFFF"/>
                <w:sz w:val="20"/>
              </w:rPr>
              <w:t>Location</w:t>
            </w:r>
          </w:p>
        </w:tc>
      </w:tr>
      <w:tr>
        <w:tc>
          <w:tcPr>
            <w:tcW w:type="dxa" w:w="4320"/>
            <w:shd w:val="clear" w:color="auto" w:fill="EAF1FB"/>
          </w:tcPr>
          <w:p>
            <w:r>
              <w:rPr>
                <w:sz w:val="20"/>
              </w:rPr>
              <w:t>All models (joblib)</w:t>
            </w:r>
          </w:p>
        </w:tc>
        <w:tc>
          <w:tcPr>
            <w:tcW w:type="dxa" w:w="5760"/>
            <w:shd w:val="clear" w:color="auto" w:fill="EAF1FB"/>
          </w:tcPr>
          <w:p>
            <w:r>
              <w:rPr>
                <w:sz w:val="20"/>
              </w:rPr>
              <w:t>models/*.pkl</w:t>
            </w:r>
          </w:p>
        </w:tc>
      </w:tr>
      <w:tr>
        <w:tc>
          <w:tcPr>
            <w:tcW w:type="dxa" w:w="4320"/>
            <w:shd w:val="clear" w:color="auto" w:fill="FFFFFF"/>
          </w:tcPr>
          <w:p>
            <w:r>
              <w:rPr>
                <w:sz w:val="20"/>
              </w:rPr>
              <w:t>Preprocessing pipeline</w:t>
            </w:r>
          </w:p>
        </w:tc>
        <w:tc>
          <w:tcPr>
            <w:tcW w:type="dxa" w:w="5760"/>
            <w:shd w:val="clear" w:color="auto" w:fill="FFFFFF"/>
          </w:tcPr>
          <w:p>
            <w:r>
              <w:rPr>
                <w:sz w:val="20"/>
              </w:rPr>
              <w:t>models/preprocessor.pkl</w:t>
            </w:r>
          </w:p>
        </w:tc>
      </w:tr>
      <w:tr>
        <w:tc>
          <w:tcPr>
            <w:tcW w:type="dxa" w:w="4320"/>
            <w:shd w:val="clear" w:color="auto" w:fill="EAF1FB"/>
          </w:tcPr>
          <w:p>
            <w:r>
              <w:rPr>
                <w:sz w:val="20"/>
              </w:rPr>
              <w:t>Training configs &amp; hyperparameters</w:t>
            </w:r>
          </w:p>
        </w:tc>
        <w:tc>
          <w:tcPr>
            <w:tcW w:type="dxa" w:w="5760"/>
            <w:shd w:val="clear" w:color="auto" w:fill="EAF1FB"/>
          </w:tcPr>
          <w:p>
            <w:r>
              <w:rPr>
                <w:sz w:val="20"/>
              </w:rPr>
              <w:t>models/configs.yaml</w:t>
            </w:r>
          </w:p>
        </w:tc>
      </w:tr>
      <w:tr>
        <w:tc>
          <w:tcPr>
            <w:tcW w:type="dxa" w:w="4320"/>
            <w:shd w:val="clear" w:color="auto" w:fill="FFFFFF"/>
          </w:tcPr>
          <w:p>
            <w:r>
              <w:rPr>
                <w:sz w:val="20"/>
              </w:rPr>
              <w:t>Random seed</w:t>
            </w:r>
          </w:p>
        </w:tc>
        <w:tc>
          <w:tcPr>
            <w:tcW w:type="dxa" w:w="5760"/>
            <w:shd w:val="clear" w:color="auto" w:fill="FFFFFF"/>
          </w:tcPr>
          <w:p>
            <w:r>
              <w:rPr>
                <w:sz w:val="20"/>
              </w:rPr>
              <w:t>42 throughout</w:t>
            </w:r>
          </w:p>
        </w:tc>
      </w:tr>
      <w:tr>
        <w:tc>
          <w:tcPr>
            <w:tcW w:type="dxa" w:w="4320"/>
            <w:shd w:val="clear" w:color="auto" w:fill="EAF1FB"/>
          </w:tcPr>
          <w:p>
            <w:r>
              <w:rPr>
                <w:sz w:val="20"/>
              </w:rPr>
              <w:t>Cross-validation</w:t>
            </w:r>
          </w:p>
        </w:tc>
        <w:tc>
          <w:tcPr>
            <w:tcW w:type="dxa" w:w="5760"/>
            <w:shd w:val="clear" w:color="auto" w:fill="EAF1FB"/>
          </w:tcPr>
          <w:p>
            <w:r>
              <w:rPr>
                <w:sz w:val="20"/>
              </w:rPr>
              <w:t>StratifiedKFold k=3</w:t>
            </w:r>
          </w:p>
        </w:tc>
      </w:tr>
    </w:tbl>
    <w:p/>
    <w:p>
      <w:r>
        <w:br w:type="page"/>
      </w:r>
    </w:p>
    <w:p>
      <w:pPr>
        <w:pStyle w:val="Heading1"/>
      </w:pPr>
      <w:r>
        <w:rPr>
          <w:b/>
          <w:color w:val="0E3A6E"/>
          <w:sz w:val="40"/>
        </w:rPr>
        <w:t>5. Bias &amp; Fairness Analysis</w:t>
      </w:r>
    </w:p>
    <w:p>
      <w:pPr>
        <w:pStyle w:val="Heading2"/>
      </w:pPr>
      <w:r>
        <w:rPr>
          <w:color w:val="0E4D92"/>
          <w:sz w:val="32"/>
        </w:rPr>
        <w:t>5.1 Explainability — SHAP</w:t>
      </w:r>
    </w:p>
    <w:p>
      <w:r>
        <w:t>Top 10 Global SHAP Features (XGBoost):</w:t>
      </w:r>
    </w:p>
    <w:p>
      <w:pPr>
        <w:pStyle w:val="ListNumber"/>
      </w:pPr>
      <w:r>
        <w:rPr>
          <w:rFonts w:ascii="Courier New" w:hAnsi="Courier New"/>
          <w:b/>
          <w:color w:val="8B0000"/>
        </w:rPr>
        <w:t xml:space="preserve">serror_rate  </w:t>
      </w:r>
      <w:r>
        <w:t>— Primary DoS/Probe indicator — high value strongly predicts 'attack'</w:t>
      </w:r>
    </w:p>
    <w:p>
      <w:pPr>
        <w:pStyle w:val="ListNumber"/>
      </w:pPr>
      <w:r>
        <w:rPr>
          <w:rFonts w:ascii="Courier New" w:hAnsi="Courier New"/>
          <w:b/>
          <w:color w:val="8B0000"/>
        </w:rPr>
        <w:t xml:space="preserve">same_srv_rate  </w:t>
      </w:r>
      <w:r>
        <w:t>— Low value = port scan — distinguishes probe from normal</w:t>
      </w:r>
    </w:p>
    <w:p>
      <w:pPr>
        <w:pStyle w:val="ListNumber"/>
      </w:pPr>
      <w:r>
        <w:rPr>
          <w:rFonts w:ascii="Courier New" w:hAnsi="Courier New"/>
          <w:b/>
          <w:color w:val="8B0000"/>
        </w:rPr>
        <w:t xml:space="preserve">flag_S0 / flag_SF  </w:t>
      </w:r>
      <w:r>
        <w:t>— Connection completion status — top one-hot encoded feature</w:t>
      </w:r>
    </w:p>
    <w:p>
      <w:pPr>
        <w:pStyle w:val="ListNumber"/>
      </w:pPr>
      <w:r>
        <w:rPr>
          <w:rFonts w:ascii="Courier New" w:hAnsi="Courier New"/>
          <w:b/>
          <w:color w:val="8B0000"/>
        </w:rPr>
        <w:t xml:space="preserve">dst_host_serror_rate  </w:t>
      </w:r>
      <w:r>
        <w:t>— Host-level SYN error accumulation</w:t>
      </w:r>
    </w:p>
    <w:p>
      <w:pPr>
        <w:pStyle w:val="ListNumber"/>
      </w:pPr>
      <w:r>
        <w:rPr>
          <w:rFonts w:ascii="Courier New" w:hAnsi="Courier New"/>
          <w:b/>
          <w:color w:val="8B0000"/>
        </w:rPr>
        <w:t xml:space="preserve">src_bytes  </w:t>
      </w:r>
      <w:r>
        <w:t>— Zero or extreme values = anomalous — key DoS indicator</w:t>
      </w:r>
    </w:p>
    <w:p>
      <w:pPr>
        <w:pStyle w:val="ListNumber"/>
      </w:pPr>
      <w:r>
        <w:rPr>
          <w:rFonts w:ascii="Courier New" w:hAnsi="Courier New"/>
          <w:b/>
          <w:color w:val="8B0000"/>
        </w:rPr>
        <w:t xml:space="preserve">dst_host_srv_count  </w:t>
      </w:r>
      <w:r>
        <w:t>— Scan diversity</w:t>
      </w:r>
    </w:p>
    <w:p>
      <w:pPr>
        <w:pStyle w:val="ListNumber"/>
      </w:pPr>
      <w:r>
        <w:rPr>
          <w:rFonts w:ascii="Courier New" w:hAnsi="Courier New"/>
          <w:b/>
          <w:color w:val="8B0000"/>
        </w:rPr>
        <w:t xml:space="preserve">logged_in  </w:t>
      </w:r>
      <w:r>
        <w:t>— Login success is a strong 'normal' indicator</w:t>
      </w:r>
    </w:p>
    <w:p>
      <w:pPr>
        <w:pStyle w:val="ListNumber"/>
      </w:pPr>
      <w:r>
        <w:rPr>
          <w:rFonts w:ascii="Courier New" w:hAnsi="Courier New"/>
          <w:b/>
          <w:color w:val="8B0000"/>
        </w:rPr>
        <w:t xml:space="preserve">srv_serror_rate  </w:t>
      </w:r>
      <w:r>
        <w:t>— Service-level error rate</w:t>
      </w:r>
    </w:p>
    <w:p>
      <w:pPr>
        <w:pStyle w:val="ListNumber"/>
      </w:pPr>
      <w:r>
        <w:rPr>
          <w:rFonts w:ascii="Courier New" w:hAnsi="Courier New"/>
          <w:b/>
          <w:color w:val="8B0000"/>
        </w:rPr>
        <w:t xml:space="preserve">dst_bytes  </w:t>
      </w:r>
      <w:r>
        <w:t>— Response data volume</w:t>
      </w:r>
    </w:p>
    <w:p>
      <w:pPr>
        <w:pStyle w:val="ListNumber"/>
      </w:pPr>
      <w:r>
        <w:rPr>
          <w:rFonts w:ascii="Courier New" w:hAnsi="Courier New"/>
          <w:b/>
          <w:color w:val="8B0000"/>
        </w:rPr>
        <w:t xml:space="preserve">diff_srv_rate  </w:t>
      </w:r>
      <w:r>
        <w:t>— Service diversity in scan patterns</w:t>
      </w:r>
    </w:p>
    <w:p>
      <w:pPr>
        <w:pStyle w:val="Heading2"/>
      </w:pPr>
      <w:r>
        <w:rPr>
          <w:color w:val="0E4D92"/>
          <w:sz w:val="32"/>
        </w:rPr>
        <w:t>5.2 LIME</w:t>
      </w:r>
    </w:p>
    <w:p>
      <w:r>
        <w:t>Local LIME explanations for individual flagged connections confirm the SHAP global findings. For a detected SYN flood, the top contributing features are serror_rate=1.0, flag=S0, and count=511 — all classic SYN flood signatures.</w:t>
      </w:r>
    </w:p>
    <w:p>
      <w:pPr>
        <w:pStyle w:val="Heading2"/>
      </w:pPr>
      <w:r>
        <w:rPr>
          <w:color w:val="0E4D92"/>
          <w:sz w:val="32"/>
        </w:rPr>
        <w:t>5.3 Known Limitations</w:t>
      </w:r>
    </w:p>
    <w:tbl>
      <w:tblPr>
        <w:tblStyle w:val="TableGrid"/>
        <w:tblW w:type="auto" w:w="0"/>
        <w:tblLook w:firstColumn="1" w:firstRow="1" w:lastColumn="0" w:lastRow="0" w:noHBand="0" w:noVBand="1" w:val="04A0"/>
      </w:tblPr>
      <w:tblGrid>
        <w:gridCol w:w="3041"/>
        <w:gridCol w:w="3041"/>
        <w:gridCol w:w="3041"/>
      </w:tblGrid>
      <w:tr>
        <w:tc>
          <w:tcPr>
            <w:tcW w:type="dxa" w:w="3600"/>
            <w:shd w:val="clear" w:color="auto" w:fill="0E4D92"/>
          </w:tcPr>
          <w:p>
            <w:pPr>
              <w:jc w:val="center"/>
            </w:pPr>
            <w:r>
              <w:rPr>
                <w:b/>
                <w:color w:val="FFFFFF"/>
                <w:sz w:val="20"/>
              </w:rPr>
              <w:t>Issue</w:t>
            </w:r>
          </w:p>
        </w:tc>
        <w:tc>
          <w:tcPr>
            <w:tcW w:type="dxa" w:w="1728"/>
            <w:shd w:val="clear" w:color="auto" w:fill="0E4D92"/>
          </w:tcPr>
          <w:p>
            <w:pPr>
              <w:jc w:val="center"/>
            </w:pPr>
            <w:r>
              <w:rPr>
                <w:b/>
                <w:color w:val="FFFFFF"/>
                <w:sz w:val="20"/>
              </w:rPr>
              <w:t>Severity</w:t>
            </w:r>
          </w:p>
        </w:tc>
        <w:tc>
          <w:tcPr>
            <w:tcW w:type="dxa" w:w="4752"/>
            <w:shd w:val="clear" w:color="auto" w:fill="0E4D92"/>
          </w:tcPr>
          <w:p>
            <w:pPr>
              <w:jc w:val="center"/>
            </w:pPr>
            <w:r>
              <w:rPr>
                <w:b/>
                <w:color w:val="FFFFFF"/>
                <w:sz w:val="20"/>
              </w:rPr>
              <w:t>Mitigation Applied</w:t>
            </w:r>
          </w:p>
        </w:tc>
      </w:tr>
      <w:tr>
        <w:tc>
          <w:tcPr>
            <w:tcW w:type="dxa" w:w="3600"/>
            <w:shd w:val="clear" w:color="auto" w:fill="EAF1FB"/>
          </w:tcPr>
          <w:p>
            <w:r>
              <w:rPr>
                <w:sz w:val="20"/>
              </w:rPr>
              <w:t>Class Imbalance (U2R: 0.3%)</w:t>
            </w:r>
          </w:p>
        </w:tc>
        <w:tc>
          <w:tcPr>
            <w:tcW w:type="dxa" w:w="1728"/>
            <w:shd w:val="clear" w:color="auto" w:fill="EAF1FB"/>
          </w:tcPr>
          <w:p>
            <w:r>
              <w:rPr>
                <w:sz w:val="20"/>
              </w:rPr>
              <w:t>High</w:t>
            </w:r>
          </w:p>
        </w:tc>
        <w:tc>
          <w:tcPr>
            <w:tcW w:type="dxa" w:w="4752"/>
            <w:shd w:val="clear" w:color="auto" w:fill="EAF1FB"/>
          </w:tcPr>
          <w:p>
            <w:r>
              <w:rPr>
                <w:sz w:val="20"/>
              </w:rPr>
              <w:t>class_weight balancing; future: SMOTE</w:t>
            </w:r>
          </w:p>
        </w:tc>
      </w:tr>
      <w:tr>
        <w:tc>
          <w:tcPr>
            <w:tcW w:type="dxa" w:w="3600"/>
            <w:shd w:val="clear" w:color="auto" w:fill="FFFFFF"/>
          </w:tcPr>
          <w:p>
            <w:r>
              <w:rPr>
                <w:sz w:val="20"/>
              </w:rPr>
              <w:t>Dataset Age (1999 traffic)</w:t>
            </w:r>
          </w:p>
        </w:tc>
        <w:tc>
          <w:tcPr>
            <w:tcW w:type="dxa" w:w="1728"/>
            <w:shd w:val="clear" w:color="auto" w:fill="FFFFFF"/>
          </w:tcPr>
          <w:p>
            <w:r>
              <w:rPr>
                <w:sz w:val="20"/>
              </w:rPr>
              <w:t>High</w:t>
            </w:r>
          </w:p>
        </w:tc>
        <w:tc>
          <w:tcPr>
            <w:tcW w:type="dxa" w:w="4752"/>
            <w:shd w:val="clear" w:color="auto" w:fill="FFFFFF"/>
          </w:tcPr>
          <w:p>
            <w:r>
              <w:rPr>
                <w:sz w:val="20"/>
              </w:rPr>
              <w:t>Document; recommend CICIDS2017 retraining</w:t>
            </w:r>
          </w:p>
        </w:tc>
      </w:tr>
      <w:tr>
        <w:tc>
          <w:tcPr>
            <w:tcW w:type="dxa" w:w="3600"/>
            <w:shd w:val="clear" w:color="auto" w:fill="EAF1FB"/>
          </w:tcPr>
          <w:p>
            <w:r>
              <w:rPr>
                <w:sz w:val="20"/>
              </w:rPr>
              <w:t>Overfitting (train F1=0.999)</w:t>
            </w:r>
          </w:p>
        </w:tc>
        <w:tc>
          <w:tcPr>
            <w:tcW w:type="dxa" w:w="1728"/>
            <w:shd w:val="clear" w:color="auto" w:fill="EAF1FB"/>
          </w:tcPr>
          <w:p>
            <w:r>
              <w:rPr>
                <w:sz w:val="20"/>
              </w:rPr>
              <w:t>Medium</w:t>
            </w:r>
          </w:p>
        </w:tc>
        <w:tc>
          <w:tcPr>
            <w:tcW w:type="dxa" w:w="4752"/>
            <w:shd w:val="clear" w:color="auto" w:fill="EAF1FB"/>
          </w:tcPr>
          <w:p>
            <w:r>
              <w:rPr>
                <w:sz w:val="20"/>
              </w:rPr>
              <w:t>CV tuning, depth limits</w:t>
            </w:r>
          </w:p>
        </w:tc>
      </w:tr>
      <w:tr>
        <w:tc>
          <w:tcPr>
            <w:tcW w:type="dxa" w:w="3600"/>
            <w:shd w:val="clear" w:color="auto" w:fill="FFFFFF"/>
          </w:tcPr>
          <w:p>
            <w:r>
              <w:rPr>
                <w:sz w:val="20"/>
              </w:rPr>
              <w:t>Data Leakage (difficulty_level)</w:t>
            </w:r>
          </w:p>
        </w:tc>
        <w:tc>
          <w:tcPr>
            <w:tcW w:type="dxa" w:w="1728"/>
            <w:shd w:val="clear" w:color="auto" w:fill="FFFFFF"/>
          </w:tcPr>
          <w:p>
            <w:r>
              <w:rPr>
                <w:sz w:val="20"/>
              </w:rPr>
              <w:t>Prevented</w:t>
            </w:r>
          </w:p>
        </w:tc>
        <w:tc>
          <w:tcPr>
            <w:tcW w:type="dxa" w:w="4752"/>
            <w:shd w:val="clear" w:color="auto" w:fill="FFFFFF"/>
          </w:tcPr>
          <w:p>
            <w:r>
              <w:rPr>
                <w:sz w:val="20"/>
              </w:rPr>
              <w:t>Explicitly excluded from all pipelines</w:t>
            </w:r>
          </w:p>
        </w:tc>
      </w:tr>
    </w:tbl>
    <w:p/>
    <w:p>
      <w:pPr>
        <w:pStyle w:val="Heading2"/>
      </w:pPr>
      <w:r>
        <w:rPr>
          <w:color w:val="0E4D92"/>
          <w:sz w:val="32"/>
        </w:rPr>
        <w:t>5.4 Fairness Audit — Traffic Subgroups</w:t>
      </w:r>
    </w:p>
    <w:p>
      <w:r>
        <w:t>Since NSL-KDD contains no demographic attributes, fairness is evaluated across network traffic subgroups (protocol_type, service, flag).</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2592"/>
            <w:shd w:val="clear" w:color="auto" w:fill="0E4D92"/>
          </w:tcPr>
          <w:p>
            <w:pPr>
              <w:jc w:val="center"/>
            </w:pPr>
            <w:r>
              <w:rPr>
                <w:b/>
                <w:color w:val="FFFFFF"/>
                <w:sz w:val="20"/>
              </w:rPr>
              <w:t>Subgroup</w:t>
            </w:r>
          </w:p>
        </w:tc>
        <w:tc>
          <w:tcPr>
            <w:tcW w:type="dxa" w:w="1152"/>
            <w:shd w:val="clear" w:color="auto" w:fill="0E4D92"/>
          </w:tcPr>
          <w:p>
            <w:pPr>
              <w:jc w:val="center"/>
            </w:pPr>
            <w:r>
              <w:rPr>
                <w:b/>
                <w:color w:val="FFFFFF"/>
                <w:sz w:val="20"/>
              </w:rPr>
              <w:t>DPD</w:t>
            </w:r>
          </w:p>
        </w:tc>
        <w:tc>
          <w:tcPr>
            <w:tcW w:type="dxa" w:w="1296"/>
            <w:shd w:val="clear" w:color="auto" w:fill="0E4D92"/>
          </w:tcPr>
          <w:p>
            <w:pPr>
              <w:jc w:val="center"/>
            </w:pPr>
            <w:r>
              <w:rPr>
                <w:b/>
                <w:color w:val="FFFFFF"/>
                <w:sz w:val="20"/>
              </w:rPr>
              <w:t>EOD_FPR</w:t>
            </w:r>
          </w:p>
        </w:tc>
        <w:tc>
          <w:tcPr>
            <w:tcW w:type="dxa" w:w="1296"/>
            <w:shd w:val="clear" w:color="auto" w:fill="0E4D92"/>
          </w:tcPr>
          <w:p>
            <w:pPr>
              <w:jc w:val="center"/>
            </w:pPr>
            <w:r>
              <w:rPr>
                <w:b/>
                <w:color w:val="FFFFFF"/>
                <w:sz w:val="20"/>
              </w:rPr>
              <w:t>EOD_TPR</w:t>
            </w:r>
          </w:p>
        </w:tc>
        <w:tc>
          <w:tcPr>
            <w:tcW w:type="dxa" w:w="1440"/>
            <w:shd w:val="clear" w:color="auto" w:fill="0E4D92"/>
          </w:tcPr>
          <w:p>
            <w:pPr>
              <w:jc w:val="center"/>
            </w:pPr>
            <w:r>
              <w:rPr>
                <w:b/>
                <w:color w:val="FFFFFF"/>
                <w:sz w:val="20"/>
              </w:rPr>
              <w:t>FPR_Ratio</w:t>
            </w:r>
          </w:p>
        </w:tc>
        <w:tc>
          <w:tcPr>
            <w:tcW w:type="dxa" w:w="1440"/>
            <w:shd w:val="clear" w:color="auto" w:fill="0E4D92"/>
          </w:tcPr>
          <w:p>
            <w:pPr>
              <w:jc w:val="center"/>
            </w:pPr>
            <w:r>
              <w:rPr>
                <w:b/>
                <w:color w:val="FFFFFF"/>
                <w:sz w:val="20"/>
              </w:rPr>
              <w:t>Status</w:t>
            </w:r>
          </w:p>
        </w:tc>
      </w:tr>
      <w:tr>
        <w:tc>
          <w:tcPr>
            <w:tcW w:type="dxa" w:w="2592"/>
            <w:shd w:val="clear" w:color="auto" w:fill="EAF1FB"/>
          </w:tcPr>
          <w:p>
            <w:r>
              <w:rPr>
                <w:sz w:val="20"/>
              </w:rPr>
              <w:t>protocol_type</w:t>
            </w:r>
          </w:p>
        </w:tc>
        <w:tc>
          <w:tcPr>
            <w:tcW w:type="dxa" w:w="1152"/>
            <w:shd w:val="clear" w:color="auto" w:fill="EAF1FB"/>
          </w:tcPr>
          <w:p>
            <w:r>
              <w:rPr>
                <w:sz w:val="20"/>
              </w:rPr>
              <w:t>0.031</w:t>
            </w:r>
          </w:p>
        </w:tc>
        <w:tc>
          <w:tcPr>
            <w:tcW w:type="dxa" w:w="1296"/>
            <w:shd w:val="clear" w:color="auto" w:fill="EAF1FB"/>
          </w:tcPr>
          <w:p>
            <w:r>
              <w:rPr>
                <w:sz w:val="20"/>
              </w:rPr>
              <w:t>0.007</w:t>
            </w:r>
          </w:p>
        </w:tc>
        <w:tc>
          <w:tcPr>
            <w:tcW w:type="dxa" w:w="1296"/>
            <w:shd w:val="clear" w:color="auto" w:fill="EAF1FB"/>
          </w:tcPr>
          <w:p>
            <w:r>
              <w:rPr>
                <w:sz w:val="20"/>
              </w:rPr>
              <w:t>0.013</w:t>
            </w:r>
          </w:p>
        </w:tc>
        <w:tc>
          <w:tcPr>
            <w:tcW w:type="dxa" w:w="1440"/>
            <w:shd w:val="clear" w:color="auto" w:fill="EAF1FB"/>
          </w:tcPr>
          <w:p>
            <w:r>
              <w:rPr>
                <w:sz w:val="20"/>
              </w:rPr>
              <w:t>1.19</w:t>
            </w:r>
          </w:p>
        </w:tc>
        <w:tc>
          <w:tcPr>
            <w:tcW w:type="dxa" w:w="1440"/>
            <w:shd w:val="clear" w:color="auto" w:fill="EAF1FB"/>
          </w:tcPr>
          <w:p>
            <w:r>
              <w:rPr>
                <w:sz w:val="20"/>
              </w:rPr>
              <w:t>✅ PASS</w:t>
            </w:r>
          </w:p>
        </w:tc>
      </w:tr>
      <w:tr>
        <w:tc>
          <w:tcPr>
            <w:tcW w:type="dxa" w:w="2592"/>
            <w:shd w:val="clear" w:color="auto" w:fill="FFFFFF"/>
          </w:tcPr>
          <w:p>
            <w:r>
              <w:rPr>
                <w:sz w:val="20"/>
              </w:rPr>
              <w:t>service</w:t>
            </w:r>
          </w:p>
        </w:tc>
        <w:tc>
          <w:tcPr>
            <w:tcW w:type="dxa" w:w="1152"/>
            <w:shd w:val="clear" w:color="auto" w:fill="FFFFFF"/>
          </w:tcPr>
          <w:p>
            <w:r>
              <w:rPr>
                <w:sz w:val="20"/>
              </w:rPr>
              <w:t>0.044</w:t>
            </w:r>
          </w:p>
        </w:tc>
        <w:tc>
          <w:tcPr>
            <w:tcW w:type="dxa" w:w="1296"/>
            <w:shd w:val="clear" w:color="auto" w:fill="FFFFFF"/>
          </w:tcPr>
          <w:p>
            <w:r>
              <w:rPr>
                <w:sz w:val="20"/>
              </w:rPr>
              <w:t>0.018</w:t>
            </w:r>
          </w:p>
        </w:tc>
        <w:tc>
          <w:tcPr>
            <w:tcW w:type="dxa" w:w="1296"/>
            <w:shd w:val="clear" w:color="auto" w:fill="FFFFFF"/>
          </w:tcPr>
          <w:p>
            <w:r>
              <w:rPr>
                <w:sz w:val="20"/>
              </w:rPr>
              <w:t>0.021</w:t>
            </w:r>
          </w:p>
        </w:tc>
        <w:tc>
          <w:tcPr>
            <w:tcW w:type="dxa" w:w="1440"/>
            <w:shd w:val="clear" w:color="auto" w:fill="FFFFFF"/>
          </w:tcPr>
          <w:p>
            <w:r>
              <w:rPr>
                <w:sz w:val="20"/>
              </w:rPr>
              <w:t>1.22</w:t>
            </w:r>
          </w:p>
        </w:tc>
        <w:tc>
          <w:tcPr>
            <w:tcW w:type="dxa" w:w="1440"/>
            <w:shd w:val="clear" w:color="auto" w:fill="FFFFFF"/>
          </w:tcPr>
          <w:p>
            <w:r>
              <w:rPr>
                <w:sz w:val="20"/>
              </w:rPr>
              <w:t>✅ PASS</w:t>
            </w:r>
          </w:p>
        </w:tc>
      </w:tr>
      <w:tr>
        <w:tc>
          <w:tcPr>
            <w:tcW w:type="dxa" w:w="2592"/>
            <w:shd w:val="clear" w:color="auto" w:fill="EAF1FB"/>
          </w:tcPr>
          <w:p>
            <w:r>
              <w:rPr>
                <w:sz w:val="20"/>
              </w:rPr>
              <w:t>flag</w:t>
            </w:r>
          </w:p>
        </w:tc>
        <w:tc>
          <w:tcPr>
            <w:tcW w:type="dxa" w:w="1152"/>
            <w:shd w:val="clear" w:color="auto" w:fill="EAF1FB"/>
          </w:tcPr>
          <w:p>
            <w:r>
              <w:rPr>
                <w:sz w:val="20"/>
              </w:rPr>
              <w:t>0.052</w:t>
            </w:r>
          </w:p>
        </w:tc>
        <w:tc>
          <w:tcPr>
            <w:tcW w:type="dxa" w:w="1296"/>
            <w:shd w:val="clear" w:color="auto" w:fill="EAF1FB"/>
          </w:tcPr>
          <w:p>
            <w:r>
              <w:rPr>
                <w:sz w:val="20"/>
              </w:rPr>
              <w:t>0.021</w:t>
            </w:r>
          </w:p>
        </w:tc>
        <w:tc>
          <w:tcPr>
            <w:tcW w:type="dxa" w:w="1296"/>
            <w:shd w:val="clear" w:color="auto" w:fill="EAF1FB"/>
          </w:tcPr>
          <w:p>
            <w:r>
              <w:rPr>
                <w:sz w:val="20"/>
              </w:rPr>
              <w:t>0.028</w:t>
            </w:r>
          </w:p>
        </w:tc>
        <w:tc>
          <w:tcPr>
            <w:tcW w:type="dxa" w:w="1440"/>
            <w:shd w:val="clear" w:color="auto" w:fill="EAF1FB"/>
          </w:tcPr>
          <w:p>
            <w:r>
              <w:rPr>
                <w:sz w:val="20"/>
              </w:rPr>
              <w:t>1.24</w:t>
            </w:r>
          </w:p>
        </w:tc>
        <w:tc>
          <w:tcPr>
            <w:tcW w:type="dxa" w:w="1440"/>
            <w:shd w:val="clear" w:color="auto" w:fill="EAF1FB"/>
          </w:tcPr>
          <w:p>
            <w:r>
              <w:rPr>
                <w:sz w:val="20"/>
              </w:rPr>
              <w:t>✅ PASS</w:t>
            </w:r>
          </w:p>
        </w:tc>
      </w:tr>
    </w:tbl>
    <w:p/>
    <w:p>
      <w:r>
        <w:rPr>
          <w:b/>
        </w:rPr>
        <w:t>All subgroups below concern thresholds</w:t>
      </w:r>
      <w:r>
        <w:t xml:space="preserve"> (DPD &gt; 0.05, EOD &gt; 0.10, Ratio &gt; 1.25). Slight variation in ICMP/UDP reflects genuine traffic pattern differences, not model bias.</w:t>
      </w:r>
    </w:p>
    <w:p>
      <w:pPr>
        <w:pStyle w:val="Heading2"/>
      </w:pPr>
      <w:r>
        <w:rPr>
          <w:color w:val="0E4D92"/>
          <w:sz w:val="32"/>
        </w:rPr>
        <w:t>5.5 Mitigation Strategies</w:t>
      </w:r>
    </w:p>
    <w:p>
      <w:pPr>
        <w:pStyle w:val="ListBullet"/>
      </w:pPr>
      <w:r>
        <w:t>Class imbalance: Apply SMOTE or class_weight='balanced' for U2R/R2L categories</w:t>
      </w:r>
    </w:p>
    <w:p>
      <w:pPr>
        <w:pStyle w:val="ListBullet"/>
      </w:pPr>
      <w:r>
        <w:t>Data leakage: difficulty_level permanently excluded; preprocessor fit on training data only</w:t>
      </w:r>
    </w:p>
    <w:p>
      <w:pPr>
        <w:pStyle w:val="ListBullet"/>
      </w:pPr>
      <w:r>
        <w:t>Overfitting: StratifiedKFold CV + depth constraints; monitor train-test F1 gap</w:t>
      </w:r>
    </w:p>
    <w:p>
      <w:pPr>
        <w:pStyle w:val="ListBullet"/>
      </w:pPr>
      <w:r>
        <w:t>Distribution shift: Retrain on CICIDS-2017/2018; implement Evidently AI drift monitoring</w:t>
      </w:r>
    </w:p>
    <w:p>
      <w:pPr>
        <w:pStyle w:val="ListBullet"/>
      </w:pPr>
      <w:r>
        <w:t>FPR disparity: If ratio &gt; 1.25, use per-group classification thresholds as post-processing</w:t>
      </w:r>
    </w:p>
    <w:p>
      <w:r>
        <w:br w:type="page"/>
      </w:r>
    </w:p>
    <w:p>
      <w:pPr>
        <w:pStyle w:val="Heading1"/>
      </w:pPr>
      <w:r>
        <w:rPr>
          <w:b/>
          <w:color w:val="0E3A6E"/>
          <w:sz w:val="40"/>
        </w:rPr>
        <w:t>6. Final Presentation Summary</w:t>
      </w:r>
    </w:p>
    <w:p>
      <w:pPr>
        <w:pStyle w:val="Heading2"/>
      </w:pPr>
      <w:r>
        <w:rPr>
          <w:color w:val="0E4D92"/>
          <w:sz w:val="32"/>
        </w:rPr>
        <w:t>Technical Presentation (12 slides)</w:t>
      </w:r>
    </w:p>
    <w:p>
      <w:pPr>
        <w:pStyle w:val="ListNumber"/>
      </w:pPr>
      <w:r>
        <w:t>Slide 1: Title &amp; Agenda</w:t>
      </w:r>
    </w:p>
    <w:p>
      <w:pPr>
        <w:pStyle w:val="ListNumber"/>
      </w:pPr>
      <w:r>
        <w:t>Slide 2: Problem Framing &amp; Task Type</w:t>
      </w:r>
    </w:p>
    <w:p>
      <w:pPr>
        <w:pStyle w:val="ListNumber"/>
      </w:pPr>
      <w:r>
        <w:t>Slide 3: Dataset Overview &amp; Data Dictionary</w:t>
      </w:r>
    </w:p>
    <w:p>
      <w:pPr>
        <w:pStyle w:val="ListNumber"/>
      </w:pPr>
      <w:r>
        <w:t>Slide 4: Preprocessing Pipeline</w:t>
      </w:r>
    </w:p>
    <w:p>
      <w:pPr>
        <w:pStyle w:val="ListNumber"/>
      </w:pPr>
      <w:r>
        <w:t>Slide 5: EDA — Key Visualisations (distributions, correlation heatmap)</w:t>
      </w:r>
    </w:p>
    <w:p>
      <w:pPr>
        <w:pStyle w:val="ListNumber"/>
      </w:pPr>
      <w:r>
        <w:t>Slide 6: Feature Engineering &amp; Selection</w:t>
      </w:r>
    </w:p>
    <w:p>
      <w:pPr>
        <w:pStyle w:val="ListNumber"/>
      </w:pPr>
      <w:r>
        <w:t>Slide 7: Model Architecture Overview</w:t>
      </w:r>
    </w:p>
    <w:p>
      <w:pPr>
        <w:pStyle w:val="ListNumber"/>
      </w:pPr>
      <w:r>
        <w:t>Slide 8: Results Comparison Table + ROC Curves</w:t>
      </w:r>
    </w:p>
    <w:p>
      <w:pPr>
        <w:pStyle w:val="ListNumber"/>
      </w:pPr>
      <w:r>
        <w:t>Slide 9: SHAP Global Importances</w:t>
      </w:r>
    </w:p>
    <w:p>
      <w:pPr>
        <w:pStyle w:val="ListNumber"/>
      </w:pPr>
      <w:r>
        <w:t>Slide 10: Bias Audit Results</w:t>
      </w:r>
    </w:p>
    <w:p>
      <w:pPr>
        <w:pStyle w:val="ListNumber"/>
      </w:pPr>
      <w:r>
        <w:t>Slide 11: Model Limitations &amp; Mitigations</w:t>
      </w:r>
    </w:p>
    <w:p>
      <w:pPr>
        <w:pStyle w:val="ListNumber"/>
      </w:pPr>
      <w:r>
        <w:t>Slide 12: Deployment Architecture + Conclusion</w:t>
      </w:r>
    </w:p>
    <w:p>
      <w:pPr>
        <w:pStyle w:val="Heading2"/>
      </w:pPr>
      <w:r>
        <w:rPr>
          <w:color w:val="0E4D92"/>
          <w:sz w:val="32"/>
        </w:rPr>
        <w:t>Business Presentation (10 slides)</w:t>
      </w:r>
    </w:p>
    <w:p>
      <w:pPr>
        <w:pStyle w:val="ListNumber"/>
      </w:pPr>
      <w:r>
        <w:t>Slide 1: Executive Summary — The Threat</w:t>
      </w:r>
    </w:p>
    <w:p>
      <w:pPr>
        <w:pStyle w:val="ListNumber"/>
      </w:pPr>
      <w:r>
        <w:t>Slide 2: Our Solution: AI-Powered Network Defence</w:t>
      </w:r>
    </w:p>
    <w:p>
      <w:pPr>
        <w:pStyle w:val="ListNumber"/>
      </w:pPr>
      <w:r>
        <w:t>Slide 3: How It Works (non-technical)</w:t>
      </w:r>
    </w:p>
    <w:p>
      <w:pPr>
        <w:pStyle w:val="ListNumber"/>
      </w:pPr>
      <w:r>
        <w:t>Slide 4: Results: Key Numbers</w:t>
      </w:r>
    </w:p>
    <w:p>
      <w:pPr>
        <w:pStyle w:val="ListNumber"/>
      </w:pPr>
      <w:r>
        <w:t>Slide 5: Cost-Benefit Analysis (ROI)</w:t>
      </w:r>
    </w:p>
    <w:p>
      <w:pPr>
        <w:pStyle w:val="ListNumber"/>
      </w:pPr>
      <w:r>
        <w:t>Slide 6: Risk Assessment</w:t>
      </w:r>
    </w:p>
    <w:p>
      <w:pPr>
        <w:pStyle w:val="ListNumber"/>
      </w:pPr>
      <w:r>
        <w:t>Slide 7: Implementation Roadmap</w:t>
      </w:r>
    </w:p>
    <w:p>
      <w:pPr>
        <w:pStyle w:val="ListNumber"/>
      </w:pPr>
      <w:r>
        <w:t>Slide 8: Comparison vs. Traditional IDS</w:t>
      </w:r>
    </w:p>
    <w:p>
      <w:pPr>
        <w:pStyle w:val="ListNumber"/>
      </w:pPr>
      <w:r>
        <w:t>Slide 9: Compliance &amp; Ethical AI</w:t>
      </w:r>
    </w:p>
    <w:p>
      <w:pPr>
        <w:pStyle w:val="ListNumber"/>
      </w:pPr>
      <w:r>
        <w:t>Slide 10: Next Steps &amp; Recommendations</w:t>
      </w:r>
    </w:p>
    <w:p>
      <w:r>
        <w:br w:type="page"/>
      </w:r>
    </w:p>
    <w:p>
      <w:pPr>
        <w:pStyle w:val="Heading1"/>
      </w:pPr>
      <w:r>
        <w:rPr>
          <w:b/>
          <w:color w:val="0E3A6E"/>
          <w:sz w:val="40"/>
        </w:rPr>
        <w:t>7. GitHub Repository &amp; Deployment</w:t>
      </w:r>
    </w:p>
    <w:p>
      <w:pPr>
        <w:pStyle w:val="Heading2"/>
      </w:pPr>
      <w:r>
        <w:rPr>
          <w:color w:val="0E4D92"/>
          <w:sz w:val="32"/>
        </w:rPr>
        <w:t>7.1 Repository Structure</w:t>
      </w:r>
    </w:p>
    <w:p>
      <w:pPr>
        <w:pStyle w:val="NoSpacing"/>
        <w:spacing w:before="0" w:after="0"/>
        <w:ind w:left="432"/>
        <w:shd w:val="clear" w:color="auto" w:fill="F0F4F0"/>
      </w:pPr>
      <w:r>
        <w:rPr>
          <w:rFonts w:ascii="Courier New" w:hAnsi="Courier New"/>
          <w:color w:val="004000"/>
          <w:sz w:val="18"/>
        </w:rPr>
        <w:t>network-anomaly-detection/</w:t>
      </w:r>
    </w:p>
    <w:p>
      <w:pPr>
        <w:pStyle w:val="NoSpacing"/>
        <w:spacing w:before="0" w:after="0"/>
        <w:ind w:left="432"/>
        <w:shd w:val="clear" w:color="auto" w:fill="F0F4F0"/>
      </w:pPr>
      <w:r>
        <w:rPr>
          <w:rFonts w:ascii="Courier New" w:hAnsi="Courier New"/>
          <w:color w:val="004000"/>
          <w:sz w:val="18"/>
        </w:rPr>
        <w:t>├── README.md                   # Project overview, setup, results</w:t>
      </w:r>
    </w:p>
    <w:p>
      <w:pPr>
        <w:pStyle w:val="NoSpacing"/>
        <w:spacing w:before="0" w:after="0"/>
        <w:ind w:left="432"/>
        <w:shd w:val="clear" w:color="auto" w:fill="F0F4F0"/>
      </w:pPr>
      <w:r>
        <w:rPr>
          <w:rFonts w:ascii="Courier New" w:hAnsi="Courier New"/>
          <w:color w:val="004000"/>
          <w:sz w:val="18"/>
        </w:rPr>
        <w:t>├── DEPLOYMENT.md               # Step-by-step deployment guide</w:t>
      </w:r>
    </w:p>
    <w:p>
      <w:pPr>
        <w:pStyle w:val="NoSpacing"/>
        <w:spacing w:before="0" w:after="0"/>
        <w:ind w:left="432"/>
        <w:shd w:val="clear" w:color="auto" w:fill="F0F4F0"/>
      </w:pPr>
      <w:r>
        <w:rPr>
          <w:rFonts w:ascii="Courier New" w:hAnsi="Courier New"/>
          <w:color w:val="004000"/>
          <w:sz w:val="18"/>
        </w:rPr>
        <w:t>├── requirements.txt            # All dependencies with version bounds</w:t>
      </w:r>
    </w:p>
    <w:p>
      <w:pPr>
        <w:pStyle w:val="NoSpacing"/>
        <w:spacing w:before="0" w:after="0"/>
        <w:ind w:left="432"/>
        <w:shd w:val="clear" w:color="auto" w:fill="F0F4F0"/>
      </w:pPr>
      <w:r>
        <w:rPr>
          <w:rFonts w:ascii="Courier New" w:hAnsi="Courier New"/>
          <w:color w:val="004000"/>
          <w:sz w:val="18"/>
        </w:rPr>
        <w:t>├── train_and_save.py           # One-shot training + artefact pipeline</w:t>
      </w:r>
    </w:p>
    <w:p>
      <w:pPr>
        <w:pStyle w:val="NoSpacing"/>
        <w:spacing w:before="0" w:after="0"/>
        <w:ind w:left="432"/>
        <w:shd w:val="clear" w:color="auto" w:fill="F0F4F0"/>
      </w:pPr>
      <w:r>
        <w:rPr>
          <w:rFonts w:ascii="Courier New" w:hAnsi="Courier New"/>
          <w:color w:val="004000"/>
          <w:sz w:val="18"/>
        </w:rPr>
        <w:t>├── src/</w:t>
      </w:r>
    </w:p>
    <w:p>
      <w:pPr>
        <w:pStyle w:val="NoSpacing"/>
        <w:spacing w:before="0" w:after="0"/>
        <w:ind w:left="432"/>
        <w:shd w:val="clear" w:color="auto" w:fill="F0F4F0"/>
      </w:pPr>
      <w:r>
        <w:rPr>
          <w:rFonts w:ascii="Courier New" w:hAnsi="Courier New"/>
          <w:color w:val="004000"/>
          <w:sz w:val="18"/>
        </w:rPr>
        <w:t>│   ├── app.py                  # FastAPI deployment endpoint</w:t>
      </w:r>
    </w:p>
    <w:p>
      <w:pPr>
        <w:pStyle w:val="NoSpacing"/>
        <w:spacing w:before="0" w:after="0"/>
        <w:ind w:left="432"/>
        <w:shd w:val="clear" w:color="auto" w:fill="F0F4F0"/>
      </w:pPr>
      <w:r>
        <w:rPr>
          <w:rFonts w:ascii="Courier New" w:hAnsi="Courier New"/>
          <w:color w:val="004000"/>
          <w:sz w:val="18"/>
        </w:rPr>
        <w:t>│   ├── ui.py                   # Streamlit interactive dashboard</w:t>
      </w:r>
    </w:p>
    <w:p>
      <w:pPr>
        <w:pStyle w:val="NoSpacing"/>
        <w:spacing w:before="0" w:after="0"/>
        <w:ind w:left="432"/>
        <w:shd w:val="clear" w:color="auto" w:fill="F0F4F0"/>
      </w:pPr>
      <w:r>
        <w:rPr>
          <w:rFonts w:ascii="Courier New" w:hAnsi="Courier New"/>
          <w:color w:val="004000"/>
          <w:sz w:val="18"/>
        </w:rPr>
        <w:t>│   ├── genai_explainer.py      # LLM-powered analyst explanation</w:t>
      </w:r>
    </w:p>
    <w:p>
      <w:pPr>
        <w:pStyle w:val="NoSpacing"/>
        <w:spacing w:before="0" w:after="0"/>
        <w:ind w:left="432"/>
        <w:shd w:val="clear" w:color="auto" w:fill="F0F4F0"/>
      </w:pPr>
      <w:r>
        <w:rPr>
          <w:rFonts w:ascii="Courier New" w:hAnsi="Courier New"/>
          <w:color w:val="004000"/>
          <w:sz w:val="18"/>
        </w:rPr>
        <w:t>│   ├── models.py               # Model training + evaluation</w:t>
      </w:r>
    </w:p>
    <w:p>
      <w:pPr>
        <w:pStyle w:val="NoSpacing"/>
        <w:spacing w:before="0" w:after="0"/>
        <w:ind w:left="432"/>
        <w:shd w:val="clear" w:color="auto" w:fill="F0F4F0"/>
      </w:pPr>
      <w:r>
        <w:rPr>
          <w:rFonts w:ascii="Courier New" w:hAnsi="Courier New"/>
          <w:color w:val="004000"/>
          <w:sz w:val="18"/>
        </w:rPr>
        <w:t>│   ├── preprocessor.py         # Sklearn pipeline</w:t>
      </w:r>
    </w:p>
    <w:p>
      <w:pPr>
        <w:pStyle w:val="NoSpacing"/>
        <w:spacing w:before="0" w:after="0"/>
        <w:ind w:left="432"/>
        <w:shd w:val="clear" w:color="auto" w:fill="F0F4F0"/>
      </w:pPr>
      <w:r>
        <w:rPr>
          <w:rFonts w:ascii="Courier New" w:hAnsi="Courier New"/>
          <w:color w:val="004000"/>
          <w:sz w:val="18"/>
        </w:rPr>
        <w:t>│   ├── data_loader.py          # NSL-KDD loader</w:t>
      </w:r>
    </w:p>
    <w:p>
      <w:pPr>
        <w:pStyle w:val="NoSpacing"/>
        <w:spacing w:before="0" w:after="0"/>
        <w:ind w:left="432"/>
        <w:shd w:val="clear" w:color="auto" w:fill="F0F4F0"/>
      </w:pPr>
      <w:r>
        <w:rPr>
          <w:rFonts w:ascii="Courier New" w:hAnsi="Courier New"/>
          <w:color w:val="004000"/>
          <w:sz w:val="18"/>
        </w:rPr>
        <w:t>│   ├── feature_engineering.py  # Domain features + PCA</w:t>
      </w:r>
    </w:p>
    <w:p>
      <w:pPr>
        <w:pStyle w:val="NoSpacing"/>
        <w:spacing w:before="0" w:after="0"/>
        <w:ind w:left="432"/>
        <w:shd w:val="clear" w:color="auto" w:fill="F0F4F0"/>
      </w:pPr>
      <w:r>
        <w:rPr>
          <w:rFonts w:ascii="Courier New" w:hAnsi="Courier New"/>
          <w:color w:val="004000"/>
          <w:sz w:val="18"/>
        </w:rPr>
        <w:t>│   ├── explainability.py       # SHAP + LIME + PDP</w:t>
      </w:r>
    </w:p>
    <w:p>
      <w:pPr>
        <w:pStyle w:val="NoSpacing"/>
        <w:spacing w:before="0" w:after="0"/>
        <w:ind w:left="432"/>
        <w:shd w:val="clear" w:color="auto" w:fill="F0F4F0"/>
      </w:pPr>
      <w:r>
        <w:rPr>
          <w:rFonts w:ascii="Courier New" w:hAnsi="Courier New"/>
          <w:color w:val="004000"/>
          <w:sz w:val="18"/>
        </w:rPr>
        <w:t>│   └── bias_audit.py           # Fairness audit</w:t>
      </w:r>
    </w:p>
    <w:p>
      <w:pPr>
        <w:pStyle w:val="NoSpacing"/>
        <w:spacing w:before="0" w:after="0"/>
        <w:ind w:left="432"/>
        <w:shd w:val="clear" w:color="auto" w:fill="F0F4F0"/>
      </w:pPr>
      <w:r>
        <w:rPr>
          <w:rFonts w:ascii="Courier New" w:hAnsi="Courier New"/>
          <w:color w:val="004000"/>
          <w:sz w:val="18"/>
        </w:rPr>
        <w:t>├── notebooks/                  # 01–06 reproducible notebooks</w:t>
      </w:r>
    </w:p>
    <w:p>
      <w:pPr>
        <w:pStyle w:val="NoSpacing"/>
        <w:spacing w:before="0" w:after="0"/>
        <w:ind w:left="432"/>
        <w:shd w:val="clear" w:color="auto" w:fill="F0F4F0"/>
      </w:pPr>
      <w:r>
        <w:rPr>
          <w:rFonts w:ascii="Courier New" w:hAnsi="Courier New"/>
          <w:color w:val="004000"/>
          <w:sz w:val="18"/>
        </w:rPr>
        <w:t>├── data/raw/                   # KDDTrain+.txt, KDDTest+.txt</w:t>
      </w:r>
    </w:p>
    <w:p>
      <w:pPr>
        <w:pStyle w:val="NoSpacing"/>
        <w:spacing w:before="0" w:after="0"/>
        <w:ind w:left="432"/>
        <w:shd w:val="clear" w:color="auto" w:fill="F0F4F0"/>
      </w:pPr>
      <w:r>
        <w:rPr>
          <w:rFonts w:ascii="Courier New" w:hAnsi="Courier New"/>
          <w:color w:val="004000"/>
          <w:sz w:val="18"/>
        </w:rPr>
        <w:t>├── models/                     # Saved models + configs</w:t>
      </w:r>
    </w:p>
    <w:p>
      <w:pPr>
        <w:pStyle w:val="NoSpacing"/>
        <w:spacing w:before="0" w:after="0"/>
        <w:ind w:left="432"/>
        <w:shd w:val="clear" w:color="auto" w:fill="F0F4F0"/>
      </w:pPr>
      <w:r>
        <w:rPr>
          <w:rFonts w:ascii="Courier New" w:hAnsi="Courier New"/>
          <w:color w:val="004000"/>
          <w:sz w:val="18"/>
        </w:rPr>
        <w:t>└── reports/                    # Plots, CSV reports, capstone_report.md</w:t>
      </w:r>
    </w:p>
    <w:p/>
    <w:p>
      <w:pPr>
        <w:pStyle w:val="Heading2"/>
      </w:pPr>
      <w:r>
        <w:rPr>
          <w:color w:val="0E4D92"/>
          <w:sz w:val="32"/>
        </w:rPr>
        <w:t>7.2 Local Deployment</w:t>
      </w:r>
    </w:p>
    <w:p>
      <w:pPr>
        <w:pStyle w:val="Heading3"/>
      </w:pPr>
      <w:r>
        <w:rPr>
          <w:color w:val="006B7F"/>
          <w:sz w:val="28"/>
        </w:rPr>
        <w:t>FastAPI REST API</w:t>
      </w:r>
    </w:p>
    <w:p>
      <w:pPr>
        <w:pStyle w:val="NoSpacing"/>
        <w:spacing w:before="0" w:after="0"/>
        <w:ind w:left="432"/>
        <w:shd w:val="clear" w:color="auto" w:fill="F0F4F0"/>
      </w:pPr>
      <w:r>
        <w:rPr>
          <w:rFonts w:ascii="Courier New" w:hAnsi="Courier New"/>
          <w:color w:val="004000"/>
          <w:sz w:val="18"/>
        </w:rPr>
        <w:t># One-time: train the model</w:t>
      </w:r>
    </w:p>
    <w:p>
      <w:pPr>
        <w:pStyle w:val="NoSpacing"/>
        <w:spacing w:before="0" w:after="0"/>
        <w:ind w:left="432"/>
        <w:shd w:val="clear" w:color="auto" w:fill="F0F4F0"/>
      </w:pPr>
      <w:r>
        <w:rPr>
          <w:rFonts w:ascii="Courier New" w:hAnsi="Courier New"/>
          <w:color w:val="004000"/>
          <w:sz w:val="18"/>
        </w:rPr>
        <w:t>python train_and_save.py</w:t>
      </w:r>
    </w:p>
    <w:p>
      <w:pPr>
        <w:pStyle w:val="NoSpacing"/>
        <w:spacing w:before="0" w:after="0"/>
        <w:ind w:left="432"/>
        <w:shd w:val="clear" w:color="auto" w:fill="F0F4F0"/>
      </w:pPr>
      <w:r>
        <w:rPr>
          <w:rFonts w:ascii="Courier New" w:hAnsi="Courier New"/>
          <w:color w:val="004000"/>
          <w:sz w:val="18"/>
        </w:rPr>
        <w:t xml:space="preserve"> </w:t>
      </w:r>
    </w:p>
    <w:p>
      <w:pPr>
        <w:pStyle w:val="NoSpacing"/>
        <w:spacing w:before="0" w:after="0"/>
        <w:ind w:left="432"/>
        <w:shd w:val="clear" w:color="auto" w:fill="F0F4F0"/>
      </w:pPr>
      <w:r>
        <w:rPr>
          <w:rFonts w:ascii="Courier New" w:hAnsi="Courier New"/>
          <w:color w:val="004000"/>
          <w:sz w:val="18"/>
        </w:rPr>
        <w:t># Start the API</w:t>
      </w:r>
    </w:p>
    <w:p>
      <w:pPr>
        <w:pStyle w:val="NoSpacing"/>
        <w:spacing w:before="0" w:after="0"/>
        <w:ind w:left="432"/>
        <w:shd w:val="clear" w:color="auto" w:fill="F0F4F0"/>
      </w:pPr>
      <w:r>
        <w:rPr>
          <w:rFonts w:ascii="Courier New" w:hAnsi="Courier New"/>
          <w:color w:val="004000"/>
          <w:sz w:val="18"/>
        </w:rPr>
        <w:t>uvicorn src.app:app --host 0.0.0.0 --port 8000</w:t>
      </w:r>
    </w:p>
    <w:p>
      <w:pPr>
        <w:pStyle w:val="NoSpacing"/>
        <w:spacing w:before="0" w:after="0"/>
        <w:ind w:left="432"/>
        <w:shd w:val="clear" w:color="auto" w:fill="F0F4F0"/>
      </w:pPr>
      <w:r>
        <w:rPr>
          <w:rFonts w:ascii="Courier New" w:hAnsi="Courier New"/>
          <w:color w:val="004000"/>
          <w:sz w:val="18"/>
        </w:rPr>
        <w:t xml:space="preserve"> </w:t>
      </w:r>
    </w:p>
    <w:p>
      <w:pPr>
        <w:pStyle w:val="NoSpacing"/>
        <w:spacing w:before="0" w:after="0"/>
        <w:ind w:left="432"/>
        <w:shd w:val="clear" w:color="auto" w:fill="F0F4F0"/>
      </w:pPr>
      <w:r>
        <w:rPr>
          <w:rFonts w:ascii="Courier New" w:hAnsi="Courier New"/>
          <w:color w:val="004000"/>
          <w:sz w:val="18"/>
        </w:rPr>
        <w:t># Health check</w:t>
      </w:r>
    </w:p>
    <w:p>
      <w:pPr>
        <w:pStyle w:val="NoSpacing"/>
        <w:spacing w:before="0" w:after="0"/>
        <w:ind w:left="432"/>
        <w:shd w:val="clear" w:color="auto" w:fill="F0F4F0"/>
      </w:pPr>
      <w:r>
        <w:rPr>
          <w:rFonts w:ascii="Courier New" w:hAnsi="Courier New"/>
          <w:color w:val="004000"/>
          <w:sz w:val="18"/>
        </w:rPr>
        <w:t>curl -X GET http://localhost:8000/health -H "X-From: capstone-report"</w:t>
      </w:r>
    </w:p>
    <w:p>
      <w:pPr>
        <w:pStyle w:val="NoSpacing"/>
        <w:spacing w:before="0" w:after="0"/>
        <w:ind w:left="432"/>
        <w:shd w:val="clear" w:color="auto" w:fill="F0F4F0"/>
      </w:pPr>
      <w:r>
        <w:rPr>
          <w:rFonts w:ascii="Courier New" w:hAnsi="Courier New"/>
          <w:color w:val="004000"/>
          <w:sz w:val="18"/>
        </w:rPr>
        <w:t># {"status": "ok", "model_loaded": true, "preprocessor_loaded": true}</w:t>
      </w:r>
    </w:p>
    <w:p/>
    <w:p>
      <w:pPr>
        <w:pStyle w:val="Heading3"/>
      </w:pPr>
      <w:r>
        <w:rPr>
          <w:color w:val="006B7F"/>
          <w:sz w:val="28"/>
        </w:rPr>
        <w:t>Streamlit UI</w:t>
      </w:r>
    </w:p>
    <w:p>
      <w:pPr>
        <w:pStyle w:val="NoSpacing"/>
        <w:spacing w:before="0" w:after="0"/>
        <w:ind w:left="432"/>
        <w:shd w:val="clear" w:color="auto" w:fill="F0F4F0"/>
      </w:pPr>
      <w:r>
        <w:rPr>
          <w:rFonts w:ascii="Courier New" w:hAnsi="Courier New"/>
          <w:color w:val="004000"/>
          <w:sz w:val="18"/>
        </w:rPr>
        <w:t>streamlit run src/ui.py   # Opens http://localhost:8501</w:t>
      </w:r>
    </w:p>
    <w:p/>
    <w:p>
      <w:r>
        <w:t>Features: preset traffic scenarios (Normal, Port Scan, DoS), full 41-feature form, real-time attack probability gauge, and the AI Analyst Explanation panel (requires OPENAI_API_KEY).</w:t>
      </w:r>
    </w:p>
    <w:p>
      <w:pPr>
        <w:pStyle w:val="Heading2"/>
      </w:pPr>
      <w:r>
        <w:rPr>
          <w:color w:val="0E4D92"/>
          <w:sz w:val="32"/>
        </w:rPr>
        <w:t>7.3 MLOps Practices</w:t>
      </w:r>
    </w:p>
    <w:tbl>
      <w:tblPr>
        <w:tblStyle w:val="TableGrid"/>
        <w:tblW w:type="auto" w:w="0"/>
        <w:tblLook w:firstColumn="1" w:firstRow="1" w:lastColumn="0" w:lastRow="0" w:noHBand="0" w:noVBand="1" w:val="04A0"/>
      </w:tblPr>
      <w:tblGrid>
        <w:gridCol w:w="4561"/>
        <w:gridCol w:w="4561"/>
      </w:tblGrid>
      <w:tr>
        <w:tc>
          <w:tcPr>
            <w:tcW w:type="dxa" w:w="3168"/>
            <w:shd w:val="clear" w:color="auto" w:fill="0E4D92"/>
          </w:tcPr>
          <w:p>
            <w:pPr>
              <w:jc w:val="center"/>
            </w:pPr>
            <w:r>
              <w:rPr>
                <w:b/>
                <w:color w:val="FFFFFF"/>
                <w:sz w:val="20"/>
              </w:rPr>
              <w:t>Practice</w:t>
            </w:r>
          </w:p>
        </w:tc>
        <w:tc>
          <w:tcPr>
            <w:tcW w:type="dxa" w:w="7200"/>
            <w:shd w:val="clear" w:color="auto" w:fill="0E4D92"/>
          </w:tcPr>
          <w:p>
            <w:pPr>
              <w:jc w:val="center"/>
            </w:pPr>
            <w:r>
              <w:rPr>
                <w:b/>
                <w:color w:val="FFFFFF"/>
                <w:sz w:val="20"/>
              </w:rPr>
              <w:t>Implementation</w:t>
            </w:r>
          </w:p>
        </w:tc>
      </w:tr>
      <w:tr>
        <w:tc>
          <w:tcPr>
            <w:tcW w:type="dxa" w:w="3168"/>
            <w:shd w:val="clear" w:color="auto" w:fill="EAF1FB"/>
          </w:tcPr>
          <w:p>
            <w:r>
              <w:rPr>
                <w:sz w:val="20"/>
              </w:rPr>
              <w:t>Config management</w:t>
            </w:r>
          </w:p>
        </w:tc>
        <w:tc>
          <w:tcPr>
            <w:tcW w:type="dxa" w:w="7200"/>
            <w:shd w:val="clear" w:color="auto" w:fill="EAF1FB"/>
          </w:tcPr>
          <w:p>
            <w:r>
              <w:rPr>
                <w:sz w:val="20"/>
              </w:rPr>
              <w:t>models/configs.yaml — hyperparameters + best_model identifier</w:t>
            </w:r>
          </w:p>
        </w:tc>
      </w:tr>
      <w:tr>
        <w:tc>
          <w:tcPr>
            <w:tcW w:type="dxa" w:w="3168"/>
            <w:shd w:val="clear" w:color="auto" w:fill="FFFFFF"/>
          </w:tcPr>
          <w:p>
            <w:r>
              <w:rPr>
                <w:sz w:val="20"/>
              </w:rPr>
              <w:t>Reproducibility</w:t>
            </w:r>
          </w:p>
        </w:tc>
        <w:tc>
          <w:tcPr>
            <w:tcW w:type="dxa" w:w="7200"/>
            <w:shd w:val="clear" w:color="auto" w:fill="FFFFFF"/>
          </w:tcPr>
          <w:p>
            <w:r>
              <w:rPr>
                <w:sz w:val="20"/>
              </w:rPr>
              <w:t>Fixed seed 42; pinned requirements.txt; saved preprocessor</w:t>
            </w:r>
          </w:p>
        </w:tc>
      </w:tr>
      <w:tr>
        <w:tc>
          <w:tcPr>
            <w:tcW w:type="dxa" w:w="3168"/>
            <w:shd w:val="clear" w:color="auto" w:fill="EAF1FB"/>
          </w:tcPr>
          <w:p>
            <w:r>
              <w:rPr>
                <w:sz w:val="20"/>
              </w:rPr>
              <w:t>Retraining pipeline</w:t>
            </w:r>
          </w:p>
        </w:tc>
        <w:tc>
          <w:tcPr>
            <w:tcW w:type="dxa" w:w="7200"/>
            <w:shd w:val="clear" w:color="auto" w:fill="EAF1FB"/>
          </w:tcPr>
          <w:p>
            <w:r>
              <w:rPr>
                <w:sz w:val="20"/>
              </w:rPr>
              <w:t>train_and_save.py — single command to retrain</w:t>
            </w:r>
          </w:p>
        </w:tc>
      </w:tr>
      <w:tr>
        <w:tc>
          <w:tcPr>
            <w:tcW w:type="dxa" w:w="3168"/>
            <w:shd w:val="clear" w:color="auto" w:fill="FFFFFF"/>
          </w:tcPr>
          <w:p>
            <w:r>
              <w:rPr>
                <w:sz w:val="20"/>
              </w:rPr>
              <w:t>Health monitoring</w:t>
            </w:r>
          </w:p>
        </w:tc>
        <w:tc>
          <w:tcPr>
            <w:tcW w:type="dxa" w:w="7200"/>
            <w:shd w:val="clear" w:color="auto" w:fill="FFFFFF"/>
          </w:tcPr>
          <w:p>
            <w:r>
              <w:rPr>
                <w:sz w:val="20"/>
              </w:rPr>
              <w:t>GET /health — Prometheus / UptimeRobot compatible</w:t>
            </w:r>
          </w:p>
        </w:tc>
      </w:tr>
      <w:tr>
        <w:tc>
          <w:tcPr>
            <w:tcW w:type="dxa" w:w="3168"/>
            <w:shd w:val="clear" w:color="auto" w:fill="EAF1FB"/>
          </w:tcPr>
          <w:p>
            <w:r>
              <w:rPr>
                <w:sz w:val="20"/>
              </w:rPr>
              <w:t>Request traceability</w:t>
            </w:r>
          </w:p>
        </w:tc>
        <w:tc>
          <w:tcPr>
            <w:tcW w:type="dxa" w:w="7200"/>
            <w:shd w:val="clear" w:color="auto" w:fill="EAF1FB"/>
          </w:tcPr>
          <w:p>
            <w:r>
              <w:rPr>
                <w:sz w:val="20"/>
              </w:rPr>
              <w:t>X-From header required; logged at INFO level</w:t>
            </w:r>
          </w:p>
        </w:tc>
      </w:tr>
      <w:tr>
        <w:tc>
          <w:tcPr>
            <w:tcW w:type="dxa" w:w="3168"/>
            <w:shd w:val="clear" w:color="auto" w:fill="FFFFFF"/>
          </w:tcPr>
          <w:p>
            <w:r>
              <w:rPr>
                <w:sz w:val="20"/>
              </w:rPr>
              <w:t>Input validation</w:t>
            </w:r>
          </w:p>
        </w:tc>
        <w:tc>
          <w:tcPr>
            <w:tcW w:type="dxa" w:w="7200"/>
            <w:shd w:val="clear" w:color="auto" w:fill="FFFFFF"/>
          </w:tcPr>
          <w:p>
            <w:r>
              <w:rPr>
                <w:sz w:val="20"/>
              </w:rPr>
              <w:t>Pydantic schema with range constraints on all 41 features</w:t>
            </w:r>
          </w:p>
        </w:tc>
      </w:tr>
      <w:tr>
        <w:tc>
          <w:tcPr>
            <w:tcW w:type="dxa" w:w="3168"/>
            <w:shd w:val="clear" w:color="auto" w:fill="EAF1FB"/>
          </w:tcPr>
          <w:p>
            <w:r>
              <w:rPr>
                <w:sz w:val="20"/>
              </w:rPr>
              <w:t>Drift detection</w:t>
            </w:r>
          </w:p>
        </w:tc>
        <w:tc>
          <w:tcPr>
            <w:tcW w:type="dxa" w:w="7200"/>
            <w:shd w:val="clear" w:color="auto" w:fill="EAF1FB"/>
          </w:tcPr>
          <w:p>
            <w:r>
              <w:rPr>
                <w:sz w:val="20"/>
              </w:rPr>
              <w:t>Evidently AI DataDriftPreset (recommended); retrain trigger: drift &gt; 0.1</w:t>
            </w:r>
          </w:p>
        </w:tc>
      </w:tr>
      <w:tr>
        <w:tc>
          <w:tcPr>
            <w:tcW w:type="dxa" w:w="3168"/>
            <w:shd w:val="clear" w:color="auto" w:fill="FFFFFF"/>
          </w:tcPr>
          <w:p>
            <w:r>
              <w:rPr>
                <w:sz w:val="20"/>
              </w:rPr>
              <w:t>Secret management</w:t>
            </w:r>
          </w:p>
        </w:tc>
        <w:tc>
          <w:tcPr>
            <w:tcW w:type="dxa" w:w="7200"/>
            <w:shd w:val="clear" w:color="auto" w:fill="FFFFFF"/>
          </w:tcPr>
          <w:p>
            <w:r>
              <w:rPr>
                <w:sz w:val="20"/>
              </w:rPr>
              <w:t>OPENAI_API_KEY via .env — never hardcoded</w:t>
            </w:r>
          </w:p>
        </w:tc>
      </w:tr>
    </w:tbl>
    <w:p/>
    <w:p>
      <w:r>
        <w:br w:type="page"/>
      </w:r>
    </w:p>
    <w:p>
      <w:pPr>
        <w:pStyle w:val="Heading1"/>
      </w:pPr>
      <w:r>
        <w:rPr>
          <w:b/>
          <w:color w:val="0E3A6E"/>
          <w:sz w:val="40"/>
        </w:rPr>
        <w:t>8. Conclusion</w:t>
      </w:r>
    </w:p>
    <w:p>
      <w:r>
        <w:t>This capstone project delivered a full end-to-end ML pipeline for network traffic anomaly detection.</w:t>
      </w:r>
    </w:p>
    <w:p>
      <w:pPr>
        <w:pStyle w:val="ListBullet"/>
      </w:pPr>
      <w:r>
        <w:rPr>
          <w:b/>
          <w:color w:val="0E3A6E"/>
        </w:rPr>
        <w:t xml:space="preserve">Best model (XGBoost): </w:t>
      </w:r>
      <w:r>
        <w:t>F1=0.993, AUC-ROC=0.999 — exceeds all target metrics</w:t>
      </w:r>
    </w:p>
    <w:p>
      <w:pPr>
        <w:pStyle w:val="ListBullet"/>
      </w:pPr>
      <w:r>
        <w:rPr>
          <w:b/>
          <w:color w:val="0E3A6E"/>
        </w:rPr>
        <w:t xml:space="preserve">5 models implemented: </w:t>
      </w:r>
      <w:r>
        <w:t>Supervised and unsupervised approaches compared</w:t>
      </w:r>
    </w:p>
    <w:p>
      <w:pPr>
        <w:pStyle w:val="ListBullet"/>
      </w:pPr>
      <w:r>
        <w:rPr>
          <w:b/>
          <w:color w:val="0E3A6E"/>
        </w:rPr>
        <w:t xml:space="preserve">Explainability: </w:t>
      </w:r>
      <w:r>
        <w:t>SHAP confirms model decisions align with security domain knowledge</w:t>
      </w:r>
    </w:p>
    <w:p>
      <w:pPr>
        <w:pStyle w:val="ListBullet"/>
      </w:pPr>
      <w:r>
        <w:rPr>
          <w:b/>
          <w:color w:val="0E3A6E"/>
        </w:rPr>
        <w:t xml:space="preserve">Bias audit: </w:t>
      </w:r>
      <w:r>
        <w:t>No significant fairness concerns across traffic subgroups</w:t>
      </w:r>
    </w:p>
    <w:p>
      <w:pPr>
        <w:pStyle w:val="ListBullet"/>
      </w:pPr>
      <w:r>
        <w:rPr>
          <w:b/>
          <w:color w:val="0E3A6E"/>
        </w:rPr>
        <w:t xml:space="preserve">FastAPI deployment: </w:t>
      </w:r>
      <w:r>
        <w:t>Real-time inference at &lt;1ms latency</w:t>
      </w:r>
    </w:p>
    <w:p/>
    <w:p>
      <w:r>
        <w:rPr>
          <w:b/>
          <w:color w:val="0E3A6E"/>
        </w:rPr>
        <w:t>Business Impact</w:t>
      </w:r>
    </w:p>
    <w:p>
      <w:r>
        <w:t>At a 0.7% FPR, an enterprise processing 1 million connections per day would receive ~7,000 false alerts vs. ~50,000 from a typical signature IDS — a 6× reduction in alert fatigue, enabling SOC teams to focus on genuine threats.</w:t>
      </w:r>
    </w:p>
    <w:p>
      <w:r>
        <w:br w:type="page"/>
      </w:r>
    </w:p>
    <w:p>
      <w:pPr>
        <w:pStyle w:val="Heading1"/>
      </w:pPr>
      <w:r>
        <w:rPr>
          <w:b/>
          <w:color w:val="0E3A6E"/>
          <w:sz w:val="40"/>
        </w:rPr>
        <w:t>9. Generative AI Usage</w:t>
      </w:r>
    </w:p>
    <w:tbl>
      <w:tblPr>
        <w:tblStyle w:val="TableGrid"/>
        <w:tblW w:type="auto" w:w="0"/>
        <w:tblLook w:firstColumn="1" w:firstRow="1" w:lastColumn="0" w:lastRow="0" w:noHBand="0" w:noVBand="1" w:val="04A0"/>
      </w:tblPr>
      <w:tblGrid>
        <w:gridCol w:w="3041"/>
        <w:gridCol w:w="3041"/>
        <w:gridCol w:w="3041"/>
      </w:tblGrid>
      <w:tr>
        <w:tc>
          <w:tcPr>
            <w:tcW w:type="dxa" w:w="2592"/>
            <w:shd w:val="clear" w:color="auto" w:fill="0E4D92"/>
          </w:tcPr>
          <w:p>
            <w:pPr>
              <w:jc w:val="center"/>
            </w:pPr>
            <w:r>
              <w:rPr>
                <w:b/>
                <w:color w:val="FFFFFF"/>
                <w:sz w:val="20"/>
              </w:rPr>
              <w:t>Tool</w:t>
            </w:r>
          </w:p>
        </w:tc>
        <w:tc>
          <w:tcPr>
            <w:tcW w:type="dxa" w:w="4032"/>
            <w:shd w:val="clear" w:color="auto" w:fill="0E4D92"/>
          </w:tcPr>
          <w:p>
            <w:pPr>
              <w:jc w:val="center"/>
            </w:pPr>
            <w:r>
              <w:rPr>
                <w:b/>
                <w:color w:val="FFFFFF"/>
                <w:sz w:val="20"/>
              </w:rPr>
              <w:t>Usage</w:t>
            </w:r>
          </w:p>
        </w:tc>
        <w:tc>
          <w:tcPr>
            <w:tcW w:type="dxa" w:w="3744"/>
            <w:shd w:val="clear" w:color="auto" w:fill="0E4D92"/>
          </w:tcPr>
          <w:p>
            <w:pPr>
              <w:jc w:val="center"/>
            </w:pPr>
            <w:r>
              <w:rPr>
                <w:b/>
                <w:color w:val="FFFFFF"/>
                <w:sz w:val="20"/>
              </w:rPr>
              <w:t>Verification</w:t>
            </w:r>
          </w:p>
        </w:tc>
      </w:tr>
      <w:tr>
        <w:tc>
          <w:tcPr>
            <w:tcW w:type="dxa" w:w="2592"/>
            <w:shd w:val="clear" w:color="auto" w:fill="EAF1FB"/>
          </w:tcPr>
          <w:p>
            <w:r>
              <w:rPr>
                <w:sz w:val="20"/>
              </w:rPr>
              <w:t>GitHub Copilot</w:t>
            </w:r>
          </w:p>
        </w:tc>
        <w:tc>
          <w:tcPr>
            <w:tcW w:type="dxa" w:w="4032"/>
            <w:shd w:val="clear" w:color="auto" w:fill="EAF1FB"/>
          </w:tcPr>
          <w:p>
            <w:r>
              <w:rPr>
                <w:sz w:val="20"/>
              </w:rPr>
              <w:t>Boilerplate code (sklearn pipelines, FastAPI schema), docstring suggestions</w:t>
            </w:r>
          </w:p>
        </w:tc>
        <w:tc>
          <w:tcPr>
            <w:tcW w:type="dxa" w:w="3744"/>
            <w:shd w:val="clear" w:color="auto" w:fill="EAF1FB"/>
          </w:tcPr>
          <w:p>
            <w:r>
              <w:rPr>
                <w:sz w:val="20"/>
              </w:rPr>
              <w:t>All code reviewed and tested; logic modified to match project requirements</w:t>
            </w:r>
          </w:p>
        </w:tc>
      </w:tr>
      <w:tr>
        <w:tc>
          <w:tcPr>
            <w:tcW w:type="dxa" w:w="2592"/>
            <w:shd w:val="clear" w:color="auto" w:fill="FFFFFF"/>
          </w:tcPr>
          <w:p>
            <w:r>
              <w:rPr>
                <w:sz w:val="20"/>
              </w:rPr>
              <w:t>GPT-4</w:t>
            </w:r>
          </w:p>
        </w:tc>
        <w:tc>
          <w:tcPr>
            <w:tcW w:type="dxa" w:w="4032"/>
            <w:shd w:val="clear" w:color="auto" w:fill="FFFFFF"/>
          </w:tcPr>
          <w:p>
            <w:r>
              <w:rPr>
                <w:sz w:val="20"/>
              </w:rPr>
              <w:t>Generated initial EDA summary text and data dictionary descriptions</w:t>
            </w:r>
          </w:p>
        </w:tc>
        <w:tc>
          <w:tcPr>
            <w:tcW w:type="dxa" w:w="3744"/>
            <w:shd w:val="clear" w:color="auto" w:fill="FFFFFF"/>
          </w:tcPr>
          <w:p>
            <w:r>
              <w:rPr>
                <w:sz w:val="20"/>
              </w:rPr>
              <w:t>Content verified against actual dataset statistics; all figures re-run from code</w:t>
            </w:r>
          </w:p>
        </w:tc>
      </w:tr>
      <w:tr>
        <w:tc>
          <w:tcPr>
            <w:tcW w:type="dxa" w:w="2592"/>
            <w:shd w:val="clear" w:color="auto" w:fill="EAF1FB"/>
          </w:tcPr>
          <w:p>
            <w:r>
              <w:rPr>
                <w:sz w:val="20"/>
              </w:rPr>
              <w:t>OpenAI GPT-4o-mini</w:t>
            </w:r>
          </w:p>
        </w:tc>
        <w:tc>
          <w:tcPr>
            <w:tcW w:type="dxa" w:w="4032"/>
            <w:shd w:val="clear" w:color="auto" w:fill="EAF1FB"/>
          </w:tcPr>
          <w:p>
            <w:r>
              <w:rPr>
                <w:sz w:val="20"/>
              </w:rPr>
              <w:t>Real-time SOC analyst explanations (built into Streamlit UI)</w:t>
            </w:r>
          </w:p>
        </w:tc>
        <w:tc>
          <w:tcPr>
            <w:tcW w:type="dxa" w:w="3744"/>
            <w:shd w:val="clear" w:color="auto" w:fill="EAF1FB"/>
          </w:tcPr>
          <w:p>
            <w:r>
              <w:rPr>
                <w:sz w:val="20"/>
              </w:rPr>
              <w:t>Prompt-engineered to use validated model output only; no hallucinated statistics</w:t>
            </w:r>
          </w:p>
        </w:tc>
      </w:tr>
    </w:tbl>
    <w:p/>
    <w:p>
      <w:pPr>
        <w:pStyle w:val="Heading2"/>
      </w:pPr>
      <w:r>
        <w:rPr>
          <w:color w:val="0E4D92"/>
          <w:sz w:val="32"/>
        </w:rPr>
        <w:t>9.1 GenAI-Enhanced Feature: AI Analyst Explainer</w:t>
      </w:r>
    </w:p>
    <w:p>
      <w:r>
        <w:t>src/genai_explainer.py implements a live LLM-powered explanation layer wired into the Streamlit UI. After each prediction, the user can expand the 'AI Analyst Explanation' panel to receive a plain-English security briefing generated by GPT-4o-mini.</w:t>
      </w:r>
    </w:p>
    <w:p>
      <w:pPr>
        <w:pStyle w:val="Heading3"/>
      </w:pPr>
      <w:r>
        <w:rPr>
          <w:color w:val="006B7F"/>
          <w:sz w:val="28"/>
        </w:rPr>
        <w:t>Example Output — DoS Attack (Neptune):</w:t>
      </w:r>
    </w:p>
    <w:p>
      <w:pPr>
        <w:ind w:left="576"/>
      </w:pPr>
      <w:r>
        <w:rPr>
          <w:i/>
          <w:color w:val="0E3A6E"/>
        </w:rPr>
        <w:t>"This connection shows all hallmarks of a Neptune SYN flood: 511 connection attempts to the same HTTP service with a 100% SYN error rate and zero bytes transferred in either direction, indicating no TCP handshake was ever completed. The SOC analyst should immediately isolate the source IP, escalate to Tier 2, and apply a temporary block rule on the firewall."</w:t>
      </w:r>
    </w:p>
    <w:p>
      <w:pPr>
        <w:pStyle w:val="Heading2"/>
      </w:pPr>
      <w:r>
        <w:rPr>
          <w:color w:val="0E4D92"/>
          <w:sz w:val="32"/>
        </w:rPr>
        <w:t>9.2 Responsible AI Use</w:t>
      </w:r>
    </w:p>
    <w:p>
      <w:pPr>
        <w:pStyle w:val="ListBullet"/>
      </w:pPr>
      <w:r>
        <w:t>No AI-generated code was used without understanding and verification</w:t>
      </w:r>
    </w:p>
    <w:p>
      <w:pPr>
        <w:pStyle w:val="ListBullet"/>
      </w:pPr>
      <w:r>
        <w:t>All statistical claims were validated against actual notebook output</w:t>
      </w:r>
    </w:p>
    <w:p>
      <w:pPr>
        <w:pStyle w:val="ListBullet"/>
      </w:pPr>
      <w:r>
        <w:t>AI suggestions were treated as starting points, not final answers</w:t>
      </w:r>
    </w:p>
    <w:p>
      <w:pPr>
        <w:pStyle w:val="ListBullet"/>
      </w:pPr>
      <w:r>
        <w:t>Security-critical code (app.py input validation) was written manually and reviewed for OWASP issues</w:t>
      </w:r>
    </w:p>
    <w:p>
      <w:pPr>
        <w:pStyle w:val="ListBullet"/>
      </w:pPr>
      <w:r>
        <w:t>The LLM explanation prompt operates on model-validated data only — cannot fabricate statistics</w:t>
      </w:r>
    </w:p>
    <w:p>
      <w:pPr>
        <w:pStyle w:val="Heading4"/>
      </w:pPr>
      <w:r>
        <w:rPr>
          <w:color w:val="336699"/>
          <w:sz w:val="24"/>
        </w:rPr>
        <w:t>What was NOT generated by AI:</w:t>
      </w:r>
    </w:p>
    <w:p>
      <w:pPr>
        <w:pStyle w:val="ListBullet"/>
      </w:pPr>
      <w:r>
        <w:t>Model architecture decisions</w:t>
      </w:r>
    </w:p>
    <w:p>
      <w:pPr>
        <w:pStyle w:val="ListBullet"/>
      </w:pPr>
      <w:r>
        <w:t>Feature engineering domain logic (security expertise applied)</w:t>
      </w:r>
    </w:p>
    <w:p>
      <w:pPr>
        <w:pStyle w:val="ListBullet"/>
      </w:pPr>
      <w:r>
        <w:t>Bias audit framework design</w:t>
      </w:r>
    </w:p>
    <w:p>
      <w:pPr>
        <w:pStyle w:val="ListBullet"/>
      </w:pPr>
      <w:r>
        <w:t>Business KPI calculations</w:t>
      </w:r>
    </w:p>
    <w:p/>
    <w:p>
      <w:pPr>
        <w:jc w:val="center"/>
      </w:pPr>
      <w:r>
        <w:rPr>
          <w:i/>
          <w:color w:val="888888"/>
          <w:sz w:val="18"/>
        </w:rPr>
        <w:t>Report prepared in accordance with Pillar 5 Capstone instructions.</w:t>
        <w:br/>
        <w:t>All code is reproducible — run notebooks 01–06 in sequence after pip install -r requirements.txt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