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42F7" w14:textId="77777777" w:rsidR="004B3003" w:rsidRDefault="00000000">
      <w:pPr>
        <w:spacing w:before="60"/>
        <w:ind w:right="357"/>
        <w:jc w:val="center"/>
        <w:rPr>
          <w:b/>
          <w:sz w:val="44"/>
        </w:rPr>
      </w:pPr>
      <w:r>
        <w:rPr>
          <w:b/>
          <w:sz w:val="44"/>
        </w:rPr>
        <w:t>ECON</w:t>
      </w:r>
      <w:r>
        <w:rPr>
          <w:b/>
          <w:spacing w:val="-4"/>
          <w:sz w:val="44"/>
        </w:rPr>
        <w:t xml:space="preserve"> F412</w:t>
      </w:r>
    </w:p>
    <w:p w14:paraId="7AC2DDEF" w14:textId="77777777" w:rsidR="004B3003" w:rsidRDefault="00000000">
      <w:pPr>
        <w:spacing w:before="76" w:line="276" w:lineRule="auto"/>
        <w:ind w:left="1297" w:right="1533"/>
        <w:jc w:val="center"/>
        <w:rPr>
          <w:b/>
          <w:sz w:val="44"/>
        </w:rPr>
      </w:pPr>
      <w:r>
        <w:rPr>
          <w:b/>
          <w:sz w:val="44"/>
        </w:rPr>
        <w:t>Securities</w:t>
      </w:r>
      <w:r>
        <w:rPr>
          <w:b/>
          <w:spacing w:val="-13"/>
          <w:sz w:val="44"/>
        </w:rPr>
        <w:t xml:space="preserve"> </w:t>
      </w:r>
      <w:r>
        <w:rPr>
          <w:b/>
          <w:sz w:val="44"/>
        </w:rPr>
        <w:t>Analysis</w:t>
      </w:r>
      <w:r>
        <w:rPr>
          <w:b/>
          <w:spacing w:val="-13"/>
          <w:sz w:val="44"/>
        </w:rPr>
        <w:t xml:space="preserve"> </w:t>
      </w:r>
      <w:r>
        <w:rPr>
          <w:b/>
          <w:sz w:val="44"/>
        </w:rPr>
        <w:t>and</w:t>
      </w:r>
      <w:r>
        <w:rPr>
          <w:b/>
          <w:spacing w:val="-13"/>
          <w:sz w:val="44"/>
        </w:rPr>
        <w:t xml:space="preserve"> </w:t>
      </w:r>
      <w:r>
        <w:rPr>
          <w:b/>
          <w:sz w:val="44"/>
        </w:rPr>
        <w:t xml:space="preserve">Portfolio </w:t>
      </w:r>
      <w:r>
        <w:rPr>
          <w:b/>
          <w:spacing w:val="-2"/>
          <w:sz w:val="44"/>
        </w:rPr>
        <w:t>Management</w:t>
      </w:r>
    </w:p>
    <w:p w14:paraId="20C922B8" w14:textId="77777777" w:rsidR="004B3003" w:rsidRDefault="00000000">
      <w:pPr>
        <w:spacing w:line="276" w:lineRule="auto"/>
        <w:ind w:left="1297" w:right="1655"/>
        <w:jc w:val="center"/>
        <w:rPr>
          <w:b/>
          <w:sz w:val="44"/>
        </w:rPr>
      </w:pPr>
      <w:r>
        <w:rPr>
          <w:b/>
          <w:sz w:val="44"/>
        </w:rPr>
        <w:t>Prof.</w:t>
      </w:r>
      <w:r>
        <w:rPr>
          <w:b/>
          <w:spacing w:val="-21"/>
          <w:sz w:val="44"/>
        </w:rPr>
        <w:t xml:space="preserve"> </w:t>
      </w:r>
      <w:r>
        <w:rPr>
          <w:b/>
          <w:sz w:val="44"/>
        </w:rPr>
        <w:t>C.</w:t>
      </w:r>
      <w:r>
        <w:rPr>
          <w:b/>
          <w:spacing w:val="-21"/>
          <w:sz w:val="44"/>
        </w:rPr>
        <w:t xml:space="preserve"> </w:t>
      </w:r>
      <w:r>
        <w:rPr>
          <w:b/>
          <w:sz w:val="44"/>
        </w:rPr>
        <w:t>Hussain</w:t>
      </w:r>
      <w:r>
        <w:rPr>
          <w:b/>
          <w:spacing w:val="-21"/>
          <w:sz w:val="44"/>
        </w:rPr>
        <w:t xml:space="preserve"> </w:t>
      </w:r>
      <w:r>
        <w:rPr>
          <w:b/>
          <w:sz w:val="44"/>
        </w:rPr>
        <w:t>Yaganti Summer Term: 2024-25</w:t>
      </w:r>
    </w:p>
    <w:p w14:paraId="5F45C149" w14:textId="77777777" w:rsidR="004B3003" w:rsidRDefault="004B3003">
      <w:pPr>
        <w:pStyle w:val="BodyText"/>
        <w:rPr>
          <w:b/>
          <w:sz w:val="20"/>
        </w:rPr>
      </w:pPr>
    </w:p>
    <w:p w14:paraId="12150290" w14:textId="77777777" w:rsidR="004B3003" w:rsidRDefault="00000000">
      <w:pPr>
        <w:pStyle w:val="BodyText"/>
        <w:spacing w:before="117"/>
        <w:rPr>
          <w:b/>
          <w:sz w:val="20"/>
        </w:rPr>
      </w:pPr>
      <w:r>
        <w:rPr>
          <w:b/>
          <w:noProof/>
          <w:sz w:val="20"/>
        </w:rPr>
        <w:drawing>
          <wp:anchor distT="0" distB="0" distL="0" distR="0" simplePos="0" relativeHeight="487587840" behindDoc="1" locked="0" layoutInCell="1" allowOverlap="1" wp14:anchorId="6946684E" wp14:editId="4D1C6B0D">
            <wp:simplePos x="0" y="0"/>
            <wp:positionH relativeFrom="page">
              <wp:posOffset>2699813</wp:posOffset>
            </wp:positionH>
            <wp:positionV relativeFrom="paragraph">
              <wp:posOffset>236160</wp:posOffset>
            </wp:positionV>
            <wp:extent cx="2373036" cy="326440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73036" cy="3264408"/>
                    </a:xfrm>
                    <a:prstGeom prst="rect">
                      <a:avLst/>
                    </a:prstGeom>
                  </pic:spPr>
                </pic:pic>
              </a:graphicData>
            </a:graphic>
          </wp:anchor>
        </w:drawing>
      </w:r>
    </w:p>
    <w:p w14:paraId="4B0FF726" w14:textId="77777777" w:rsidR="004B3003" w:rsidRDefault="004B3003">
      <w:pPr>
        <w:pStyle w:val="BodyText"/>
        <w:rPr>
          <w:b/>
          <w:sz w:val="44"/>
        </w:rPr>
      </w:pPr>
    </w:p>
    <w:p w14:paraId="3E89466B" w14:textId="77777777" w:rsidR="004B3003" w:rsidRDefault="004B3003">
      <w:pPr>
        <w:pStyle w:val="BodyText"/>
        <w:spacing w:before="139"/>
        <w:rPr>
          <w:b/>
          <w:sz w:val="44"/>
        </w:rPr>
      </w:pPr>
    </w:p>
    <w:p w14:paraId="335F5A01" w14:textId="77777777" w:rsidR="004B3003" w:rsidRDefault="00000000">
      <w:pPr>
        <w:spacing w:before="1"/>
        <w:rPr>
          <w:b/>
          <w:sz w:val="40"/>
        </w:rPr>
      </w:pPr>
      <w:r>
        <w:rPr>
          <w:b/>
          <w:sz w:val="40"/>
          <w:u w:val="single"/>
        </w:rPr>
        <w:t>Group</w:t>
      </w:r>
      <w:r>
        <w:rPr>
          <w:b/>
          <w:spacing w:val="-7"/>
          <w:sz w:val="40"/>
          <w:u w:val="single"/>
        </w:rPr>
        <w:t xml:space="preserve"> </w:t>
      </w:r>
      <w:r>
        <w:rPr>
          <w:b/>
          <w:sz w:val="40"/>
          <w:u w:val="single"/>
        </w:rPr>
        <w:t>Members</w:t>
      </w:r>
      <w:r>
        <w:rPr>
          <w:b/>
          <w:spacing w:val="-4"/>
          <w:sz w:val="40"/>
          <w:u w:val="single"/>
        </w:rPr>
        <w:t xml:space="preserve"> </w:t>
      </w:r>
      <w:r>
        <w:rPr>
          <w:b/>
          <w:sz w:val="40"/>
          <w:u w:val="single"/>
        </w:rPr>
        <w:t>and</w:t>
      </w:r>
      <w:r>
        <w:rPr>
          <w:b/>
          <w:spacing w:val="-4"/>
          <w:sz w:val="40"/>
          <w:u w:val="single"/>
        </w:rPr>
        <w:t xml:space="preserve"> </w:t>
      </w:r>
      <w:r>
        <w:rPr>
          <w:b/>
          <w:sz w:val="40"/>
          <w:u w:val="single"/>
        </w:rPr>
        <w:t>ID</w:t>
      </w:r>
      <w:r>
        <w:rPr>
          <w:b/>
          <w:spacing w:val="-4"/>
          <w:sz w:val="40"/>
          <w:u w:val="single"/>
        </w:rPr>
        <w:t xml:space="preserve"> </w:t>
      </w:r>
      <w:r>
        <w:rPr>
          <w:b/>
          <w:spacing w:val="-2"/>
          <w:sz w:val="40"/>
          <w:u w:val="single"/>
        </w:rPr>
        <w:t>Numbers</w:t>
      </w:r>
    </w:p>
    <w:p w14:paraId="6C0C97C0" w14:textId="77777777" w:rsidR="004B3003" w:rsidRDefault="004B3003">
      <w:pPr>
        <w:pStyle w:val="BodyText"/>
        <w:spacing w:before="137"/>
        <w:rPr>
          <w:b/>
          <w:sz w:val="40"/>
        </w:rPr>
      </w:pPr>
    </w:p>
    <w:p w14:paraId="3A269437" w14:textId="34EA203B" w:rsidR="004B3003" w:rsidRDefault="00000000">
      <w:pPr>
        <w:pStyle w:val="ListParagraph"/>
        <w:numPr>
          <w:ilvl w:val="0"/>
          <w:numId w:val="13"/>
        </w:numPr>
        <w:tabs>
          <w:tab w:val="left" w:pos="718"/>
        </w:tabs>
        <w:spacing w:before="1"/>
        <w:ind w:left="718" w:hanging="358"/>
        <w:jc w:val="left"/>
        <w:rPr>
          <w:b/>
          <w:sz w:val="40"/>
          <w:u w:val="single"/>
        </w:rPr>
      </w:pPr>
      <w:r>
        <w:rPr>
          <w:b/>
          <w:sz w:val="40"/>
        </w:rPr>
        <w:t>L</w:t>
      </w:r>
      <w:r w:rsidR="00EE721F">
        <w:rPr>
          <w:b/>
          <w:sz w:val="40"/>
        </w:rPr>
        <w:t>alitha Sreeja Bulusu</w:t>
      </w:r>
      <w:r>
        <w:rPr>
          <w:b/>
          <w:spacing w:val="-5"/>
          <w:sz w:val="40"/>
        </w:rPr>
        <w:t xml:space="preserve"> </w:t>
      </w:r>
      <w:r>
        <w:rPr>
          <w:b/>
          <w:sz w:val="40"/>
        </w:rPr>
        <w:t>-</w:t>
      </w:r>
      <w:r>
        <w:rPr>
          <w:b/>
          <w:spacing w:val="-5"/>
          <w:sz w:val="40"/>
        </w:rPr>
        <w:t xml:space="preserve"> </w:t>
      </w:r>
      <w:r>
        <w:rPr>
          <w:b/>
          <w:spacing w:val="-2"/>
          <w:sz w:val="40"/>
        </w:rPr>
        <w:t>2022B2A</w:t>
      </w:r>
      <w:r w:rsidR="00EE721F">
        <w:rPr>
          <w:b/>
          <w:spacing w:val="-2"/>
          <w:sz w:val="40"/>
        </w:rPr>
        <w:t>11764H</w:t>
      </w:r>
      <w:r>
        <w:rPr>
          <w:b/>
          <w:spacing w:val="-2"/>
          <w:sz w:val="40"/>
        </w:rPr>
        <w:t>H</w:t>
      </w:r>
    </w:p>
    <w:p w14:paraId="7510D85F" w14:textId="2220C01A" w:rsidR="004B3003" w:rsidRDefault="00EE721F">
      <w:pPr>
        <w:pStyle w:val="ListParagraph"/>
        <w:numPr>
          <w:ilvl w:val="0"/>
          <w:numId w:val="13"/>
        </w:numPr>
        <w:tabs>
          <w:tab w:val="left" w:pos="718"/>
        </w:tabs>
        <w:spacing w:before="68"/>
        <w:ind w:left="718" w:hanging="358"/>
        <w:jc w:val="left"/>
        <w:rPr>
          <w:b/>
          <w:sz w:val="40"/>
          <w:u w:val="single"/>
        </w:rPr>
      </w:pPr>
      <w:r>
        <w:rPr>
          <w:b/>
          <w:sz w:val="40"/>
        </w:rPr>
        <w:t xml:space="preserve">Sai Sri Koushika </w:t>
      </w:r>
      <w:proofErr w:type="spellStart"/>
      <w:r>
        <w:rPr>
          <w:b/>
          <w:sz w:val="40"/>
        </w:rPr>
        <w:t>Kankanala</w:t>
      </w:r>
      <w:proofErr w:type="spellEnd"/>
      <w:r w:rsidR="00000000">
        <w:rPr>
          <w:b/>
          <w:sz w:val="40"/>
        </w:rPr>
        <w:t>-</w:t>
      </w:r>
      <w:r w:rsidR="00000000">
        <w:rPr>
          <w:b/>
          <w:spacing w:val="-7"/>
          <w:sz w:val="40"/>
        </w:rPr>
        <w:t xml:space="preserve"> </w:t>
      </w:r>
      <w:r w:rsidR="00000000">
        <w:rPr>
          <w:b/>
          <w:spacing w:val="-2"/>
          <w:sz w:val="40"/>
        </w:rPr>
        <w:t>2022B3A</w:t>
      </w:r>
      <w:r>
        <w:rPr>
          <w:b/>
          <w:spacing w:val="-2"/>
          <w:sz w:val="40"/>
        </w:rPr>
        <w:t>2</w:t>
      </w:r>
      <w:r w:rsidR="00000000">
        <w:rPr>
          <w:b/>
          <w:spacing w:val="-2"/>
          <w:sz w:val="40"/>
        </w:rPr>
        <w:t>0</w:t>
      </w:r>
      <w:r>
        <w:rPr>
          <w:b/>
          <w:spacing w:val="-2"/>
          <w:sz w:val="40"/>
        </w:rPr>
        <w:t>771</w:t>
      </w:r>
      <w:r w:rsidR="00000000">
        <w:rPr>
          <w:b/>
          <w:spacing w:val="-2"/>
          <w:sz w:val="40"/>
        </w:rPr>
        <w:t>H</w:t>
      </w:r>
    </w:p>
    <w:p w14:paraId="22499EE9" w14:textId="77777777" w:rsidR="004B3003" w:rsidRDefault="004B3003">
      <w:pPr>
        <w:pStyle w:val="ListParagraph"/>
        <w:rPr>
          <w:b/>
          <w:sz w:val="40"/>
        </w:rPr>
        <w:sectPr w:rsidR="004B3003">
          <w:type w:val="continuous"/>
          <w:pgSz w:w="12240" w:h="15840"/>
          <w:pgMar w:top="1380" w:right="1080" w:bottom="280" w:left="1440" w:header="720" w:footer="720" w:gutter="0"/>
          <w:cols w:space="720"/>
        </w:sectPr>
      </w:pPr>
    </w:p>
    <w:p w14:paraId="7D6227C8" w14:textId="77777777" w:rsidR="004B3003" w:rsidRDefault="00000000">
      <w:pPr>
        <w:spacing w:before="60"/>
        <w:ind w:left="793"/>
        <w:rPr>
          <w:b/>
          <w:sz w:val="36"/>
        </w:rPr>
      </w:pPr>
      <w:r>
        <w:rPr>
          <w:b/>
          <w:sz w:val="36"/>
          <w:u w:val="single"/>
        </w:rPr>
        <w:lastRenderedPageBreak/>
        <w:t>PART</w:t>
      </w:r>
      <w:r>
        <w:rPr>
          <w:b/>
          <w:spacing w:val="-5"/>
          <w:sz w:val="36"/>
          <w:u w:val="single"/>
        </w:rPr>
        <w:t xml:space="preserve"> </w:t>
      </w:r>
      <w:r>
        <w:rPr>
          <w:b/>
          <w:sz w:val="36"/>
          <w:u w:val="single"/>
        </w:rPr>
        <w:t>A</w:t>
      </w:r>
      <w:r>
        <w:rPr>
          <w:b/>
          <w:spacing w:val="-4"/>
          <w:sz w:val="36"/>
        </w:rPr>
        <w:t xml:space="preserve"> </w:t>
      </w:r>
      <w:r>
        <w:rPr>
          <w:b/>
          <w:sz w:val="36"/>
        </w:rPr>
        <w:t>-</w:t>
      </w:r>
      <w:r>
        <w:rPr>
          <w:b/>
          <w:spacing w:val="-5"/>
          <w:sz w:val="36"/>
        </w:rPr>
        <w:t xml:space="preserve"> </w:t>
      </w:r>
      <w:r>
        <w:rPr>
          <w:b/>
          <w:sz w:val="36"/>
          <w:u w:val="single"/>
        </w:rPr>
        <w:t>Portfolio</w:t>
      </w:r>
      <w:r>
        <w:rPr>
          <w:b/>
          <w:spacing w:val="-4"/>
          <w:sz w:val="36"/>
          <w:u w:val="single"/>
        </w:rPr>
        <w:t xml:space="preserve"> </w:t>
      </w:r>
      <w:r>
        <w:rPr>
          <w:b/>
          <w:sz w:val="36"/>
          <w:u w:val="single"/>
        </w:rPr>
        <w:t>Selection</w:t>
      </w:r>
      <w:r>
        <w:rPr>
          <w:b/>
          <w:spacing w:val="-5"/>
          <w:sz w:val="36"/>
          <w:u w:val="single"/>
        </w:rPr>
        <w:t xml:space="preserve"> </w:t>
      </w:r>
      <w:r>
        <w:rPr>
          <w:b/>
          <w:sz w:val="36"/>
          <w:u w:val="single"/>
        </w:rPr>
        <w:t>and</w:t>
      </w:r>
      <w:r>
        <w:rPr>
          <w:b/>
          <w:spacing w:val="-4"/>
          <w:sz w:val="36"/>
          <w:u w:val="single"/>
        </w:rPr>
        <w:t xml:space="preserve"> </w:t>
      </w:r>
      <w:r>
        <w:rPr>
          <w:b/>
          <w:spacing w:val="-2"/>
          <w:sz w:val="36"/>
          <w:u w:val="single"/>
        </w:rPr>
        <w:t>Justification</w:t>
      </w:r>
    </w:p>
    <w:p w14:paraId="399D2D60" w14:textId="77777777" w:rsidR="004B3003" w:rsidRDefault="004B3003">
      <w:pPr>
        <w:pStyle w:val="BodyText"/>
        <w:spacing w:before="97"/>
        <w:rPr>
          <w:b/>
          <w:sz w:val="36"/>
        </w:rPr>
      </w:pPr>
    </w:p>
    <w:p w14:paraId="5DE29051" w14:textId="77777777" w:rsidR="004B3003" w:rsidRDefault="00000000">
      <w:pPr>
        <w:spacing w:after="44"/>
        <w:rPr>
          <w:sz w:val="34"/>
        </w:rPr>
      </w:pPr>
      <w:r>
        <w:rPr>
          <w:sz w:val="34"/>
        </w:rPr>
        <w:t>Portfolio</w:t>
      </w:r>
      <w:r>
        <w:rPr>
          <w:spacing w:val="-9"/>
          <w:sz w:val="34"/>
        </w:rPr>
        <w:t xml:space="preserve"> </w:t>
      </w:r>
      <w:r>
        <w:rPr>
          <w:sz w:val="34"/>
        </w:rPr>
        <w:t>Overview:</w:t>
      </w:r>
      <w:r>
        <w:rPr>
          <w:spacing w:val="-6"/>
          <w:sz w:val="34"/>
        </w:rPr>
        <w:t xml:space="preserve"> </w:t>
      </w:r>
      <w:r>
        <w:rPr>
          <w:sz w:val="34"/>
        </w:rPr>
        <w:t>Stocks</w:t>
      </w:r>
      <w:r>
        <w:rPr>
          <w:spacing w:val="-7"/>
          <w:sz w:val="34"/>
        </w:rPr>
        <w:t xml:space="preserve"> </w:t>
      </w:r>
      <w:r>
        <w:rPr>
          <w:sz w:val="34"/>
        </w:rPr>
        <w:t>and</w:t>
      </w:r>
      <w:r>
        <w:rPr>
          <w:spacing w:val="-6"/>
          <w:sz w:val="34"/>
        </w:rPr>
        <w:t xml:space="preserve"> </w:t>
      </w:r>
      <w:r>
        <w:rPr>
          <w:sz w:val="34"/>
        </w:rPr>
        <w:t>Their</w:t>
      </w:r>
      <w:r>
        <w:rPr>
          <w:spacing w:val="-6"/>
          <w:sz w:val="34"/>
        </w:rPr>
        <w:t xml:space="preserve"> </w:t>
      </w:r>
      <w:r>
        <w:rPr>
          <w:spacing w:val="-2"/>
          <w:sz w:val="34"/>
        </w:rPr>
        <w:t>Sectors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4B3003" w14:paraId="3CEF9193" w14:textId="77777777">
        <w:trPr>
          <w:trHeight w:val="599"/>
        </w:trPr>
        <w:tc>
          <w:tcPr>
            <w:tcW w:w="4680" w:type="dxa"/>
          </w:tcPr>
          <w:p w14:paraId="57C76876" w14:textId="77777777" w:rsidR="004B3003" w:rsidRDefault="00000000">
            <w:pPr>
              <w:pStyle w:val="TableParagraph"/>
              <w:spacing w:before="115"/>
              <w:ind w:left="0" w:right="0"/>
              <w:rPr>
                <w:sz w:val="34"/>
              </w:rPr>
            </w:pPr>
            <w:r>
              <w:rPr>
                <w:sz w:val="34"/>
              </w:rPr>
              <w:t>Apollo</w:t>
            </w:r>
            <w:r>
              <w:rPr>
                <w:spacing w:val="-6"/>
                <w:sz w:val="34"/>
              </w:rPr>
              <w:t xml:space="preserve"> </w:t>
            </w:r>
            <w:r>
              <w:rPr>
                <w:spacing w:val="-2"/>
                <w:sz w:val="34"/>
              </w:rPr>
              <w:t>Hospitals</w:t>
            </w:r>
          </w:p>
        </w:tc>
        <w:tc>
          <w:tcPr>
            <w:tcW w:w="4680" w:type="dxa"/>
          </w:tcPr>
          <w:p w14:paraId="17FF6C6F" w14:textId="77777777" w:rsidR="004B3003" w:rsidRDefault="00000000">
            <w:pPr>
              <w:pStyle w:val="TableParagraph"/>
              <w:spacing w:before="115"/>
              <w:ind w:left="0" w:right="0"/>
              <w:rPr>
                <w:sz w:val="34"/>
              </w:rPr>
            </w:pPr>
            <w:r>
              <w:rPr>
                <w:spacing w:val="-2"/>
                <w:sz w:val="34"/>
              </w:rPr>
              <w:t>Healthcare</w:t>
            </w:r>
          </w:p>
        </w:tc>
      </w:tr>
      <w:tr w:rsidR="004B3003" w14:paraId="6ED54BFE" w14:textId="77777777">
        <w:trPr>
          <w:trHeight w:val="600"/>
        </w:trPr>
        <w:tc>
          <w:tcPr>
            <w:tcW w:w="4680" w:type="dxa"/>
          </w:tcPr>
          <w:p w14:paraId="4DB09788" w14:textId="77777777" w:rsidR="004B3003" w:rsidRDefault="00000000">
            <w:pPr>
              <w:pStyle w:val="TableParagraph"/>
              <w:spacing w:before="111"/>
              <w:ind w:left="0" w:right="0"/>
              <w:rPr>
                <w:sz w:val="34"/>
              </w:rPr>
            </w:pPr>
            <w:r>
              <w:rPr>
                <w:sz w:val="34"/>
              </w:rPr>
              <w:t>Eicher</w:t>
            </w:r>
            <w:r>
              <w:rPr>
                <w:spacing w:val="-6"/>
                <w:sz w:val="34"/>
              </w:rPr>
              <w:t xml:space="preserve"> </w:t>
            </w:r>
            <w:r>
              <w:rPr>
                <w:spacing w:val="-2"/>
                <w:sz w:val="34"/>
              </w:rPr>
              <w:t>Motors</w:t>
            </w:r>
          </w:p>
        </w:tc>
        <w:tc>
          <w:tcPr>
            <w:tcW w:w="4680" w:type="dxa"/>
          </w:tcPr>
          <w:p w14:paraId="0AB2222A" w14:textId="18220E0D" w:rsidR="004B3003" w:rsidRDefault="00EE721F">
            <w:pPr>
              <w:pStyle w:val="TableParagraph"/>
              <w:spacing w:before="111"/>
              <w:ind w:left="0" w:right="0"/>
              <w:rPr>
                <w:sz w:val="34"/>
              </w:rPr>
            </w:pPr>
            <w:r>
              <w:rPr>
                <w:spacing w:val="-2"/>
                <w:sz w:val="34"/>
              </w:rPr>
              <w:t xml:space="preserve">Automobile </w:t>
            </w:r>
          </w:p>
        </w:tc>
      </w:tr>
      <w:tr w:rsidR="004B3003" w14:paraId="6FF194CD" w14:textId="77777777">
        <w:trPr>
          <w:trHeight w:val="600"/>
        </w:trPr>
        <w:tc>
          <w:tcPr>
            <w:tcW w:w="4680" w:type="dxa"/>
          </w:tcPr>
          <w:p w14:paraId="07D14BF5" w14:textId="612B9348" w:rsidR="004B3003" w:rsidRDefault="00EE721F" w:rsidP="00EE721F">
            <w:pPr>
              <w:pStyle w:val="TableParagraph"/>
              <w:spacing w:before="107"/>
              <w:ind w:left="0" w:right="0"/>
              <w:jc w:val="left"/>
              <w:rPr>
                <w:sz w:val="34"/>
              </w:rPr>
            </w:pPr>
            <w:r>
              <w:rPr>
                <w:sz w:val="34"/>
              </w:rPr>
              <w:t xml:space="preserve">                Axis Bank </w:t>
            </w:r>
          </w:p>
        </w:tc>
        <w:tc>
          <w:tcPr>
            <w:tcW w:w="4680" w:type="dxa"/>
          </w:tcPr>
          <w:p w14:paraId="035BB313" w14:textId="56691D4A" w:rsidR="004B3003" w:rsidRDefault="00EE721F" w:rsidP="00EE721F">
            <w:pPr>
              <w:pStyle w:val="TableParagraph"/>
              <w:spacing w:before="107"/>
              <w:ind w:left="0" w:right="0"/>
              <w:jc w:val="left"/>
              <w:rPr>
                <w:sz w:val="34"/>
              </w:rPr>
            </w:pPr>
            <w:r>
              <w:rPr>
                <w:sz w:val="34"/>
              </w:rPr>
              <w:t xml:space="preserve">                   Financial </w:t>
            </w:r>
          </w:p>
        </w:tc>
      </w:tr>
      <w:tr w:rsidR="004B3003" w14:paraId="04A8B839" w14:textId="77777777">
        <w:trPr>
          <w:trHeight w:val="580"/>
        </w:trPr>
        <w:tc>
          <w:tcPr>
            <w:tcW w:w="4680" w:type="dxa"/>
          </w:tcPr>
          <w:p w14:paraId="21E65F75" w14:textId="77777777" w:rsidR="004B3003" w:rsidRDefault="00000000">
            <w:pPr>
              <w:pStyle w:val="TableParagraph"/>
              <w:spacing w:before="103"/>
              <w:ind w:left="0" w:right="0"/>
              <w:rPr>
                <w:sz w:val="34"/>
              </w:rPr>
            </w:pPr>
            <w:r>
              <w:rPr>
                <w:sz w:val="34"/>
              </w:rPr>
              <w:t>Bharti</w:t>
            </w:r>
            <w:r>
              <w:rPr>
                <w:spacing w:val="-6"/>
                <w:sz w:val="34"/>
              </w:rPr>
              <w:t xml:space="preserve"> </w:t>
            </w:r>
            <w:r>
              <w:rPr>
                <w:spacing w:val="-2"/>
                <w:sz w:val="34"/>
              </w:rPr>
              <w:t>Airtel</w:t>
            </w:r>
          </w:p>
        </w:tc>
        <w:tc>
          <w:tcPr>
            <w:tcW w:w="4680" w:type="dxa"/>
          </w:tcPr>
          <w:p w14:paraId="1DE8BD09" w14:textId="77777777" w:rsidR="004B3003" w:rsidRDefault="00000000">
            <w:pPr>
              <w:pStyle w:val="TableParagraph"/>
              <w:spacing w:before="103"/>
              <w:ind w:left="0" w:right="0"/>
              <w:rPr>
                <w:sz w:val="34"/>
              </w:rPr>
            </w:pPr>
            <w:r>
              <w:rPr>
                <w:spacing w:val="-2"/>
                <w:sz w:val="34"/>
              </w:rPr>
              <w:t>Telecommunications</w:t>
            </w:r>
          </w:p>
        </w:tc>
      </w:tr>
    </w:tbl>
    <w:p w14:paraId="57B00DCA" w14:textId="77777777" w:rsidR="004B3003" w:rsidRDefault="004B3003">
      <w:pPr>
        <w:pStyle w:val="BodyText"/>
        <w:spacing w:before="353"/>
        <w:rPr>
          <w:sz w:val="34"/>
        </w:rPr>
      </w:pPr>
    </w:p>
    <w:p w14:paraId="180DE93C" w14:textId="77777777" w:rsidR="004B3003" w:rsidRDefault="00000000">
      <w:pPr>
        <w:pStyle w:val="Heading1"/>
        <w:rPr>
          <w:spacing w:val="-2"/>
        </w:rPr>
      </w:pPr>
      <w:bookmarkStart w:id="0" w:name="Why_Should_the_Portfolio_Be_Diversified?"/>
      <w:bookmarkEnd w:id="0"/>
      <w:r>
        <w:t>Why</w:t>
      </w:r>
      <w:r>
        <w:rPr>
          <w:spacing w:val="-7"/>
        </w:rPr>
        <w:t xml:space="preserve"> </w:t>
      </w:r>
      <w:r>
        <w:t>Should</w:t>
      </w:r>
      <w:r>
        <w:rPr>
          <w:spacing w:val="-5"/>
        </w:rPr>
        <w:t xml:space="preserve"> </w:t>
      </w:r>
      <w:r>
        <w:t>the</w:t>
      </w:r>
      <w:r>
        <w:rPr>
          <w:spacing w:val="-4"/>
        </w:rPr>
        <w:t xml:space="preserve"> </w:t>
      </w:r>
      <w:r>
        <w:t>Portfolio</w:t>
      </w:r>
      <w:r>
        <w:rPr>
          <w:spacing w:val="-5"/>
        </w:rPr>
        <w:t xml:space="preserve"> </w:t>
      </w:r>
      <w:r>
        <w:t>Be</w:t>
      </w:r>
      <w:r>
        <w:rPr>
          <w:spacing w:val="-4"/>
        </w:rPr>
        <w:t xml:space="preserve"> </w:t>
      </w:r>
      <w:r>
        <w:rPr>
          <w:spacing w:val="-2"/>
        </w:rPr>
        <w:t>Diversified?</w:t>
      </w:r>
    </w:p>
    <w:p w14:paraId="6F08A222" w14:textId="77777777" w:rsidR="00206F6C" w:rsidRDefault="00206F6C">
      <w:pPr>
        <w:pStyle w:val="Heading1"/>
        <w:rPr>
          <w:spacing w:val="-2"/>
        </w:rPr>
      </w:pPr>
    </w:p>
    <w:p w14:paraId="09951B22" w14:textId="77777777" w:rsidR="00206F6C" w:rsidRDefault="00206F6C">
      <w:pPr>
        <w:pStyle w:val="Heading1"/>
      </w:pPr>
    </w:p>
    <w:p w14:paraId="65C9E195" w14:textId="78418B0C" w:rsidR="00206F6C" w:rsidRPr="00206F6C" w:rsidRDefault="00206F6C" w:rsidP="00206F6C">
      <w:pPr>
        <w:spacing w:line="276" w:lineRule="auto"/>
        <w:rPr>
          <w:sz w:val="32"/>
          <w:lang w:val="en-IN"/>
        </w:rPr>
      </w:pPr>
      <w:r w:rsidRPr="00206F6C">
        <w:rPr>
          <w:sz w:val="32"/>
          <w:lang w:val="en-IN"/>
        </w:rPr>
        <w:t xml:space="preserve">To build a strong and relatively low-risk investment portfolio, </w:t>
      </w:r>
      <w:r w:rsidRPr="00206F6C">
        <w:rPr>
          <w:b/>
          <w:bCs/>
          <w:sz w:val="32"/>
          <w:lang w:val="en-IN"/>
        </w:rPr>
        <w:t>diversification is essential</w:t>
      </w:r>
      <w:r w:rsidRPr="00206F6C">
        <w:rPr>
          <w:sz w:val="32"/>
          <w:lang w:val="en-IN"/>
        </w:rPr>
        <w:t>. Spreading investments across various sectors</w:t>
      </w:r>
      <w:r>
        <w:rPr>
          <w:sz w:val="32"/>
          <w:lang w:val="en-IN"/>
        </w:rPr>
        <w:t xml:space="preserve"> </w:t>
      </w:r>
      <w:r w:rsidRPr="00206F6C">
        <w:rPr>
          <w:sz w:val="32"/>
          <w:lang w:val="en-IN"/>
        </w:rPr>
        <w:t xml:space="preserve">such as </w:t>
      </w:r>
      <w:r w:rsidRPr="00206F6C">
        <w:rPr>
          <w:b/>
          <w:bCs/>
          <w:sz w:val="32"/>
          <w:lang w:val="en-IN"/>
        </w:rPr>
        <w:t>healthcare (Apollo Hospitals), telecom (Bharti Airtel), financial services (Axis Bank), and automobiles (Eicher Motors)</w:t>
      </w:r>
      <w:r>
        <w:rPr>
          <w:sz w:val="32"/>
          <w:lang w:val="en-IN"/>
        </w:rPr>
        <w:t xml:space="preserve"> </w:t>
      </w:r>
      <w:r w:rsidRPr="00206F6C">
        <w:rPr>
          <w:sz w:val="32"/>
          <w:lang w:val="en-IN"/>
        </w:rPr>
        <w:t>helps minimize overexposure to any single industry.</w:t>
      </w:r>
    </w:p>
    <w:p w14:paraId="0CE00679" w14:textId="77777777" w:rsidR="00206F6C" w:rsidRPr="00206F6C" w:rsidRDefault="00206F6C" w:rsidP="00206F6C">
      <w:pPr>
        <w:spacing w:line="276" w:lineRule="auto"/>
        <w:rPr>
          <w:sz w:val="32"/>
          <w:lang w:val="en-IN"/>
        </w:rPr>
      </w:pPr>
      <w:r w:rsidRPr="00206F6C">
        <w:rPr>
          <w:sz w:val="32"/>
          <w:lang w:val="en-IN"/>
        </w:rPr>
        <w:t xml:space="preserve">Different sectors often react differently to economic shifts. For instance, if the </w:t>
      </w:r>
      <w:r w:rsidRPr="00206F6C">
        <w:rPr>
          <w:b/>
          <w:bCs/>
          <w:sz w:val="32"/>
          <w:lang w:val="en-IN"/>
        </w:rPr>
        <w:t>automobile sector</w:t>
      </w:r>
      <w:r w:rsidRPr="00206F6C">
        <w:rPr>
          <w:sz w:val="32"/>
          <w:lang w:val="en-IN"/>
        </w:rPr>
        <w:t xml:space="preserve"> faces headwinds due to rising fuel costs or interest rate hikes, sectors like </w:t>
      </w:r>
      <w:r w:rsidRPr="00206F6C">
        <w:rPr>
          <w:b/>
          <w:bCs/>
          <w:sz w:val="32"/>
          <w:lang w:val="en-IN"/>
        </w:rPr>
        <w:t>healthcare</w:t>
      </w:r>
      <w:r w:rsidRPr="00206F6C">
        <w:rPr>
          <w:sz w:val="32"/>
          <w:lang w:val="en-IN"/>
        </w:rPr>
        <w:t xml:space="preserve"> or </w:t>
      </w:r>
      <w:r w:rsidRPr="00206F6C">
        <w:rPr>
          <w:b/>
          <w:bCs/>
          <w:sz w:val="32"/>
          <w:lang w:val="en-IN"/>
        </w:rPr>
        <w:t>telecom</w:t>
      </w:r>
      <w:r w:rsidRPr="00206F6C">
        <w:rPr>
          <w:sz w:val="32"/>
          <w:lang w:val="en-IN"/>
        </w:rPr>
        <w:t xml:space="preserve"> may still deliver stable or even strong performance. This sectoral balance cushions the portfolio against volatility and helps maintain overall stability.</w:t>
      </w:r>
    </w:p>
    <w:p w14:paraId="0964F9C5" w14:textId="77777777" w:rsidR="00206F6C" w:rsidRPr="00206F6C" w:rsidRDefault="00206F6C" w:rsidP="00206F6C">
      <w:pPr>
        <w:spacing w:line="276" w:lineRule="auto"/>
        <w:rPr>
          <w:sz w:val="32"/>
          <w:lang w:val="en-IN"/>
        </w:rPr>
      </w:pPr>
      <w:r w:rsidRPr="00206F6C">
        <w:rPr>
          <w:sz w:val="32"/>
          <w:lang w:val="en-IN"/>
        </w:rPr>
        <w:t xml:space="preserve">Moreover, diversification ensures participation in </w:t>
      </w:r>
      <w:r w:rsidRPr="00206F6C">
        <w:rPr>
          <w:b/>
          <w:bCs/>
          <w:sz w:val="32"/>
          <w:lang w:val="en-IN"/>
        </w:rPr>
        <w:t>multiple growth stories</w:t>
      </w:r>
      <w:r w:rsidRPr="00206F6C">
        <w:rPr>
          <w:sz w:val="32"/>
          <w:lang w:val="en-IN"/>
        </w:rPr>
        <w:t xml:space="preserve">. The </w:t>
      </w:r>
      <w:r w:rsidRPr="00206F6C">
        <w:rPr>
          <w:b/>
          <w:bCs/>
          <w:sz w:val="32"/>
          <w:lang w:val="en-IN"/>
        </w:rPr>
        <w:t>healthcare sector</w:t>
      </w:r>
      <w:r w:rsidRPr="00206F6C">
        <w:rPr>
          <w:sz w:val="32"/>
          <w:lang w:val="en-IN"/>
        </w:rPr>
        <w:t xml:space="preserve"> continues to expand post-COVID, </w:t>
      </w:r>
      <w:r w:rsidRPr="00206F6C">
        <w:rPr>
          <w:b/>
          <w:bCs/>
          <w:sz w:val="32"/>
          <w:lang w:val="en-IN"/>
        </w:rPr>
        <w:t>telecom is accelerating with increased data usage and 5G adoption</w:t>
      </w:r>
      <w:r w:rsidRPr="00206F6C">
        <w:rPr>
          <w:sz w:val="32"/>
          <w:lang w:val="en-IN"/>
        </w:rPr>
        <w:t xml:space="preserve">, </w:t>
      </w:r>
      <w:proofErr w:type="spellStart"/>
      <w:r w:rsidRPr="00206F6C">
        <w:rPr>
          <w:b/>
          <w:bCs/>
          <w:sz w:val="32"/>
          <w:lang w:val="en-IN"/>
        </w:rPr>
        <w:t>defense</w:t>
      </w:r>
      <w:proofErr w:type="spellEnd"/>
      <w:r w:rsidRPr="00206F6C">
        <w:rPr>
          <w:b/>
          <w:bCs/>
          <w:sz w:val="32"/>
          <w:lang w:val="en-IN"/>
        </w:rPr>
        <w:t xml:space="preserve"> is gaining momentum with rising government support</w:t>
      </w:r>
      <w:r w:rsidRPr="00206F6C">
        <w:rPr>
          <w:sz w:val="32"/>
          <w:lang w:val="en-IN"/>
        </w:rPr>
        <w:t xml:space="preserve">, and the </w:t>
      </w:r>
      <w:r w:rsidRPr="00206F6C">
        <w:rPr>
          <w:b/>
          <w:bCs/>
          <w:sz w:val="32"/>
          <w:lang w:val="en-IN"/>
        </w:rPr>
        <w:t>auto industry is witnessing a recovery</w:t>
      </w:r>
      <w:r w:rsidRPr="00206F6C">
        <w:rPr>
          <w:sz w:val="32"/>
          <w:lang w:val="en-IN"/>
        </w:rPr>
        <w:t>. Investing across these growth-driven sectors enhances the portfolio’s potential to capture upside while navigating market uncertainties with greater resilience.</w:t>
      </w:r>
    </w:p>
    <w:p w14:paraId="31DFBCFF" w14:textId="77777777" w:rsidR="004B3003" w:rsidRDefault="004B3003">
      <w:pPr>
        <w:spacing w:line="276" w:lineRule="auto"/>
        <w:rPr>
          <w:sz w:val="32"/>
        </w:rPr>
        <w:sectPr w:rsidR="004B3003">
          <w:pgSz w:w="12240" w:h="15840"/>
          <w:pgMar w:top="1380" w:right="1080" w:bottom="280" w:left="1440" w:header="720" w:footer="720" w:gutter="0"/>
          <w:cols w:space="720"/>
        </w:sectPr>
      </w:pPr>
    </w:p>
    <w:p w14:paraId="6F6251AF" w14:textId="77777777" w:rsidR="004B3003" w:rsidRDefault="00000000">
      <w:pPr>
        <w:spacing w:before="60"/>
        <w:rPr>
          <w:sz w:val="32"/>
        </w:rPr>
      </w:pPr>
      <w:r>
        <w:rPr>
          <w:sz w:val="32"/>
        </w:rPr>
        <w:lastRenderedPageBreak/>
        <w:t>Reasons</w:t>
      </w:r>
      <w:r>
        <w:rPr>
          <w:spacing w:val="-7"/>
          <w:sz w:val="32"/>
        </w:rPr>
        <w:t xml:space="preserve"> </w:t>
      </w:r>
      <w:r>
        <w:rPr>
          <w:sz w:val="32"/>
        </w:rPr>
        <w:t>for</w:t>
      </w:r>
      <w:r>
        <w:rPr>
          <w:spacing w:val="-5"/>
          <w:sz w:val="32"/>
        </w:rPr>
        <w:t xml:space="preserve"> </w:t>
      </w:r>
      <w:r>
        <w:rPr>
          <w:sz w:val="32"/>
        </w:rPr>
        <w:t>selecting</w:t>
      </w:r>
      <w:r>
        <w:rPr>
          <w:spacing w:val="-5"/>
          <w:sz w:val="32"/>
        </w:rPr>
        <w:t xml:space="preserve"> </w:t>
      </w:r>
      <w:r>
        <w:rPr>
          <w:sz w:val="32"/>
        </w:rPr>
        <w:t>these</w:t>
      </w:r>
      <w:r>
        <w:rPr>
          <w:spacing w:val="-5"/>
          <w:sz w:val="32"/>
        </w:rPr>
        <w:t xml:space="preserve"> </w:t>
      </w:r>
      <w:r>
        <w:rPr>
          <w:sz w:val="32"/>
        </w:rPr>
        <w:t>stocks</w:t>
      </w:r>
      <w:r>
        <w:rPr>
          <w:spacing w:val="-5"/>
          <w:sz w:val="32"/>
        </w:rPr>
        <w:t xml:space="preserve"> </w:t>
      </w:r>
      <w:r>
        <w:rPr>
          <w:sz w:val="32"/>
        </w:rPr>
        <w:t>in</w:t>
      </w:r>
      <w:r>
        <w:rPr>
          <w:spacing w:val="-5"/>
          <w:sz w:val="32"/>
        </w:rPr>
        <w:t xml:space="preserve"> </w:t>
      </w:r>
      <w:r>
        <w:rPr>
          <w:sz w:val="32"/>
        </w:rPr>
        <w:t>our</w:t>
      </w:r>
      <w:r>
        <w:rPr>
          <w:spacing w:val="-5"/>
          <w:sz w:val="32"/>
        </w:rPr>
        <w:t xml:space="preserve"> </w:t>
      </w:r>
      <w:r>
        <w:rPr>
          <w:spacing w:val="-2"/>
          <w:sz w:val="32"/>
        </w:rPr>
        <w:t>portfolio:-</w:t>
      </w:r>
    </w:p>
    <w:p w14:paraId="29E4989E" w14:textId="77777777" w:rsidR="004B3003" w:rsidRDefault="00000000">
      <w:pPr>
        <w:pStyle w:val="Heading2"/>
        <w:numPr>
          <w:ilvl w:val="0"/>
          <w:numId w:val="12"/>
        </w:numPr>
        <w:tabs>
          <w:tab w:val="left" w:pos="718"/>
        </w:tabs>
        <w:spacing w:before="295"/>
        <w:ind w:left="718" w:hanging="358"/>
        <w:rPr>
          <w:u w:val="none"/>
        </w:rPr>
      </w:pPr>
      <w:r>
        <w:t>Apollo</w:t>
      </w:r>
      <w:r>
        <w:rPr>
          <w:spacing w:val="-6"/>
        </w:rPr>
        <w:t xml:space="preserve"> </w:t>
      </w:r>
      <w:r>
        <w:rPr>
          <w:spacing w:val="-2"/>
        </w:rPr>
        <w:t>Hospitals</w:t>
      </w:r>
    </w:p>
    <w:p w14:paraId="70FEFC86" w14:textId="77DC7DD5" w:rsidR="004B3003" w:rsidRPr="00F6253C" w:rsidRDefault="00000000" w:rsidP="00F6253C">
      <w:pPr>
        <w:pStyle w:val="Heading4"/>
        <w:numPr>
          <w:ilvl w:val="0"/>
          <w:numId w:val="11"/>
        </w:numPr>
        <w:tabs>
          <w:tab w:val="left" w:pos="242"/>
        </w:tabs>
        <w:spacing w:before="288"/>
        <w:ind w:left="242" w:hanging="242"/>
      </w:pPr>
      <w:r>
        <w:t>Industry</w:t>
      </w:r>
      <w:r>
        <w:rPr>
          <w:spacing w:val="-9"/>
        </w:rPr>
        <w:t xml:space="preserve"> </w:t>
      </w:r>
      <w:r>
        <w:t>Outlook:</w:t>
      </w:r>
      <w:r>
        <w:rPr>
          <w:spacing w:val="-8"/>
        </w:rPr>
        <w:t xml:space="preserve"> </w:t>
      </w:r>
      <w:r>
        <w:t>India's</w:t>
      </w:r>
      <w:r>
        <w:rPr>
          <w:spacing w:val="-8"/>
        </w:rPr>
        <w:t xml:space="preserve"> </w:t>
      </w:r>
      <w:r>
        <w:t>Healthcare</w:t>
      </w:r>
      <w:r w:rsidR="00F6253C">
        <w:rPr>
          <w:spacing w:val="-8"/>
        </w:rPr>
        <w:t xml:space="preserve"> Renaissance</w:t>
      </w:r>
    </w:p>
    <w:p w14:paraId="5267B343" w14:textId="77777777" w:rsidR="00F6253C" w:rsidRPr="00F6253C" w:rsidRDefault="00F6253C" w:rsidP="00F6253C">
      <w:pPr>
        <w:pStyle w:val="BodyText"/>
        <w:spacing w:before="240" w:line="276" w:lineRule="auto"/>
        <w:ind w:right="422"/>
        <w:rPr>
          <w:lang w:val="en-IN"/>
        </w:rPr>
      </w:pPr>
      <w:r w:rsidRPr="00F6253C">
        <w:rPr>
          <w:lang w:val="en-IN"/>
        </w:rPr>
        <w:t xml:space="preserve">India’s healthcare sector is undergoing a transformative boom, projected to grow at a </w:t>
      </w:r>
      <w:r w:rsidRPr="00F6253C">
        <w:rPr>
          <w:b/>
          <w:bCs/>
          <w:lang w:val="en-IN"/>
        </w:rPr>
        <w:t>~14% CAGR through 2030</w:t>
      </w:r>
      <w:r w:rsidRPr="00F6253C">
        <w:rPr>
          <w:lang w:val="en-IN"/>
        </w:rPr>
        <w:t>, driven by powerful structural tailwinds:</w:t>
      </w:r>
    </w:p>
    <w:p w14:paraId="6F54E794" w14:textId="77777777" w:rsidR="00F6253C" w:rsidRPr="00F6253C" w:rsidRDefault="00F6253C" w:rsidP="00F6253C">
      <w:pPr>
        <w:pStyle w:val="BodyText"/>
        <w:numPr>
          <w:ilvl w:val="0"/>
          <w:numId w:val="18"/>
        </w:numPr>
        <w:spacing w:before="240" w:line="276" w:lineRule="auto"/>
        <w:ind w:right="422"/>
        <w:rPr>
          <w:lang w:val="en-IN"/>
        </w:rPr>
      </w:pPr>
      <w:r w:rsidRPr="00F6253C">
        <w:rPr>
          <w:b/>
          <w:bCs/>
          <w:lang w:val="en-IN"/>
        </w:rPr>
        <w:t>Demographic Shifts</w:t>
      </w:r>
      <w:r w:rsidRPr="00F6253C">
        <w:rPr>
          <w:lang w:val="en-IN"/>
        </w:rPr>
        <w:t>: An aging population, rapid urbanization, and growing lifestyle-related illnesses are accelerating demand for quality healthcare.</w:t>
      </w:r>
    </w:p>
    <w:p w14:paraId="27451B98" w14:textId="7BA885A4" w:rsidR="00F6253C" w:rsidRPr="00F6253C" w:rsidRDefault="00F6253C" w:rsidP="00F6253C">
      <w:pPr>
        <w:pStyle w:val="BodyText"/>
        <w:numPr>
          <w:ilvl w:val="0"/>
          <w:numId w:val="18"/>
        </w:numPr>
        <w:spacing w:before="240" w:line="276" w:lineRule="auto"/>
        <w:ind w:right="422"/>
        <w:rPr>
          <w:lang w:val="en-IN"/>
        </w:rPr>
      </w:pPr>
      <w:r w:rsidRPr="00F6253C">
        <w:rPr>
          <w:b/>
          <w:bCs/>
          <w:lang w:val="en-IN"/>
        </w:rPr>
        <w:t>Economic &amp; Policy Levers</w:t>
      </w:r>
      <w:r w:rsidRPr="00F6253C">
        <w:rPr>
          <w:lang w:val="en-IN"/>
        </w:rPr>
        <w:t>: Rising per capita income and broader health insurance coverage</w:t>
      </w:r>
      <w:r>
        <w:rPr>
          <w:lang w:val="en-IN"/>
        </w:rPr>
        <w:t xml:space="preserve"> which is </w:t>
      </w:r>
      <w:r w:rsidRPr="00F6253C">
        <w:rPr>
          <w:lang w:val="en-IN"/>
        </w:rPr>
        <w:t xml:space="preserve">amplified by government schemes like </w:t>
      </w:r>
      <w:r w:rsidRPr="00F6253C">
        <w:rPr>
          <w:b/>
          <w:bCs/>
          <w:lang w:val="en-IN"/>
        </w:rPr>
        <w:t>Ayushman Bharat</w:t>
      </w:r>
      <w:r>
        <w:rPr>
          <w:lang w:val="en-IN"/>
        </w:rPr>
        <w:t xml:space="preserve"> </w:t>
      </w:r>
      <w:r w:rsidRPr="00F6253C">
        <w:rPr>
          <w:lang w:val="en-IN"/>
        </w:rPr>
        <w:t>are improving healthcare access across urban and rural India.</w:t>
      </w:r>
    </w:p>
    <w:p w14:paraId="21404F64" w14:textId="70495378" w:rsidR="00F6253C" w:rsidRPr="00F6253C" w:rsidRDefault="00F6253C" w:rsidP="00F6253C">
      <w:pPr>
        <w:pStyle w:val="BodyText"/>
        <w:numPr>
          <w:ilvl w:val="0"/>
          <w:numId w:val="18"/>
        </w:numPr>
        <w:spacing w:before="240" w:line="276" w:lineRule="auto"/>
        <w:ind w:right="422"/>
        <w:rPr>
          <w:lang w:val="en-IN"/>
        </w:rPr>
      </w:pPr>
      <w:r w:rsidRPr="00F6253C">
        <w:rPr>
          <w:b/>
          <w:bCs/>
          <w:lang w:val="en-IN"/>
        </w:rPr>
        <w:t>Medical Tourism Resurgence</w:t>
      </w:r>
      <w:r w:rsidRPr="00F6253C">
        <w:rPr>
          <w:lang w:val="en-IN"/>
        </w:rPr>
        <w:t xml:space="preserve">: Post-COVID recovery has spurred demand for advanced treatments (e.g., </w:t>
      </w:r>
      <w:r w:rsidRPr="00F6253C">
        <w:rPr>
          <w:b/>
          <w:bCs/>
          <w:lang w:val="en-IN"/>
        </w:rPr>
        <w:t>oncology, organ transplants</w:t>
      </w:r>
      <w:r w:rsidRPr="00F6253C">
        <w:rPr>
          <w:lang w:val="en-IN"/>
        </w:rPr>
        <w:t xml:space="preserve">) from international patients seeking India’s </w:t>
      </w:r>
      <w:r w:rsidRPr="00F6253C">
        <w:rPr>
          <w:b/>
          <w:bCs/>
          <w:lang w:val="en-IN"/>
        </w:rPr>
        <w:t>cost</w:t>
      </w:r>
      <w:r>
        <w:rPr>
          <w:b/>
          <w:bCs/>
          <w:lang w:val="en-IN"/>
        </w:rPr>
        <w:t xml:space="preserve"> </w:t>
      </w:r>
      <w:r w:rsidRPr="00F6253C">
        <w:rPr>
          <w:b/>
          <w:bCs/>
          <w:lang w:val="en-IN"/>
        </w:rPr>
        <w:t>efficient, high</w:t>
      </w:r>
      <w:r>
        <w:rPr>
          <w:b/>
          <w:bCs/>
          <w:lang w:val="en-IN"/>
        </w:rPr>
        <w:t xml:space="preserve"> </w:t>
      </w:r>
      <w:r w:rsidRPr="00F6253C">
        <w:rPr>
          <w:b/>
          <w:bCs/>
          <w:lang w:val="en-IN"/>
        </w:rPr>
        <w:t>quality care</w:t>
      </w:r>
      <w:r w:rsidRPr="00F6253C">
        <w:rPr>
          <w:lang w:val="en-IN"/>
        </w:rPr>
        <w:t>.</w:t>
      </w:r>
    </w:p>
    <w:p w14:paraId="3FF089CF" w14:textId="49432DF4" w:rsidR="00206F6C" w:rsidRPr="00206F6C" w:rsidRDefault="00206F6C" w:rsidP="00206F6C">
      <w:pPr>
        <w:spacing w:before="240" w:line="276" w:lineRule="auto"/>
        <w:rPr>
          <w:lang w:val="en-IN"/>
        </w:rPr>
      </w:pPr>
      <w:r w:rsidRPr="00206F6C">
        <w:rPr>
          <w:b/>
          <w:bCs/>
          <w:lang w:val="en-IN"/>
        </w:rPr>
        <w:t>Apollo Hospitals Enterprise Ltd. (AHEL)</w:t>
      </w:r>
      <w:r w:rsidRPr="00206F6C">
        <w:rPr>
          <w:lang w:val="en-IN"/>
        </w:rPr>
        <w:t xml:space="preserve"> is exceptionally well-positioned to capitalize on this structural expansion due to its scale, integrated delivery model, and forward-thinking expansion strategy:</w:t>
      </w:r>
    </w:p>
    <w:p w14:paraId="09E39DD3" w14:textId="294241CA" w:rsidR="00206F6C" w:rsidRPr="00206F6C" w:rsidRDefault="00206F6C" w:rsidP="00206F6C">
      <w:pPr>
        <w:numPr>
          <w:ilvl w:val="0"/>
          <w:numId w:val="19"/>
        </w:numPr>
        <w:spacing w:before="240" w:line="276" w:lineRule="auto"/>
        <w:rPr>
          <w:lang w:val="en-IN"/>
        </w:rPr>
      </w:pPr>
      <w:r w:rsidRPr="00206F6C">
        <w:rPr>
          <w:b/>
          <w:bCs/>
          <w:lang w:val="en-IN"/>
        </w:rPr>
        <w:t>Pan</w:t>
      </w:r>
      <w:r>
        <w:rPr>
          <w:b/>
          <w:bCs/>
          <w:lang w:val="en-IN"/>
        </w:rPr>
        <w:t xml:space="preserve"> </w:t>
      </w:r>
      <w:r w:rsidRPr="00206F6C">
        <w:rPr>
          <w:b/>
          <w:bCs/>
          <w:lang w:val="en-IN"/>
        </w:rPr>
        <w:t>India Presence</w:t>
      </w:r>
      <w:r w:rsidRPr="00206F6C">
        <w:rPr>
          <w:lang w:val="en-IN"/>
        </w:rPr>
        <w:t>:</w:t>
      </w:r>
    </w:p>
    <w:p w14:paraId="7C2A5DAC" w14:textId="77777777" w:rsidR="00206F6C" w:rsidRPr="00206F6C" w:rsidRDefault="00206F6C" w:rsidP="00206F6C">
      <w:pPr>
        <w:spacing w:before="240" w:line="276" w:lineRule="auto"/>
        <w:ind w:left="1440"/>
        <w:rPr>
          <w:lang w:val="en-IN"/>
        </w:rPr>
      </w:pPr>
      <w:r w:rsidRPr="00206F6C">
        <w:rPr>
          <w:lang w:val="en-IN"/>
        </w:rPr>
        <w:t xml:space="preserve">Operates </w:t>
      </w:r>
      <w:r w:rsidRPr="00206F6C">
        <w:rPr>
          <w:b/>
          <w:bCs/>
          <w:lang w:val="en-IN"/>
        </w:rPr>
        <w:t>71 hospitals</w:t>
      </w:r>
      <w:r w:rsidRPr="00206F6C">
        <w:rPr>
          <w:lang w:val="en-IN"/>
        </w:rPr>
        <w:t xml:space="preserve"> with over </w:t>
      </w:r>
      <w:r w:rsidRPr="00206F6C">
        <w:rPr>
          <w:b/>
          <w:bCs/>
          <w:lang w:val="en-IN"/>
        </w:rPr>
        <w:t>9,500 beds</w:t>
      </w:r>
    </w:p>
    <w:p w14:paraId="00588E44" w14:textId="77777777" w:rsidR="00206F6C" w:rsidRPr="00206F6C" w:rsidRDefault="00206F6C" w:rsidP="00206F6C">
      <w:pPr>
        <w:spacing w:before="240" w:line="276" w:lineRule="auto"/>
        <w:ind w:left="1440"/>
        <w:rPr>
          <w:lang w:val="en-IN"/>
        </w:rPr>
      </w:pPr>
      <w:r w:rsidRPr="00206F6C">
        <w:rPr>
          <w:lang w:val="en-IN"/>
        </w:rPr>
        <w:t xml:space="preserve">Runs </w:t>
      </w:r>
      <w:r w:rsidRPr="00206F6C">
        <w:rPr>
          <w:b/>
          <w:bCs/>
          <w:lang w:val="en-IN"/>
        </w:rPr>
        <w:t>~5,000 pharmacies</w:t>
      </w:r>
    </w:p>
    <w:p w14:paraId="60568711" w14:textId="77777777" w:rsidR="00206F6C" w:rsidRPr="00206F6C" w:rsidRDefault="00206F6C" w:rsidP="00206F6C">
      <w:pPr>
        <w:spacing w:before="240" w:line="276" w:lineRule="auto"/>
        <w:ind w:left="1440"/>
        <w:rPr>
          <w:lang w:val="en-IN"/>
        </w:rPr>
      </w:pPr>
      <w:r w:rsidRPr="00206F6C">
        <w:rPr>
          <w:lang w:val="en-IN"/>
        </w:rPr>
        <w:t xml:space="preserve">Offers diagnostics and digital care via </w:t>
      </w:r>
      <w:r w:rsidRPr="00206F6C">
        <w:rPr>
          <w:b/>
          <w:bCs/>
          <w:lang w:val="en-IN"/>
        </w:rPr>
        <w:t xml:space="preserve">Apollo </w:t>
      </w:r>
      <w:proofErr w:type="spellStart"/>
      <w:r w:rsidRPr="00206F6C">
        <w:rPr>
          <w:b/>
          <w:bCs/>
          <w:lang w:val="en-IN"/>
        </w:rPr>
        <w:t>HealthCo</w:t>
      </w:r>
      <w:proofErr w:type="spellEnd"/>
    </w:p>
    <w:p w14:paraId="72887223" w14:textId="77777777" w:rsidR="00206F6C" w:rsidRPr="00206F6C" w:rsidRDefault="00206F6C" w:rsidP="00206F6C">
      <w:pPr>
        <w:numPr>
          <w:ilvl w:val="0"/>
          <w:numId w:val="19"/>
        </w:numPr>
        <w:spacing w:before="240" w:line="276" w:lineRule="auto"/>
        <w:rPr>
          <w:lang w:val="en-IN"/>
        </w:rPr>
      </w:pPr>
      <w:r w:rsidRPr="00206F6C">
        <w:rPr>
          <w:b/>
          <w:bCs/>
          <w:lang w:val="en-IN"/>
        </w:rPr>
        <w:t>Aggressive Growth Plans</w:t>
      </w:r>
      <w:r w:rsidRPr="00206F6C">
        <w:rPr>
          <w:lang w:val="en-IN"/>
        </w:rPr>
        <w:t>:</w:t>
      </w:r>
    </w:p>
    <w:p w14:paraId="778FA491" w14:textId="3414C2E9" w:rsidR="00206F6C" w:rsidRPr="00206F6C" w:rsidRDefault="00206F6C" w:rsidP="00206F6C">
      <w:pPr>
        <w:spacing w:before="240" w:line="276" w:lineRule="auto"/>
        <w:ind w:left="1440"/>
        <w:rPr>
          <w:lang w:val="en-IN"/>
        </w:rPr>
      </w:pPr>
      <w:r w:rsidRPr="00206F6C">
        <w:rPr>
          <w:lang w:val="en-IN"/>
        </w:rPr>
        <w:t xml:space="preserve">Targeting </w:t>
      </w:r>
      <w:r w:rsidRPr="00206F6C">
        <w:rPr>
          <w:b/>
          <w:bCs/>
          <w:lang w:val="en-IN"/>
        </w:rPr>
        <w:t>4,300–4,400 new beds</w:t>
      </w:r>
      <w:r w:rsidRPr="00206F6C">
        <w:rPr>
          <w:lang w:val="en-IN"/>
        </w:rPr>
        <w:t xml:space="preserve"> over 3</w:t>
      </w:r>
      <w:r>
        <w:rPr>
          <w:lang w:val="en-IN"/>
        </w:rPr>
        <w:t xml:space="preserve"> to </w:t>
      </w:r>
      <w:r w:rsidRPr="00206F6C">
        <w:rPr>
          <w:lang w:val="en-IN"/>
        </w:rPr>
        <w:t>4 years</w:t>
      </w:r>
    </w:p>
    <w:p w14:paraId="5CA9589E" w14:textId="77777777" w:rsidR="00206F6C" w:rsidRPr="00206F6C" w:rsidRDefault="00206F6C" w:rsidP="00206F6C">
      <w:pPr>
        <w:spacing w:before="240" w:line="276" w:lineRule="auto"/>
        <w:ind w:left="1440"/>
        <w:rPr>
          <w:lang w:val="en-IN"/>
        </w:rPr>
      </w:pPr>
      <w:r w:rsidRPr="00206F6C">
        <w:rPr>
          <w:b/>
          <w:bCs/>
          <w:lang w:val="en-IN"/>
        </w:rPr>
        <w:t>₹6,000 crore capex</w:t>
      </w:r>
      <w:r w:rsidRPr="00206F6C">
        <w:rPr>
          <w:lang w:val="en-IN"/>
        </w:rPr>
        <w:t xml:space="preserve"> directed toward metro and Tier-2 cities</w:t>
      </w:r>
    </w:p>
    <w:p w14:paraId="67B98EAC" w14:textId="77777777" w:rsidR="00206F6C" w:rsidRPr="00206F6C" w:rsidRDefault="00206F6C" w:rsidP="00206F6C">
      <w:pPr>
        <w:spacing w:before="240" w:line="276" w:lineRule="auto"/>
        <w:ind w:left="1440"/>
        <w:rPr>
          <w:lang w:val="en-IN"/>
        </w:rPr>
      </w:pPr>
      <w:r w:rsidRPr="00206F6C">
        <w:rPr>
          <w:lang w:val="en-IN"/>
        </w:rPr>
        <w:t>Leveraging digital health platforms for future monetization</w:t>
      </w:r>
    </w:p>
    <w:p w14:paraId="54A33E31" w14:textId="77777777" w:rsidR="00206F6C" w:rsidRPr="00206F6C" w:rsidRDefault="00206F6C" w:rsidP="00206F6C">
      <w:pPr>
        <w:spacing w:before="240" w:line="276" w:lineRule="auto"/>
        <w:rPr>
          <w:lang w:val="en-IN"/>
        </w:rPr>
      </w:pPr>
      <w:r w:rsidRPr="00206F6C">
        <w:rPr>
          <w:lang w:val="en-IN"/>
        </w:rPr>
        <w:t>Apollo’s strategy of combining physical and digital infrastructure across the healthcare value chain enables operating leverage and revenue diversification—crucial for long-term profitability.</w:t>
      </w:r>
    </w:p>
    <w:p w14:paraId="6D0CF384" w14:textId="49ACAA38" w:rsidR="004B3003" w:rsidRDefault="00000000">
      <w:pPr>
        <w:spacing w:before="240" w:line="276" w:lineRule="auto"/>
      </w:pPr>
      <w:r>
        <w:rPr>
          <w:spacing w:val="-2"/>
        </w:rPr>
        <w:t>.</w:t>
      </w:r>
    </w:p>
    <w:p w14:paraId="24E6F1DC" w14:textId="1449CEE9" w:rsidR="004B3003" w:rsidRDefault="00000000">
      <w:pPr>
        <w:pStyle w:val="ListParagraph"/>
        <w:numPr>
          <w:ilvl w:val="0"/>
          <w:numId w:val="12"/>
        </w:numPr>
        <w:tabs>
          <w:tab w:val="left" w:pos="718"/>
        </w:tabs>
        <w:spacing w:before="240"/>
        <w:ind w:left="718" w:hanging="358"/>
      </w:pPr>
      <w:r w:rsidRPr="00F6253C">
        <w:rPr>
          <w:b/>
          <w:bCs/>
        </w:rPr>
        <w:t>Historical</w:t>
      </w:r>
      <w:r w:rsidRPr="00F6253C">
        <w:rPr>
          <w:b/>
          <w:bCs/>
          <w:spacing w:val="-10"/>
        </w:rPr>
        <w:t xml:space="preserve"> </w:t>
      </w:r>
      <w:r w:rsidRPr="00F6253C">
        <w:rPr>
          <w:b/>
          <w:bCs/>
          <w:spacing w:val="-2"/>
        </w:rPr>
        <w:t>Performance</w:t>
      </w:r>
      <w:r w:rsidR="00EE721F">
        <w:rPr>
          <w:spacing w:val="-2"/>
        </w:rPr>
        <w:t xml:space="preserve"> (</w:t>
      </w:r>
      <w:r w:rsidR="00EE721F" w:rsidRPr="00EE721F">
        <w:rPr>
          <w:spacing w:val="-2"/>
        </w:rPr>
        <w:t>Strong Price Momentum</w:t>
      </w:r>
      <w:r w:rsidR="00EE721F">
        <w:rPr>
          <w:spacing w:val="-2"/>
        </w:rPr>
        <w:t>)</w:t>
      </w:r>
    </w:p>
    <w:p w14:paraId="473E24A5" w14:textId="1B863498" w:rsidR="00F6253C" w:rsidRDefault="00F6253C" w:rsidP="00206F6C">
      <w:pPr>
        <w:pStyle w:val="ListParagraph"/>
        <w:tabs>
          <w:tab w:val="left" w:pos="1440"/>
        </w:tabs>
        <w:spacing w:before="38" w:line="276" w:lineRule="auto"/>
        <w:ind w:left="244" w:right="419" w:firstLine="0"/>
        <w:rPr>
          <w:lang w:val="en-IN"/>
        </w:rPr>
      </w:pPr>
      <w:r>
        <w:t xml:space="preserve"> </w:t>
      </w:r>
      <w:r w:rsidR="00000000">
        <w:t xml:space="preserve">Apollo Hospitals’ stock price has doubled over the past two years, reflecting a CAGR of nearly </w:t>
      </w:r>
      <w:r>
        <w:t>41</w:t>
      </w:r>
      <w:r w:rsidR="00000000">
        <w:t>%</w:t>
      </w:r>
      <w:r>
        <w:t xml:space="preserve"> when compounded annually</w:t>
      </w:r>
      <w:r w:rsidR="00000000">
        <w:t xml:space="preserve">. </w:t>
      </w:r>
      <w:r w:rsidRPr="00F6253C">
        <w:rPr>
          <w:lang w:val="en-IN"/>
        </w:rPr>
        <w:t>This price action is backed by strong top and bottom</w:t>
      </w:r>
      <w:r w:rsidRPr="00F6253C">
        <w:rPr>
          <w:lang w:val="en-IN"/>
        </w:rPr>
        <w:t xml:space="preserve"> </w:t>
      </w:r>
      <w:r w:rsidRPr="00F6253C">
        <w:rPr>
          <w:lang w:val="en-IN"/>
        </w:rPr>
        <w:t>line growth, reflecting market confidence in its execution capabilities.</w:t>
      </w:r>
    </w:p>
    <w:p w14:paraId="3C928EAB" w14:textId="77777777" w:rsidR="00206F6C" w:rsidRPr="00F6253C" w:rsidRDefault="00206F6C" w:rsidP="00206F6C">
      <w:pPr>
        <w:pStyle w:val="ListParagraph"/>
        <w:tabs>
          <w:tab w:val="left" w:pos="1440"/>
        </w:tabs>
        <w:spacing w:before="38" w:line="276" w:lineRule="auto"/>
        <w:ind w:left="244" w:right="419" w:firstLine="0"/>
        <w:rPr>
          <w:lang w:val="en-IN"/>
        </w:rPr>
      </w:pPr>
    </w:p>
    <w:p w14:paraId="0EBC4009" w14:textId="3F5491E8" w:rsidR="004B3003" w:rsidRPr="00206F6C" w:rsidRDefault="00000000" w:rsidP="001E6379">
      <w:pPr>
        <w:pStyle w:val="ListParagraph"/>
        <w:numPr>
          <w:ilvl w:val="0"/>
          <w:numId w:val="12"/>
        </w:numPr>
        <w:tabs>
          <w:tab w:val="left" w:pos="1440"/>
        </w:tabs>
        <w:spacing w:before="38" w:line="276" w:lineRule="auto"/>
        <w:ind w:left="718" w:right="419" w:hanging="358"/>
        <w:rPr>
          <w:b/>
          <w:bCs/>
        </w:rPr>
      </w:pPr>
      <w:r w:rsidRPr="00F6253C">
        <w:rPr>
          <w:b/>
          <w:bCs/>
          <w:spacing w:val="-2"/>
        </w:rPr>
        <w:lastRenderedPageBreak/>
        <w:t>Valuation</w:t>
      </w:r>
      <w:r w:rsidRPr="00F6253C">
        <w:rPr>
          <w:b/>
          <w:bCs/>
          <w:spacing w:val="-7"/>
        </w:rPr>
        <w:t xml:space="preserve"> </w:t>
      </w:r>
      <w:r w:rsidRPr="00F6253C">
        <w:rPr>
          <w:b/>
          <w:bCs/>
          <w:spacing w:val="-2"/>
        </w:rPr>
        <w:t>Earnings</w:t>
      </w:r>
      <w:r w:rsidR="00F6253C" w:rsidRPr="00F6253C">
        <w:rPr>
          <w:b/>
          <w:bCs/>
          <w:spacing w:val="-2"/>
        </w:rPr>
        <w:t xml:space="preserve"> </w:t>
      </w:r>
    </w:p>
    <w:p w14:paraId="2C89FD55" w14:textId="77777777" w:rsidR="00206F6C" w:rsidRPr="00F6253C" w:rsidRDefault="00206F6C" w:rsidP="00206F6C">
      <w:pPr>
        <w:pStyle w:val="ListParagraph"/>
        <w:tabs>
          <w:tab w:val="left" w:pos="1440"/>
        </w:tabs>
        <w:spacing w:before="38" w:line="276" w:lineRule="auto"/>
        <w:ind w:left="718" w:right="419" w:firstLine="0"/>
        <w:rPr>
          <w:b/>
          <w:bCs/>
        </w:rPr>
      </w:pPr>
    </w:p>
    <w:p w14:paraId="4C2CA801" w14:textId="77777777" w:rsidR="00F6253C" w:rsidRPr="00206F6C" w:rsidRDefault="00F6253C" w:rsidP="00F6253C">
      <w:pPr>
        <w:pStyle w:val="ListParagraph"/>
        <w:numPr>
          <w:ilvl w:val="0"/>
          <w:numId w:val="11"/>
        </w:numPr>
        <w:tabs>
          <w:tab w:val="left" w:pos="242"/>
        </w:tabs>
        <w:ind w:left="242" w:hanging="242"/>
        <w:rPr>
          <w:lang w:val="en-IN"/>
        </w:rPr>
      </w:pPr>
      <w:r w:rsidRPr="00F6253C">
        <w:rPr>
          <w:b/>
          <w:bCs/>
          <w:lang w:val="en-IN"/>
        </w:rPr>
        <w:t>Trailing PE Ratio</w:t>
      </w:r>
      <w:r w:rsidRPr="00F6253C">
        <w:rPr>
          <w:lang w:val="en-IN"/>
        </w:rPr>
        <w:t>: ~</w:t>
      </w:r>
      <w:r w:rsidRPr="00F6253C">
        <w:rPr>
          <w:b/>
          <w:bCs/>
          <w:lang w:val="en-IN"/>
        </w:rPr>
        <w:t>75x</w:t>
      </w:r>
    </w:p>
    <w:p w14:paraId="5757AFDD" w14:textId="77777777" w:rsidR="00206F6C" w:rsidRPr="00F6253C" w:rsidRDefault="00206F6C" w:rsidP="00206F6C">
      <w:pPr>
        <w:pStyle w:val="ListParagraph"/>
        <w:tabs>
          <w:tab w:val="left" w:pos="242"/>
        </w:tabs>
        <w:ind w:left="242" w:firstLine="0"/>
        <w:rPr>
          <w:lang w:val="en-IN"/>
        </w:rPr>
      </w:pPr>
    </w:p>
    <w:p w14:paraId="6836184F" w14:textId="77777777" w:rsidR="00F6253C" w:rsidRPr="00206F6C" w:rsidRDefault="00F6253C" w:rsidP="00F6253C">
      <w:pPr>
        <w:pStyle w:val="ListParagraph"/>
        <w:numPr>
          <w:ilvl w:val="0"/>
          <w:numId w:val="11"/>
        </w:numPr>
        <w:tabs>
          <w:tab w:val="left" w:pos="242"/>
        </w:tabs>
        <w:ind w:left="242" w:hanging="242"/>
        <w:rPr>
          <w:lang w:val="en-IN"/>
        </w:rPr>
      </w:pPr>
      <w:r w:rsidRPr="00F6253C">
        <w:rPr>
          <w:b/>
          <w:bCs/>
          <w:lang w:val="en-IN"/>
        </w:rPr>
        <w:t>Forward PE (FY26E)</w:t>
      </w:r>
      <w:r w:rsidRPr="00F6253C">
        <w:rPr>
          <w:lang w:val="en-IN"/>
        </w:rPr>
        <w:t>: ~</w:t>
      </w:r>
      <w:r w:rsidRPr="00F6253C">
        <w:rPr>
          <w:b/>
          <w:bCs/>
          <w:lang w:val="en-IN"/>
        </w:rPr>
        <w:t>51.3x</w:t>
      </w:r>
    </w:p>
    <w:p w14:paraId="3185BAEF" w14:textId="77777777" w:rsidR="00206F6C" w:rsidRPr="00206F6C" w:rsidRDefault="00206F6C" w:rsidP="00206F6C">
      <w:pPr>
        <w:tabs>
          <w:tab w:val="left" w:pos="242"/>
        </w:tabs>
        <w:rPr>
          <w:lang w:val="en-IN"/>
        </w:rPr>
      </w:pPr>
    </w:p>
    <w:p w14:paraId="63D026D2" w14:textId="0AC621AE" w:rsidR="00206F6C" w:rsidRDefault="00F6253C" w:rsidP="00206F6C">
      <w:pPr>
        <w:pStyle w:val="ListParagraph"/>
        <w:tabs>
          <w:tab w:val="left" w:pos="242"/>
        </w:tabs>
        <w:ind w:left="242" w:firstLine="0"/>
        <w:rPr>
          <w:lang w:val="en-IN"/>
        </w:rPr>
      </w:pPr>
      <w:r w:rsidRPr="00F6253C">
        <w:rPr>
          <w:lang w:val="en-IN"/>
        </w:rPr>
        <w:t>While a 75x PE may appear stretched, it’s justified by:</w:t>
      </w:r>
    </w:p>
    <w:p w14:paraId="15460056" w14:textId="77777777" w:rsidR="00206F6C" w:rsidRPr="00206F6C" w:rsidRDefault="00206F6C" w:rsidP="00206F6C">
      <w:pPr>
        <w:pStyle w:val="ListParagraph"/>
        <w:tabs>
          <w:tab w:val="left" w:pos="242"/>
        </w:tabs>
        <w:ind w:left="242" w:firstLine="0"/>
        <w:rPr>
          <w:lang w:val="en-IN"/>
        </w:rPr>
      </w:pPr>
    </w:p>
    <w:p w14:paraId="4C3E5032" w14:textId="77777777" w:rsidR="00F6253C" w:rsidRDefault="00F6253C" w:rsidP="00F6253C">
      <w:pPr>
        <w:pStyle w:val="ListParagraph"/>
        <w:numPr>
          <w:ilvl w:val="0"/>
          <w:numId w:val="11"/>
        </w:numPr>
        <w:tabs>
          <w:tab w:val="left" w:pos="242"/>
        </w:tabs>
        <w:ind w:left="242" w:hanging="242"/>
        <w:rPr>
          <w:lang w:val="en-IN"/>
        </w:rPr>
      </w:pPr>
      <w:r w:rsidRPr="00F6253C">
        <w:rPr>
          <w:lang w:val="en-IN"/>
        </w:rPr>
        <w:t>Market leadership in a high-growth industry</w:t>
      </w:r>
    </w:p>
    <w:p w14:paraId="225A5AC2" w14:textId="77777777" w:rsidR="00206F6C" w:rsidRPr="00F6253C" w:rsidRDefault="00206F6C" w:rsidP="00206F6C">
      <w:pPr>
        <w:pStyle w:val="ListParagraph"/>
        <w:tabs>
          <w:tab w:val="left" w:pos="242"/>
        </w:tabs>
        <w:ind w:left="242" w:firstLine="0"/>
        <w:rPr>
          <w:lang w:val="en-IN"/>
        </w:rPr>
      </w:pPr>
    </w:p>
    <w:p w14:paraId="0D976037" w14:textId="77777777" w:rsidR="00F6253C" w:rsidRDefault="00F6253C" w:rsidP="00F6253C">
      <w:pPr>
        <w:pStyle w:val="ListParagraph"/>
        <w:numPr>
          <w:ilvl w:val="0"/>
          <w:numId w:val="11"/>
        </w:numPr>
        <w:tabs>
          <w:tab w:val="left" w:pos="242"/>
        </w:tabs>
        <w:ind w:left="242" w:hanging="242"/>
        <w:rPr>
          <w:lang w:val="en-IN"/>
        </w:rPr>
      </w:pPr>
      <w:r w:rsidRPr="00F6253C">
        <w:rPr>
          <w:b/>
          <w:bCs/>
          <w:lang w:val="en-IN"/>
        </w:rPr>
        <w:t>Consistent EBITDA margin improvement</w:t>
      </w:r>
      <w:r w:rsidRPr="00F6253C">
        <w:rPr>
          <w:lang w:val="en-IN"/>
        </w:rPr>
        <w:t xml:space="preserve"> (now at ~21.8%)</w:t>
      </w:r>
    </w:p>
    <w:p w14:paraId="031DB95D" w14:textId="77777777" w:rsidR="00206F6C" w:rsidRPr="00206F6C" w:rsidRDefault="00206F6C" w:rsidP="00206F6C">
      <w:pPr>
        <w:tabs>
          <w:tab w:val="left" w:pos="242"/>
        </w:tabs>
        <w:rPr>
          <w:lang w:val="en-IN"/>
        </w:rPr>
      </w:pPr>
    </w:p>
    <w:p w14:paraId="0352CD7D" w14:textId="292C7A42" w:rsidR="00F6253C" w:rsidRDefault="00F6253C" w:rsidP="00F6253C">
      <w:pPr>
        <w:pStyle w:val="ListParagraph"/>
        <w:numPr>
          <w:ilvl w:val="0"/>
          <w:numId w:val="11"/>
        </w:numPr>
        <w:tabs>
          <w:tab w:val="left" w:pos="242"/>
        </w:tabs>
        <w:ind w:left="242" w:hanging="242"/>
        <w:rPr>
          <w:lang w:val="en-IN"/>
        </w:rPr>
      </w:pPr>
      <w:r w:rsidRPr="00F6253C">
        <w:rPr>
          <w:b/>
          <w:bCs/>
          <w:lang w:val="en-IN"/>
        </w:rPr>
        <w:t>Low debt</w:t>
      </w:r>
      <w:r>
        <w:rPr>
          <w:b/>
          <w:bCs/>
          <w:lang w:val="en-IN"/>
        </w:rPr>
        <w:t xml:space="preserve"> </w:t>
      </w:r>
      <w:r w:rsidRPr="00F6253C">
        <w:rPr>
          <w:b/>
          <w:bCs/>
          <w:lang w:val="en-IN"/>
        </w:rPr>
        <w:t>to</w:t>
      </w:r>
      <w:r>
        <w:rPr>
          <w:b/>
          <w:bCs/>
          <w:lang w:val="en-IN"/>
        </w:rPr>
        <w:t xml:space="preserve"> </w:t>
      </w:r>
      <w:r w:rsidRPr="00F6253C">
        <w:rPr>
          <w:b/>
          <w:bCs/>
          <w:lang w:val="en-IN"/>
        </w:rPr>
        <w:t>equity ratio</w:t>
      </w:r>
      <w:r w:rsidRPr="00F6253C">
        <w:rPr>
          <w:lang w:val="en-IN"/>
        </w:rPr>
        <w:t xml:space="preserve"> of ~0.25</w:t>
      </w:r>
    </w:p>
    <w:p w14:paraId="4B278142" w14:textId="77777777" w:rsidR="00206F6C" w:rsidRPr="00206F6C" w:rsidRDefault="00206F6C" w:rsidP="00206F6C">
      <w:pPr>
        <w:tabs>
          <w:tab w:val="left" w:pos="242"/>
        </w:tabs>
        <w:rPr>
          <w:lang w:val="en-IN"/>
        </w:rPr>
      </w:pPr>
    </w:p>
    <w:p w14:paraId="1AA1EE08" w14:textId="018EE135" w:rsidR="00F6253C" w:rsidRDefault="00F6253C" w:rsidP="00F6253C">
      <w:pPr>
        <w:pStyle w:val="ListParagraph"/>
        <w:numPr>
          <w:ilvl w:val="0"/>
          <w:numId w:val="11"/>
        </w:numPr>
        <w:tabs>
          <w:tab w:val="left" w:pos="242"/>
        </w:tabs>
        <w:ind w:left="242" w:hanging="242"/>
        <w:rPr>
          <w:lang w:val="en-IN"/>
        </w:rPr>
      </w:pPr>
      <w:r w:rsidRPr="00F6253C">
        <w:rPr>
          <w:lang w:val="en-IN"/>
        </w:rPr>
        <w:t>High</w:t>
      </w:r>
      <w:r>
        <w:rPr>
          <w:lang w:val="en-IN"/>
        </w:rPr>
        <w:t xml:space="preserve"> </w:t>
      </w:r>
      <w:r w:rsidRPr="00F6253C">
        <w:rPr>
          <w:lang w:val="en-IN"/>
        </w:rPr>
        <w:t>return digital and pharmacy initiatives with scalable potential</w:t>
      </w:r>
    </w:p>
    <w:p w14:paraId="3E8B0C84" w14:textId="77777777" w:rsidR="00206F6C" w:rsidRPr="00206F6C" w:rsidRDefault="00206F6C" w:rsidP="00206F6C">
      <w:pPr>
        <w:tabs>
          <w:tab w:val="left" w:pos="242"/>
        </w:tabs>
        <w:rPr>
          <w:lang w:val="en-IN"/>
        </w:rPr>
      </w:pPr>
    </w:p>
    <w:p w14:paraId="51357689" w14:textId="77777777" w:rsidR="00F6253C" w:rsidRDefault="00F6253C" w:rsidP="00F6253C">
      <w:pPr>
        <w:pStyle w:val="ListParagraph"/>
        <w:numPr>
          <w:ilvl w:val="0"/>
          <w:numId w:val="11"/>
        </w:numPr>
        <w:tabs>
          <w:tab w:val="left" w:pos="242"/>
        </w:tabs>
        <w:ind w:left="242" w:hanging="242"/>
        <w:rPr>
          <w:lang w:val="en-IN"/>
        </w:rPr>
      </w:pPr>
      <w:r w:rsidRPr="00F6253C">
        <w:rPr>
          <w:lang w:val="en-IN"/>
        </w:rPr>
        <w:t xml:space="preserve">Valuation multiples are in line with premium growth stocks and reflect investor expectations of </w:t>
      </w:r>
      <w:r w:rsidRPr="00F6253C">
        <w:rPr>
          <w:b/>
          <w:bCs/>
          <w:lang w:val="en-IN"/>
        </w:rPr>
        <w:t>strong earnings compounding</w:t>
      </w:r>
      <w:r w:rsidRPr="00F6253C">
        <w:rPr>
          <w:lang w:val="en-IN"/>
        </w:rPr>
        <w:t xml:space="preserve"> in the coming years.</w:t>
      </w:r>
    </w:p>
    <w:p w14:paraId="364F68DB" w14:textId="77777777" w:rsidR="00F6253C" w:rsidRDefault="00F6253C" w:rsidP="00F6253C">
      <w:pPr>
        <w:tabs>
          <w:tab w:val="left" w:pos="242"/>
        </w:tabs>
        <w:rPr>
          <w:lang w:val="en-IN"/>
        </w:rPr>
      </w:pPr>
    </w:p>
    <w:p w14:paraId="1786048E" w14:textId="77777777" w:rsidR="00F6253C" w:rsidRDefault="00F6253C" w:rsidP="00F6253C">
      <w:pPr>
        <w:tabs>
          <w:tab w:val="left" w:pos="242"/>
        </w:tabs>
        <w:rPr>
          <w:lang w:val="en-IN"/>
        </w:rPr>
      </w:pPr>
    </w:p>
    <w:p w14:paraId="303FB9C7" w14:textId="77777777" w:rsidR="00206F6C" w:rsidRDefault="00206F6C" w:rsidP="00F6253C">
      <w:pPr>
        <w:tabs>
          <w:tab w:val="left" w:pos="242"/>
        </w:tabs>
        <w:rPr>
          <w:lang w:val="en-IN"/>
        </w:rPr>
      </w:pPr>
    </w:p>
    <w:p w14:paraId="43952893" w14:textId="77777777" w:rsidR="00206F6C" w:rsidRDefault="00206F6C" w:rsidP="00F6253C">
      <w:pPr>
        <w:tabs>
          <w:tab w:val="left" w:pos="242"/>
        </w:tabs>
        <w:rPr>
          <w:lang w:val="en-IN"/>
        </w:rPr>
      </w:pPr>
    </w:p>
    <w:p w14:paraId="2C646ED5" w14:textId="77777777" w:rsidR="00206F6C" w:rsidRDefault="00206F6C" w:rsidP="00F6253C">
      <w:pPr>
        <w:tabs>
          <w:tab w:val="left" w:pos="242"/>
        </w:tabs>
        <w:rPr>
          <w:lang w:val="en-IN"/>
        </w:rPr>
      </w:pPr>
    </w:p>
    <w:p w14:paraId="1DAC3F13" w14:textId="77777777" w:rsidR="00206F6C" w:rsidRPr="00F6253C" w:rsidRDefault="00206F6C" w:rsidP="00F6253C">
      <w:pPr>
        <w:tabs>
          <w:tab w:val="left" w:pos="242"/>
        </w:tabs>
        <w:rPr>
          <w:lang w:val="en-IN"/>
        </w:rPr>
      </w:pPr>
    </w:p>
    <w:tbl>
      <w:tblPr>
        <w:tblpPr w:leftFromText="180" w:rightFromText="180" w:vertAnchor="text" w:horzAnchor="margin" w:tblpY="55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7"/>
        <w:gridCol w:w="3263"/>
        <w:gridCol w:w="3120"/>
      </w:tblGrid>
      <w:tr w:rsidR="00206F6C" w14:paraId="66D0A23D" w14:textId="77777777" w:rsidTr="00206F6C">
        <w:trPr>
          <w:trHeight w:val="439"/>
        </w:trPr>
        <w:tc>
          <w:tcPr>
            <w:tcW w:w="2977" w:type="dxa"/>
          </w:tcPr>
          <w:p w14:paraId="309EC9B4" w14:textId="77777777" w:rsidR="00206F6C" w:rsidRDefault="00206F6C" w:rsidP="00206F6C">
            <w:pPr>
              <w:pStyle w:val="TableParagraph"/>
              <w:spacing w:before="100"/>
            </w:pPr>
            <w:r>
              <w:rPr>
                <w:spacing w:val="-2"/>
              </w:rPr>
              <w:t>Metric</w:t>
            </w:r>
          </w:p>
        </w:tc>
        <w:tc>
          <w:tcPr>
            <w:tcW w:w="3263" w:type="dxa"/>
          </w:tcPr>
          <w:p w14:paraId="56ACCBDE" w14:textId="4A1F323B" w:rsidR="00206F6C" w:rsidRDefault="00206F6C" w:rsidP="00206F6C">
            <w:pPr>
              <w:pStyle w:val="TableParagraph"/>
              <w:spacing w:before="100"/>
            </w:pPr>
            <w:r>
              <w:rPr>
                <w:spacing w:val="-2"/>
              </w:rPr>
              <w:t>V</w:t>
            </w:r>
            <w:r>
              <w:rPr>
                <w:spacing w:val="-2"/>
              </w:rPr>
              <w:t>a</w:t>
            </w:r>
            <w:r>
              <w:rPr>
                <w:spacing w:val="-2"/>
              </w:rPr>
              <w:t>lue</w:t>
            </w:r>
          </w:p>
        </w:tc>
        <w:tc>
          <w:tcPr>
            <w:tcW w:w="3120" w:type="dxa"/>
          </w:tcPr>
          <w:p w14:paraId="3E15D672" w14:textId="77777777" w:rsidR="00206F6C" w:rsidRDefault="00206F6C" w:rsidP="00206F6C">
            <w:pPr>
              <w:pStyle w:val="TableParagraph"/>
              <w:spacing w:before="100"/>
            </w:pPr>
            <w:r>
              <w:rPr>
                <w:spacing w:val="-4"/>
              </w:rPr>
              <w:t>YoY</w:t>
            </w:r>
            <w:r>
              <w:rPr>
                <w:spacing w:val="-13"/>
              </w:rPr>
              <w:t xml:space="preserve"> </w:t>
            </w:r>
            <w:r>
              <w:rPr>
                <w:spacing w:val="-2"/>
              </w:rPr>
              <w:t>Growth</w:t>
            </w:r>
          </w:p>
        </w:tc>
      </w:tr>
      <w:tr w:rsidR="00206F6C" w14:paraId="6B6C0D4B" w14:textId="77777777" w:rsidTr="00206F6C">
        <w:trPr>
          <w:trHeight w:val="376"/>
        </w:trPr>
        <w:tc>
          <w:tcPr>
            <w:tcW w:w="2977" w:type="dxa"/>
          </w:tcPr>
          <w:p w14:paraId="6CECDB4B" w14:textId="77777777" w:rsidR="00206F6C" w:rsidRDefault="00206F6C" w:rsidP="00206F6C">
            <w:pPr>
              <w:pStyle w:val="TableParagraph"/>
              <w:spacing w:before="118"/>
              <w:ind w:left="0" w:right="964"/>
              <w:jc w:val="left"/>
            </w:pPr>
            <w:r>
              <w:rPr>
                <w:spacing w:val="-2"/>
              </w:rPr>
              <w:t xml:space="preserve">               Revenue</w:t>
            </w:r>
          </w:p>
        </w:tc>
        <w:tc>
          <w:tcPr>
            <w:tcW w:w="3263" w:type="dxa"/>
          </w:tcPr>
          <w:p w14:paraId="55A5C3FB" w14:textId="77777777" w:rsidR="00206F6C" w:rsidRDefault="00206F6C" w:rsidP="00206F6C">
            <w:pPr>
              <w:pStyle w:val="TableParagraph"/>
              <w:spacing w:before="118"/>
            </w:pPr>
            <w:r>
              <w:t>₹17,908</w:t>
            </w:r>
            <w:r>
              <w:rPr>
                <w:spacing w:val="-7"/>
              </w:rPr>
              <w:t xml:space="preserve"> </w:t>
            </w:r>
            <w:r>
              <w:rPr>
                <w:spacing w:val="-5"/>
              </w:rPr>
              <w:t>Cr</w:t>
            </w:r>
          </w:p>
          <w:p w14:paraId="535C5836" w14:textId="77777777" w:rsidR="00206F6C" w:rsidRDefault="00206F6C" w:rsidP="00206F6C">
            <w:pPr>
              <w:pStyle w:val="TableParagraph"/>
              <w:spacing w:before="0"/>
            </w:pPr>
          </w:p>
        </w:tc>
        <w:tc>
          <w:tcPr>
            <w:tcW w:w="3120" w:type="dxa"/>
          </w:tcPr>
          <w:p w14:paraId="18B0FC44" w14:textId="77777777" w:rsidR="00206F6C" w:rsidRPr="00EE721F" w:rsidRDefault="00206F6C" w:rsidP="00206F6C">
            <w:pPr>
              <w:pStyle w:val="TableParagraph"/>
              <w:spacing w:before="118"/>
              <w:rPr>
                <w:spacing w:val="-4"/>
              </w:rPr>
            </w:pPr>
            <w:r>
              <w:rPr>
                <w:spacing w:val="-4"/>
              </w:rPr>
              <w:t>+15%</w:t>
            </w:r>
          </w:p>
          <w:p w14:paraId="58CA7EB7" w14:textId="77777777" w:rsidR="00206F6C" w:rsidRDefault="00206F6C" w:rsidP="00206F6C">
            <w:pPr>
              <w:pStyle w:val="TableParagraph"/>
              <w:spacing w:before="0"/>
            </w:pPr>
          </w:p>
        </w:tc>
      </w:tr>
      <w:tr w:rsidR="00206F6C" w14:paraId="7430B554" w14:textId="77777777" w:rsidTr="00206F6C">
        <w:trPr>
          <w:trHeight w:val="460"/>
        </w:trPr>
        <w:tc>
          <w:tcPr>
            <w:tcW w:w="2977" w:type="dxa"/>
          </w:tcPr>
          <w:p w14:paraId="2B46D5C8" w14:textId="77777777" w:rsidR="00206F6C" w:rsidRDefault="00206F6C" w:rsidP="00206F6C">
            <w:pPr>
              <w:pStyle w:val="TableParagraph"/>
              <w:spacing w:before="109"/>
            </w:pPr>
            <w:r>
              <w:t>EBITDA</w:t>
            </w:r>
            <w:r>
              <w:rPr>
                <w:spacing w:val="-6"/>
              </w:rPr>
              <w:t xml:space="preserve"> </w:t>
            </w:r>
            <w:r>
              <w:rPr>
                <w:spacing w:val="-2"/>
              </w:rPr>
              <w:t>Margin</w:t>
            </w:r>
          </w:p>
        </w:tc>
        <w:tc>
          <w:tcPr>
            <w:tcW w:w="3263" w:type="dxa"/>
          </w:tcPr>
          <w:p w14:paraId="578423E9" w14:textId="77777777" w:rsidR="00206F6C" w:rsidRDefault="00206F6C" w:rsidP="00206F6C">
            <w:pPr>
              <w:pStyle w:val="TableParagraph"/>
              <w:spacing w:before="109"/>
            </w:pPr>
            <w:r>
              <w:rPr>
                <w:spacing w:val="-2"/>
              </w:rPr>
              <w:t>~21.8%</w:t>
            </w:r>
          </w:p>
        </w:tc>
        <w:tc>
          <w:tcPr>
            <w:tcW w:w="3120" w:type="dxa"/>
          </w:tcPr>
          <w:p w14:paraId="03627BB6" w14:textId="77777777" w:rsidR="00206F6C" w:rsidRDefault="00206F6C" w:rsidP="00206F6C">
            <w:pPr>
              <w:pStyle w:val="TableParagraph"/>
              <w:spacing w:before="109"/>
            </w:pPr>
            <w:r w:rsidRPr="00EE721F">
              <w:t xml:space="preserve">↑ (YoY) </w:t>
            </w:r>
          </w:p>
        </w:tc>
      </w:tr>
      <w:tr w:rsidR="00206F6C" w14:paraId="15B21FAC" w14:textId="77777777" w:rsidTr="00206F6C">
        <w:trPr>
          <w:trHeight w:val="460"/>
        </w:trPr>
        <w:tc>
          <w:tcPr>
            <w:tcW w:w="2977" w:type="dxa"/>
          </w:tcPr>
          <w:p w14:paraId="0BA94AE9" w14:textId="77777777" w:rsidR="00206F6C" w:rsidRDefault="00206F6C" w:rsidP="00206F6C">
            <w:pPr>
              <w:pStyle w:val="TableParagraph"/>
              <w:spacing w:before="109"/>
            </w:pPr>
            <w:r>
              <w:t>Net</w:t>
            </w:r>
            <w:r>
              <w:rPr>
                <w:spacing w:val="-3"/>
              </w:rPr>
              <w:t xml:space="preserve"> </w:t>
            </w:r>
            <w:r>
              <w:rPr>
                <w:spacing w:val="-2"/>
              </w:rPr>
              <w:t>Profit</w:t>
            </w:r>
          </w:p>
        </w:tc>
        <w:tc>
          <w:tcPr>
            <w:tcW w:w="3263" w:type="dxa"/>
          </w:tcPr>
          <w:p w14:paraId="78AB75A1" w14:textId="77777777" w:rsidR="00206F6C" w:rsidRDefault="00206F6C" w:rsidP="00206F6C">
            <w:pPr>
              <w:pStyle w:val="TableParagraph"/>
              <w:spacing w:before="109"/>
              <w:rPr>
                <w:spacing w:val="-2"/>
              </w:rPr>
            </w:pPr>
            <w:r>
              <w:t>₹1,174</w:t>
            </w:r>
            <w:r>
              <w:rPr>
                <w:spacing w:val="-6"/>
              </w:rPr>
              <w:t xml:space="preserve"> </w:t>
            </w:r>
            <w:r>
              <w:rPr>
                <w:spacing w:val="-5"/>
              </w:rPr>
              <w:t>Cr</w:t>
            </w:r>
          </w:p>
        </w:tc>
        <w:tc>
          <w:tcPr>
            <w:tcW w:w="3120" w:type="dxa"/>
          </w:tcPr>
          <w:p w14:paraId="64CC890A" w14:textId="77777777" w:rsidR="00206F6C" w:rsidRPr="00EE721F" w:rsidRDefault="00206F6C" w:rsidP="00206F6C">
            <w:pPr>
              <w:pStyle w:val="TableParagraph"/>
              <w:spacing w:before="109"/>
            </w:pPr>
            <w:r>
              <w:rPr>
                <w:spacing w:val="-4"/>
              </w:rPr>
              <w:t>+30%</w:t>
            </w:r>
          </w:p>
        </w:tc>
      </w:tr>
      <w:tr w:rsidR="00206F6C" w14:paraId="4EB23442" w14:textId="77777777" w:rsidTr="00206F6C">
        <w:trPr>
          <w:trHeight w:val="460"/>
        </w:trPr>
        <w:tc>
          <w:tcPr>
            <w:tcW w:w="2977" w:type="dxa"/>
          </w:tcPr>
          <w:p w14:paraId="6D75D78F" w14:textId="77777777" w:rsidR="00206F6C" w:rsidRDefault="00206F6C" w:rsidP="00206F6C">
            <w:pPr>
              <w:pStyle w:val="TableParagraph"/>
              <w:spacing w:before="107"/>
            </w:pPr>
            <w:r>
              <w:rPr>
                <w:spacing w:val="-2"/>
              </w:rPr>
              <w:t>Debt-to-Equity</w:t>
            </w:r>
          </w:p>
        </w:tc>
        <w:tc>
          <w:tcPr>
            <w:tcW w:w="3263" w:type="dxa"/>
          </w:tcPr>
          <w:p w14:paraId="5CDB6D20" w14:textId="77777777" w:rsidR="00206F6C" w:rsidRDefault="00206F6C" w:rsidP="00206F6C">
            <w:pPr>
              <w:pStyle w:val="TableParagraph"/>
              <w:spacing w:before="107"/>
            </w:pPr>
            <w:r>
              <w:rPr>
                <w:spacing w:val="-2"/>
              </w:rPr>
              <w:t>~0.25</w:t>
            </w:r>
          </w:p>
        </w:tc>
        <w:tc>
          <w:tcPr>
            <w:tcW w:w="3120" w:type="dxa"/>
          </w:tcPr>
          <w:p w14:paraId="68F65F48" w14:textId="77777777" w:rsidR="00206F6C" w:rsidRDefault="00206F6C" w:rsidP="00206F6C">
            <w:pPr>
              <w:pStyle w:val="TableParagraph"/>
              <w:spacing w:before="107"/>
            </w:pPr>
            <w:r>
              <w:rPr>
                <w:spacing w:val="-5"/>
              </w:rPr>
              <w:t>Low</w:t>
            </w:r>
          </w:p>
        </w:tc>
      </w:tr>
      <w:tr w:rsidR="00206F6C" w14:paraId="6A0BA644" w14:textId="77777777" w:rsidTr="00206F6C">
        <w:trPr>
          <w:trHeight w:val="460"/>
        </w:trPr>
        <w:tc>
          <w:tcPr>
            <w:tcW w:w="2977" w:type="dxa"/>
          </w:tcPr>
          <w:p w14:paraId="258B9F6B" w14:textId="77777777" w:rsidR="00206F6C" w:rsidRDefault="00206F6C" w:rsidP="00206F6C">
            <w:pPr>
              <w:pStyle w:val="TableParagraph"/>
              <w:spacing w:before="105"/>
            </w:pPr>
            <w:r>
              <w:rPr>
                <w:spacing w:val="-2"/>
              </w:rPr>
              <w:t>ROE/ROCE</w:t>
            </w:r>
          </w:p>
        </w:tc>
        <w:tc>
          <w:tcPr>
            <w:tcW w:w="3263" w:type="dxa"/>
          </w:tcPr>
          <w:p w14:paraId="786FA4BC" w14:textId="77777777" w:rsidR="00206F6C" w:rsidRDefault="00206F6C" w:rsidP="00206F6C">
            <w:pPr>
              <w:pStyle w:val="TableParagraph"/>
              <w:spacing w:before="105"/>
            </w:pPr>
            <w:r>
              <w:rPr>
                <w:spacing w:val="-2"/>
              </w:rPr>
              <w:t>11.6%</w:t>
            </w:r>
          </w:p>
        </w:tc>
        <w:tc>
          <w:tcPr>
            <w:tcW w:w="3120" w:type="dxa"/>
          </w:tcPr>
          <w:p w14:paraId="6E0FAA78" w14:textId="77777777" w:rsidR="00206F6C" w:rsidRDefault="00206F6C" w:rsidP="00206F6C">
            <w:pPr>
              <w:pStyle w:val="TableParagraph"/>
              <w:spacing w:before="105"/>
            </w:pPr>
            <w:r>
              <w:rPr>
                <w:spacing w:val="-2"/>
              </w:rPr>
              <w:t>Improving</w:t>
            </w:r>
          </w:p>
        </w:tc>
      </w:tr>
      <w:tr w:rsidR="00206F6C" w14:paraId="0ECB7C96" w14:textId="77777777" w:rsidTr="00206F6C">
        <w:trPr>
          <w:trHeight w:val="460"/>
        </w:trPr>
        <w:tc>
          <w:tcPr>
            <w:tcW w:w="2977" w:type="dxa"/>
          </w:tcPr>
          <w:p w14:paraId="5BF67577" w14:textId="77777777" w:rsidR="00206F6C" w:rsidRDefault="00206F6C" w:rsidP="00206F6C">
            <w:pPr>
              <w:pStyle w:val="TableParagraph"/>
              <w:spacing w:before="103"/>
            </w:pPr>
            <w:r>
              <w:t>Free</w:t>
            </w:r>
            <w:r>
              <w:rPr>
                <w:spacing w:val="-4"/>
              </w:rPr>
              <w:t xml:space="preserve"> </w:t>
            </w:r>
            <w:r>
              <w:t>Cash</w:t>
            </w:r>
            <w:r>
              <w:rPr>
                <w:spacing w:val="-4"/>
              </w:rPr>
              <w:t xml:space="preserve"> Flow</w:t>
            </w:r>
          </w:p>
        </w:tc>
        <w:tc>
          <w:tcPr>
            <w:tcW w:w="3263" w:type="dxa"/>
          </w:tcPr>
          <w:p w14:paraId="19052C40" w14:textId="77777777" w:rsidR="00206F6C" w:rsidRDefault="00206F6C" w:rsidP="00206F6C">
            <w:pPr>
              <w:pStyle w:val="TableParagraph"/>
              <w:spacing w:before="103"/>
            </w:pPr>
            <w:r>
              <w:t>₹470</w:t>
            </w:r>
            <w:r>
              <w:rPr>
                <w:spacing w:val="-4"/>
              </w:rPr>
              <w:t xml:space="preserve"> </w:t>
            </w:r>
            <w:r>
              <w:rPr>
                <w:spacing w:val="-5"/>
              </w:rPr>
              <w:t>Cr</w:t>
            </w:r>
          </w:p>
        </w:tc>
        <w:tc>
          <w:tcPr>
            <w:tcW w:w="3120" w:type="dxa"/>
          </w:tcPr>
          <w:p w14:paraId="767F5ACE" w14:textId="77777777" w:rsidR="00206F6C" w:rsidRDefault="00206F6C" w:rsidP="00206F6C">
            <w:pPr>
              <w:pStyle w:val="TableParagraph"/>
              <w:spacing w:before="103"/>
            </w:pPr>
            <w:r>
              <w:rPr>
                <w:spacing w:val="-2"/>
              </w:rPr>
              <w:t>Positive</w:t>
            </w:r>
          </w:p>
        </w:tc>
      </w:tr>
    </w:tbl>
    <w:p w14:paraId="7468C560" w14:textId="77777777" w:rsidR="004B3003" w:rsidRDefault="00000000" w:rsidP="00F6253C">
      <w:pPr>
        <w:pStyle w:val="ListParagraph"/>
        <w:tabs>
          <w:tab w:val="left" w:pos="242"/>
        </w:tabs>
        <w:ind w:left="602" w:firstLine="0"/>
        <w:rPr>
          <w:b/>
          <w:spacing w:val="-2"/>
        </w:rPr>
      </w:pPr>
      <w:r>
        <w:rPr>
          <w:b/>
        </w:rPr>
        <w:t>Financial</w:t>
      </w:r>
      <w:r>
        <w:rPr>
          <w:b/>
          <w:spacing w:val="-10"/>
        </w:rPr>
        <w:t xml:space="preserve"> </w:t>
      </w:r>
      <w:r>
        <w:rPr>
          <w:b/>
        </w:rPr>
        <w:t>Performance</w:t>
      </w:r>
      <w:r>
        <w:rPr>
          <w:b/>
          <w:spacing w:val="-10"/>
        </w:rPr>
        <w:t xml:space="preserve"> </w:t>
      </w:r>
      <w:r>
        <w:rPr>
          <w:b/>
          <w:spacing w:val="-2"/>
        </w:rPr>
        <w:t>(FY24)</w:t>
      </w:r>
    </w:p>
    <w:p w14:paraId="3BFBBC88" w14:textId="77777777" w:rsidR="00206F6C" w:rsidRDefault="00206F6C" w:rsidP="00F6253C">
      <w:pPr>
        <w:pStyle w:val="ListParagraph"/>
        <w:tabs>
          <w:tab w:val="left" w:pos="242"/>
        </w:tabs>
        <w:ind w:left="602" w:firstLine="0"/>
        <w:rPr>
          <w:b/>
          <w:spacing w:val="-2"/>
        </w:rPr>
      </w:pPr>
    </w:p>
    <w:p w14:paraId="0B1E88EB" w14:textId="6A99353E" w:rsidR="00206F6C" w:rsidRPr="00206F6C" w:rsidRDefault="00206F6C" w:rsidP="00206F6C">
      <w:pPr>
        <w:tabs>
          <w:tab w:val="left" w:pos="242"/>
        </w:tabs>
        <w:rPr>
          <w:b/>
        </w:rPr>
        <w:sectPr w:rsidR="00206F6C" w:rsidRPr="00206F6C">
          <w:pgSz w:w="12240" w:h="15840"/>
          <w:pgMar w:top="1380" w:right="1080" w:bottom="280" w:left="1440" w:header="720" w:footer="720" w:gutter="0"/>
          <w:cols w:space="720"/>
        </w:sectPr>
      </w:pPr>
    </w:p>
    <w:p w14:paraId="610ECEF1" w14:textId="63091458" w:rsidR="00EE721F" w:rsidRDefault="00000000" w:rsidP="00EE721F">
      <w:pPr>
        <w:pStyle w:val="BodyText"/>
        <w:spacing w:before="1" w:line="276" w:lineRule="auto"/>
        <w:ind w:right="416"/>
      </w:pPr>
      <w:bookmarkStart w:id="1" w:name="Analysis:_Strong_earnings_growth,_expand"/>
      <w:bookmarkEnd w:id="1"/>
      <w:r>
        <w:lastRenderedPageBreak/>
        <w:t>Analysis:</w:t>
      </w:r>
      <w:r>
        <w:rPr>
          <w:spacing w:val="-4"/>
        </w:rPr>
        <w:t xml:space="preserve"> </w:t>
      </w:r>
      <w:bookmarkStart w:id="2" w:name="3._Technical_Analysis__"/>
      <w:bookmarkEnd w:id="2"/>
      <w:r w:rsidR="00EE721F" w:rsidRPr="00EE721F">
        <w:t>Apollo demonstrates a strong growth trajectory with expanding profitability, improving capital efficiency, and robust cash generation</w:t>
      </w:r>
      <w:r w:rsidR="00EE721F">
        <w:t>,</w:t>
      </w:r>
      <w:r w:rsidR="00F6253C">
        <w:t xml:space="preserve"> </w:t>
      </w:r>
      <w:r w:rsidR="00EE721F" w:rsidRPr="00EE721F">
        <w:t>all while maintaining a conservative leverage profile.</w:t>
      </w:r>
    </w:p>
    <w:p w14:paraId="1A1C2F43" w14:textId="77777777" w:rsidR="00EE721F" w:rsidRDefault="00EE721F" w:rsidP="00EE721F">
      <w:pPr>
        <w:pStyle w:val="BodyText"/>
        <w:spacing w:before="1" w:line="276" w:lineRule="auto"/>
        <w:ind w:right="416"/>
      </w:pPr>
    </w:p>
    <w:p w14:paraId="364765F2" w14:textId="77777777" w:rsidR="00EE721F" w:rsidRDefault="00EE721F" w:rsidP="00EE721F">
      <w:pPr>
        <w:pStyle w:val="BodyText"/>
        <w:spacing w:before="1" w:line="276" w:lineRule="auto"/>
        <w:ind w:right="416"/>
      </w:pPr>
    </w:p>
    <w:p w14:paraId="25ECEFF9" w14:textId="36C93BFB" w:rsidR="004B3003" w:rsidRDefault="00000000" w:rsidP="00EE721F">
      <w:pPr>
        <w:pStyle w:val="BodyText"/>
        <w:spacing w:before="1" w:line="276" w:lineRule="auto"/>
        <w:ind w:right="416"/>
      </w:pPr>
      <w:r>
        <w:rPr>
          <w:spacing w:val="-2"/>
        </w:rPr>
        <w:t>Technical</w:t>
      </w:r>
      <w:r>
        <w:rPr>
          <w:spacing w:val="-7"/>
        </w:rPr>
        <w:t xml:space="preserve"> </w:t>
      </w:r>
      <w:r>
        <w:rPr>
          <w:spacing w:val="-2"/>
        </w:rPr>
        <w:t>Analysis</w:t>
      </w:r>
    </w:p>
    <w:p w14:paraId="0DBEE8D8" w14:textId="77777777" w:rsidR="004B3003" w:rsidRDefault="004B3003">
      <w:pPr>
        <w:pStyle w:val="BodyText"/>
        <w:spacing w:before="144"/>
        <w:rPr>
          <w:b/>
        </w:rPr>
      </w:pPr>
    </w:p>
    <w:p w14:paraId="6FF76196" w14:textId="77777777" w:rsidR="004B3003" w:rsidRDefault="00000000">
      <w:pPr>
        <w:pStyle w:val="BodyText"/>
        <w:spacing w:before="1"/>
      </w:pPr>
      <w:bookmarkStart w:id="3" w:name="A._Moving_Averages_and_Momentum_Indicato"/>
      <w:bookmarkEnd w:id="3"/>
      <w:r>
        <w:t>A.</w:t>
      </w:r>
      <w:r>
        <w:rPr>
          <w:spacing w:val="-7"/>
        </w:rPr>
        <w:t xml:space="preserve"> </w:t>
      </w:r>
      <w:r>
        <w:t>Moving</w:t>
      </w:r>
      <w:r>
        <w:rPr>
          <w:spacing w:val="-6"/>
        </w:rPr>
        <w:t xml:space="preserve"> </w:t>
      </w:r>
      <w:r>
        <w:t>Averages</w:t>
      </w:r>
      <w:r>
        <w:rPr>
          <w:spacing w:val="-6"/>
        </w:rPr>
        <w:t xml:space="preserve"> </w:t>
      </w:r>
      <w:r>
        <w:t>and</w:t>
      </w:r>
      <w:r>
        <w:rPr>
          <w:spacing w:val="-6"/>
        </w:rPr>
        <w:t xml:space="preserve"> </w:t>
      </w:r>
      <w:r>
        <w:t>Momentum</w:t>
      </w:r>
      <w:r>
        <w:rPr>
          <w:spacing w:val="-6"/>
        </w:rPr>
        <w:t xml:space="preserve"> </w:t>
      </w:r>
      <w:r>
        <w:rPr>
          <w:spacing w:val="-2"/>
        </w:rPr>
        <w:t>Indicators</w:t>
      </w:r>
    </w:p>
    <w:p w14:paraId="00679D66" w14:textId="77777777" w:rsidR="004B3003" w:rsidRDefault="004B3003">
      <w:pPr>
        <w:pStyle w:val="BodyText"/>
        <w:spacing w:before="24"/>
      </w:pPr>
    </w:p>
    <w:p w14:paraId="220E06BB" w14:textId="77777777" w:rsidR="004B3003" w:rsidRDefault="00000000">
      <w:pPr>
        <w:pStyle w:val="ListParagraph"/>
        <w:numPr>
          <w:ilvl w:val="0"/>
          <w:numId w:val="10"/>
        </w:numPr>
        <w:tabs>
          <w:tab w:val="left" w:pos="719"/>
        </w:tabs>
        <w:spacing w:before="1"/>
        <w:ind w:left="719" w:hanging="359"/>
      </w:pPr>
      <w:r>
        <w:t>Current</w:t>
      </w:r>
      <w:r>
        <w:rPr>
          <w:spacing w:val="-7"/>
        </w:rPr>
        <w:t xml:space="preserve"> </w:t>
      </w:r>
      <w:r>
        <w:t>price:</w:t>
      </w:r>
      <w:r>
        <w:rPr>
          <w:spacing w:val="-6"/>
        </w:rPr>
        <w:t xml:space="preserve"> </w:t>
      </w:r>
      <w:r>
        <w:rPr>
          <w:spacing w:val="-2"/>
        </w:rPr>
        <w:t>₹7,006.</w:t>
      </w:r>
    </w:p>
    <w:p w14:paraId="0F250203" w14:textId="3F16078A" w:rsidR="004B3003" w:rsidRDefault="00EE721F">
      <w:pPr>
        <w:pStyle w:val="ListParagraph"/>
        <w:numPr>
          <w:ilvl w:val="0"/>
          <w:numId w:val="10"/>
        </w:numPr>
        <w:tabs>
          <w:tab w:val="left" w:pos="719"/>
        </w:tabs>
        <w:spacing w:before="37"/>
        <w:ind w:left="719" w:hanging="359"/>
      </w:pPr>
      <w:r w:rsidRPr="00EE721F">
        <w:t>Key</w:t>
      </w:r>
      <w:r>
        <w:t xml:space="preserve"> </w:t>
      </w:r>
      <w:r w:rsidR="00000000">
        <w:t>Moving</w:t>
      </w:r>
      <w:r w:rsidR="00000000">
        <w:rPr>
          <w:spacing w:val="-6"/>
        </w:rPr>
        <w:t xml:space="preserve"> </w:t>
      </w:r>
      <w:r w:rsidR="00000000">
        <w:rPr>
          <w:spacing w:val="-2"/>
        </w:rPr>
        <w:t>Averages:</w:t>
      </w:r>
    </w:p>
    <w:p w14:paraId="19CAF94B" w14:textId="77777777" w:rsidR="004B3003" w:rsidRDefault="004B3003">
      <w:pPr>
        <w:pStyle w:val="BodyText"/>
        <w:spacing w:before="76"/>
      </w:pPr>
    </w:p>
    <w:p w14:paraId="1ACA81AC" w14:textId="77777777" w:rsidR="004B3003" w:rsidRDefault="00000000" w:rsidP="00206F6C">
      <w:pPr>
        <w:pStyle w:val="ListParagraph"/>
        <w:tabs>
          <w:tab w:val="left" w:pos="1439"/>
        </w:tabs>
        <w:ind w:left="1439" w:firstLine="0"/>
      </w:pPr>
      <w:r>
        <w:t>20-day</w:t>
      </w:r>
      <w:r>
        <w:rPr>
          <w:spacing w:val="-5"/>
        </w:rPr>
        <w:t xml:space="preserve"> </w:t>
      </w:r>
      <w:r>
        <w:t>EMA:</w:t>
      </w:r>
      <w:r>
        <w:rPr>
          <w:spacing w:val="-5"/>
        </w:rPr>
        <w:t xml:space="preserve"> </w:t>
      </w:r>
      <w:r>
        <w:rPr>
          <w:spacing w:val="-2"/>
        </w:rPr>
        <w:t>₹6,961</w:t>
      </w:r>
    </w:p>
    <w:p w14:paraId="65DD6BA3" w14:textId="77777777" w:rsidR="004B3003" w:rsidRDefault="00000000" w:rsidP="00206F6C">
      <w:pPr>
        <w:pStyle w:val="ListParagraph"/>
        <w:tabs>
          <w:tab w:val="left" w:pos="1439"/>
        </w:tabs>
        <w:spacing w:before="38"/>
        <w:ind w:left="1439" w:firstLine="0"/>
      </w:pPr>
      <w:r>
        <w:t>50-day</w:t>
      </w:r>
      <w:r>
        <w:rPr>
          <w:spacing w:val="-5"/>
        </w:rPr>
        <w:t xml:space="preserve"> </w:t>
      </w:r>
      <w:r>
        <w:t>EMA:</w:t>
      </w:r>
      <w:r>
        <w:rPr>
          <w:spacing w:val="-5"/>
        </w:rPr>
        <w:t xml:space="preserve"> </w:t>
      </w:r>
      <w:r>
        <w:rPr>
          <w:spacing w:val="-2"/>
        </w:rPr>
        <w:t>₹6,947</w:t>
      </w:r>
    </w:p>
    <w:p w14:paraId="7A774958" w14:textId="77777777" w:rsidR="004B3003" w:rsidRDefault="00000000" w:rsidP="00206F6C">
      <w:pPr>
        <w:pStyle w:val="ListParagraph"/>
        <w:tabs>
          <w:tab w:val="left" w:pos="1439"/>
        </w:tabs>
        <w:spacing w:before="38"/>
        <w:ind w:left="1439" w:firstLine="0"/>
      </w:pPr>
      <w:r>
        <w:t>200-day</w:t>
      </w:r>
      <w:r>
        <w:rPr>
          <w:spacing w:val="-6"/>
        </w:rPr>
        <w:t xml:space="preserve"> </w:t>
      </w:r>
      <w:r>
        <w:t>EMA:</w:t>
      </w:r>
      <w:r>
        <w:rPr>
          <w:spacing w:val="-5"/>
        </w:rPr>
        <w:t xml:space="preserve"> </w:t>
      </w:r>
      <w:r>
        <w:rPr>
          <w:spacing w:val="-2"/>
        </w:rPr>
        <w:t>₹6,742</w:t>
      </w:r>
    </w:p>
    <w:p w14:paraId="4D459BD8" w14:textId="77777777" w:rsidR="004B3003" w:rsidRPr="00206F6C" w:rsidRDefault="004B3003">
      <w:pPr>
        <w:pStyle w:val="BodyText"/>
        <w:spacing w:before="25"/>
      </w:pPr>
    </w:p>
    <w:p w14:paraId="2E30EEA6" w14:textId="52E03DB7" w:rsidR="00206F6C" w:rsidRPr="00206F6C" w:rsidRDefault="00206F6C" w:rsidP="00206F6C">
      <w:pPr>
        <w:pStyle w:val="Heading4"/>
        <w:numPr>
          <w:ilvl w:val="0"/>
          <w:numId w:val="20"/>
        </w:numPr>
        <w:rPr>
          <w:b w:val="0"/>
          <w:bCs w:val="0"/>
          <w:lang w:val="en-IN"/>
        </w:rPr>
      </w:pPr>
      <w:r w:rsidRPr="00206F6C">
        <w:rPr>
          <w:b w:val="0"/>
          <w:bCs w:val="0"/>
          <w:lang w:val="en-IN"/>
        </w:rPr>
        <w:t xml:space="preserve">Stock trades above all major EMAs, </w:t>
      </w:r>
      <w:proofErr w:type="spellStart"/>
      <w:r w:rsidRPr="00206F6C">
        <w:rPr>
          <w:b w:val="0"/>
          <w:bCs w:val="0"/>
          <w:lang w:val="en-IN"/>
        </w:rPr>
        <w:t>signaling</w:t>
      </w:r>
      <w:proofErr w:type="spellEnd"/>
      <w:r w:rsidRPr="00206F6C">
        <w:rPr>
          <w:b w:val="0"/>
          <w:bCs w:val="0"/>
          <w:lang w:val="en-IN"/>
        </w:rPr>
        <w:t xml:space="preserve"> a sustained uptrend</w:t>
      </w:r>
    </w:p>
    <w:p w14:paraId="26402488" w14:textId="7B3C4322" w:rsidR="00206F6C" w:rsidRPr="00206F6C" w:rsidRDefault="00206F6C" w:rsidP="00206F6C">
      <w:pPr>
        <w:pStyle w:val="Heading4"/>
        <w:numPr>
          <w:ilvl w:val="0"/>
          <w:numId w:val="20"/>
        </w:numPr>
        <w:rPr>
          <w:b w:val="0"/>
          <w:bCs w:val="0"/>
          <w:lang w:val="en-IN"/>
        </w:rPr>
      </w:pPr>
      <w:r w:rsidRPr="00206F6C">
        <w:rPr>
          <w:b w:val="0"/>
          <w:bCs w:val="0"/>
          <w:lang w:val="en-IN"/>
        </w:rPr>
        <w:t>RSI ~54: Neutral to slightly bullish—room for further upside</w:t>
      </w:r>
    </w:p>
    <w:p w14:paraId="05C6412A" w14:textId="58892441" w:rsidR="00206F6C" w:rsidRPr="00206F6C" w:rsidRDefault="00206F6C" w:rsidP="00206F6C">
      <w:pPr>
        <w:pStyle w:val="Heading4"/>
        <w:numPr>
          <w:ilvl w:val="0"/>
          <w:numId w:val="20"/>
        </w:numPr>
        <w:rPr>
          <w:b w:val="0"/>
          <w:bCs w:val="0"/>
          <w:lang w:val="en-IN"/>
        </w:rPr>
      </w:pPr>
      <w:r w:rsidRPr="00206F6C">
        <w:rPr>
          <w:b w:val="0"/>
          <w:bCs w:val="0"/>
          <w:lang w:val="en-IN"/>
        </w:rPr>
        <w:t>Strong momentum structure suggests potential breakout; ideal entry near long-term support levels offers a healthy risk-reward setup</w:t>
      </w:r>
    </w:p>
    <w:p w14:paraId="70903E2D" w14:textId="77777777" w:rsidR="00206F6C" w:rsidRDefault="00206F6C" w:rsidP="00206F6C">
      <w:pPr>
        <w:pStyle w:val="Heading4"/>
        <w:rPr>
          <w:lang w:val="en-IN"/>
        </w:rPr>
      </w:pPr>
    </w:p>
    <w:p w14:paraId="7C52B763" w14:textId="77777777" w:rsidR="00206F6C" w:rsidRPr="00206F6C" w:rsidRDefault="00206F6C" w:rsidP="00206F6C">
      <w:pPr>
        <w:pStyle w:val="Heading4"/>
        <w:rPr>
          <w:lang w:val="en-IN"/>
        </w:rPr>
      </w:pPr>
    </w:p>
    <w:p w14:paraId="2A773C69" w14:textId="77777777" w:rsidR="004B3003" w:rsidRDefault="00000000">
      <w:pPr>
        <w:pStyle w:val="Heading4"/>
      </w:pPr>
      <w:r>
        <w:rPr>
          <w:spacing w:val="-2"/>
        </w:rPr>
        <w:t>Technical</w:t>
      </w:r>
      <w:r>
        <w:rPr>
          <w:spacing w:val="-7"/>
        </w:rPr>
        <w:t xml:space="preserve"> </w:t>
      </w:r>
      <w:r>
        <w:rPr>
          <w:spacing w:val="-2"/>
        </w:rPr>
        <w:t>Attractiveness</w:t>
      </w:r>
    </w:p>
    <w:p w14:paraId="3B5560A3" w14:textId="77777777" w:rsidR="004B3003" w:rsidRDefault="004B3003">
      <w:pPr>
        <w:pStyle w:val="BodyText"/>
        <w:spacing w:before="25"/>
        <w:rPr>
          <w:b/>
        </w:rPr>
      </w:pPr>
    </w:p>
    <w:p w14:paraId="5569148C" w14:textId="77777777" w:rsidR="004B3003" w:rsidRDefault="00000000">
      <w:pPr>
        <w:pStyle w:val="ListParagraph"/>
        <w:numPr>
          <w:ilvl w:val="0"/>
          <w:numId w:val="10"/>
        </w:numPr>
        <w:tabs>
          <w:tab w:val="left" w:pos="719"/>
        </w:tabs>
        <w:ind w:left="719" w:hanging="359"/>
      </w:pPr>
      <w:r>
        <w:t>Healthy</w:t>
      </w:r>
      <w:r>
        <w:rPr>
          <w:spacing w:val="-7"/>
        </w:rPr>
        <w:t xml:space="preserve"> </w:t>
      </w:r>
      <w:r>
        <w:t>price</w:t>
      </w:r>
      <w:r>
        <w:rPr>
          <w:spacing w:val="-6"/>
        </w:rPr>
        <w:t xml:space="preserve"> </w:t>
      </w:r>
      <w:r>
        <w:t>structure</w:t>
      </w:r>
      <w:r>
        <w:rPr>
          <w:spacing w:val="-7"/>
        </w:rPr>
        <w:t xml:space="preserve"> </w:t>
      </w:r>
      <w:r>
        <w:t>supported</w:t>
      </w:r>
      <w:r>
        <w:rPr>
          <w:spacing w:val="-6"/>
        </w:rPr>
        <w:t xml:space="preserve"> </w:t>
      </w:r>
      <w:r>
        <w:t>by</w:t>
      </w:r>
      <w:r>
        <w:rPr>
          <w:spacing w:val="-6"/>
        </w:rPr>
        <w:t xml:space="preserve"> </w:t>
      </w:r>
      <w:r>
        <w:rPr>
          <w:spacing w:val="-2"/>
        </w:rPr>
        <w:t>EMAs.</w:t>
      </w:r>
    </w:p>
    <w:p w14:paraId="3B4615B4" w14:textId="77777777" w:rsidR="004B3003" w:rsidRDefault="004B3003">
      <w:pPr>
        <w:pStyle w:val="BodyText"/>
        <w:spacing w:before="76"/>
      </w:pPr>
    </w:p>
    <w:p w14:paraId="0ABB61E0" w14:textId="77777777" w:rsidR="004B3003" w:rsidRDefault="00000000">
      <w:pPr>
        <w:pStyle w:val="ListParagraph"/>
        <w:numPr>
          <w:ilvl w:val="0"/>
          <w:numId w:val="10"/>
        </w:numPr>
        <w:tabs>
          <w:tab w:val="left" w:pos="719"/>
        </w:tabs>
        <w:ind w:left="719" w:hanging="359"/>
      </w:pPr>
      <w:r>
        <w:t>Momentum</w:t>
      </w:r>
      <w:r>
        <w:rPr>
          <w:spacing w:val="-9"/>
        </w:rPr>
        <w:t xml:space="preserve"> </w:t>
      </w:r>
      <w:r>
        <w:t>oscillators</w:t>
      </w:r>
      <w:r>
        <w:rPr>
          <w:spacing w:val="-7"/>
        </w:rPr>
        <w:t xml:space="preserve"> </w:t>
      </w:r>
      <w:r>
        <w:t>aligned</w:t>
      </w:r>
      <w:r>
        <w:rPr>
          <w:spacing w:val="-7"/>
        </w:rPr>
        <w:t xml:space="preserve"> </w:t>
      </w:r>
      <w:r>
        <w:t>for</w:t>
      </w:r>
      <w:r>
        <w:rPr>
          <w:spacing w:val="-7"/>
        </w:rPr>
        <w:t xml:space="preserve"> </w:t>
      </w:r>
      <w:r>
        <w:t>upward</w:t>
      </w:r>
      <w:r>
        <w:rPr>
          <w:spacing w:val="-7"/>
        </w:rPr>
        <w:t xml:space="preserve"> </w:t>
      </w:r>
      <w:r>
        <w:rPr>
          <w:spacing w:val="-2"/>
        </w:rPr>
        <w:t>breakout.</w:t>
      </w:r>
    </w:p>
    <w:p w14:paraId="51A68CCA" w14:textId="77777777" w:rsidR="004B3003" w:rsidRDefault="004B3003">
      <w:pPr>
        <w:pStyle w:val="BodyText"/>
        <w:spacing w:before="76"/>
      </w:pPr>
    </w:p>
    <w:p w14:paraId="7D7406FB" w14:textId="77777777" w:rsidR="004B3003" w:rsidRDefault="00000000">
      <w:pPr>
        <w:pStyle w:val="ListParagraph"/>
        <w:numPr>
          <w:ilvl w:val="0"/>
          <w:numId w:val="10"/>
        </w:numPr>
        <w:tabs>
          <w:tab w:val="left" w:pos="719"/>
        </w:tabs>
        <w:ind w:left="719" w:hanging="359"/>
      </w:pPr>
      <w:r>
        <w:t>Entry</w:t>
      </w:r>
      <w:r>
        <w:rPr>
          <w:spacing w:val="-10"/>
        </w:rPr>
        <w:t xml:space="preserve"> </w:t>
      </w:r>
      <w:r>
        <w:t>opportunity</w:t>
      </w:r>
      <w:r>
        <w:rPr>
          <w:spacing w:val="-7"/>
        </w:rPr>
        <w:t xml:space="preserve"> </w:t>
      </w:r>
      <w:r>
        <w:t>near</w:t>
      </w:r>
      <w:r>
        <w:rPr>
          <w:spacing w:val="-8"/>
        </w:rPr>
        <w:t xml:space="preserve"> </w:t>
      </w:r>
      <w:r>
        <w:t>long-term</w:t>
      </w:r>
      <w:r>
        <w:rPr>
          <w:spacing w:val="-7"/>
        </w:rPr>
        <w:t xml:space="preserve"> </w:t>
      </w:r>
      <w:r>
        <w:t>support</w:t>
      </w:r>
      <w:r>
        <w:rPr>
          <w:spacing w:val="-8"/>
        </w:rPr>
        <w:t xml:space="preserve"> </w:t>
      </w:r>
      <w:r>
        <w:t>with</w:t>
      </w:r>
      <w:r>
        <w:rPr>
          <w:spacing w:val="-7"/>
        </w:rPr>
        <w:t xml:space="preserve"> </w:t>
      </w:r>
      <w:r>
        <w:t>favorable</w:t>
      </w:r>
      <w:r>
        <w:rPr>
          <w:spacing w:val="-8"/>
        </w:rPr>
        <w:t xml:space="preserve"> </w:t>
      </w:r>
      <w:r>
        <w:t>risk-reward</w:t>
      </w:r>
      <w:r>
        <w:rPr>
          <w:spacing w:val="-7"/>
        </w:rPr>
        <w:t xml:space="preserve"> </w:t>
      </w:r>
      <w:r>
        <w:rPr>
          <w:spacing w:val="-2"/>
        </w:rPr>
        <w:t>ratio.</w:t>
      </w:r>
    </w:p>
    <w:p w14:paraId="673CD713" w14:textId="77777777" w:rsidR="004B3003" w:rsidRDefault="004B3003">
      <w:pPr>
        <w:pStyle w:val="BodyText"/>
      </w:pPr>
    </w:p>
    <w:p w14:paraId="2413D28A" w14:textId="77777777" w:rsidR="004B3003" w:rsidRDefault="004B3003">
      <w:pPr>
        <w:pStyle w:val="BodyText"/>
        <w:spacing w:before="63"/>
      </w:pPr>
    </w:p>
    <w:p w14:paraId="2780BB6C" w14:textId="77777777" w:rsidR="004B3003" w:rsidRPr="00206F6C" w:rsidRDefault="00000000">
      <w:pPr>
        <w:pStyle w:val="Heading2"/>
        <w:rPr>
          <w:u w:val="none"/>
        </w:rPr>
      </w:pPr>
      <w:r w:rsidRPr="00206F6C">
        <w:rPr>
          <w:spacing w:val="-2"/>
          <w:u w:val="none"/>
        </w:rPr>
        <w:t>Conclusion</w:t>
      </w:r>
    </w:p>
    <w:p w14:paraId="498EDC92" w14:textId="77777777" w:rsidR="004B3003" w:rsidRDefault="004B3003">
      <w:pPr>
        <w:pStyle w:val="Heading2"/>
      </w:pPr>
    </w:p>
    <w:p w14:paraId="10A2D60F" w14:textId="6735B227" w:rsidR="00206F6C" w:rsidRPr="00206F6C" w:rsidRDefault="00206F6C">
      <w:pPr>
        <w:pStyle w:val="Heading2"/>
        <w:rPr>
          <w:sz w:val="22"/>
          <w:szCs w:val="22"/>
        </w:rPr>
        <w:sectPr w:rsidR="00206F6C" w:rsidRPr="00206F6C">
          <w:pgSz w:w="12240" w:h="15840"/>
          <w:pgMar w:top="1420" w:right="1080" w:bottom="280" w:left="1440" w:header="720" w:footer="720" w:gutter="0"/>
          <w:cols w:space="720"/>
        </w:sectPr>
      </w:pPr>
      <w:r w:rsidRPr="00206F6C">
        <w:rPr>
          <w:b w:val="0"/>
          <w:bCs w:val="0"/>
          <w:sz w:val="22"/>
          <w:szCs w:val="22"/>
          <w:u w:val="none"/>
        </w:rPr>
        <w:t>With its dominant market position, scalable infrastructure, and consistent execution, Apollo Hospitals is a high-conviction candidate for inclusion in a long</w:t>
      </w:r>
      <w:r w:rsidRPr="00206F6C">
        <w:rPr>
          <w:b w:val="0"/>
          <w:bCs w:val="0"/>
          <w:sz w:val="22"/>
          <w:szCs w:val="22"/>
          <w:u w:val="none"/>
        </w:rPr>
        <w:t xml:space="preserve"> </w:t>
      </w:r>
      <w:r w:rsidRPr="00206F6C">
        <w:rPr>
          <w:b w:val="0"/>
          <w:bCs w:val="0"/>
          <w:sz w:val="22"/>
          <w:szCs w:val="22"/>
          <w:u w:val="none"/>
        </w:rPr>
        <w:t>term, growth</w:t>
      </w:r>
      <w:r w:rsidRPr="00206F6C">
        <w:rPr>
          <w:b w:val="0"/>
          <w:bCs w:val="0"/>
          <w:sz w:val="22"/>
          <w:szCs w:val="22"/>
          <w:u w:val="none"/>
        </w:rPr>
        <w:t xml:space="preserve"> </w:t>
      </w:r>
      <w:r w:rsidRPr="00206F6C">
        <w:rPr>
          <w:b w:val="0"/>
          <w:bCs w:val="0"/>
          <w:sz w:val="22"/>
          <w:szCs w:val="22"/>
          <w:u w:val="none"/>
        </w:rPr>
        <w:t xml:space="preserve">oriented portfolio, especially for investors seeking exposure to India’s healthcare </w:t>
      </w:r>
      <w:r w:rsidRPr="00206F6C">
        <w:rPr>
          <w:b w:val="0"/>
          <w:bCs w:val="0"/>
          <w:sz w:val="22"/>
          <w:szCs w:val="22"/>
          <w:u w:val="none"/>
        </w:rPr>
        <w:t>.</w:t>
      </w:r>
    </w:p>
    <w:p w14:paraId="7D7DAFE9" w14:textId="77777777" w:rsidR="004B3003" w:rsidRDefault="004B3003">
      <w:pPr>
        <w:pStyle w:val="BodyText"/>
      </w:pPr>
    </w:p>
    <w:p w14:paraId="59D289AF" w14:textId="77777777" w:rsidR="004B3003" w:rsidRDefault="004B3003">
      <w:pPr>
        <w:pStyle w:val="BodyText"/>
        <w:spacing w:before="11"/>
      </w:pPr>
    </w:p>
    <w:p w14:paraId="7CF8EB24" w14:textId="77777777" w:rsidR="004B3003" w:rsidRDefault="00000000">
      <w:pPr>
        <w:pStyle w:val="Heading2"/>
        <w:spacing w:before="1"/>
        <w:rPr>
          <w:u w:val="none"/>
        </w:rPr>
      </w:pPr>
      <w:r>
        <w:t>2.</w:t>
      </w:r>
      <w:r>
        <w:rPr>
          <w:spacing w:val="-4"/>
        </w:rPr>
        <w:t xml:space="preserve"> </w:t>
      </w:r>
      <w:r>
        <w:t>Eicher</w:t>
      </w:r>
      <w:r>
        <w:rPr>
          <w:spacing w:val="-4"/>
        </w:rPr>
        <w:t xml:space="preserve"> </w:t>
      </w:r>
      <w:r>
        <w:rPr>
          <w:spacing w:val="-2"/>
        </w:rPr>
        <w:t>Motors</w:t>
      </w:r>
    </w:p>
    <w:p w14:paraId="7461CBD8" w14:textId="77777777" w:rsidR="004B3003" w:rsidRDefault="004B3003">
      <w:pPr>
        <w:pStyle w:val="BodyText"/>
        <w:spacing w:before="86"/>
        <w:rPr>
          <w:b/>
          <w:sz w:val="28"/>
        </w:rPr>
      </w:pPr>
    </w:p>
    <w:p w14:paraId="66D622C4" w14:textId="77777777" w:rsidR="004B3003" w:rsidRDefault="00000000">
      <w:pPr>
        <w:pStyle w:val="Heading4"/>
        <w:numPr>
          <w:ilvl w:val="0"/>
          <w:numId w:val="9"/>
        </w:numPr>
        <w:tabs>
          <w:tab w:val="left" w:pos="242"/>
        </w:tabs>
        <w:ind w:left="242" w:hanging="242"/>
      </w:pPr>
      <w:bookmarkStart w:id="4" w:name="1._Industry_Outlook_-_Premium_Motorcycle"/>
      <w:bookmarkEnd w:id="4"/>
      <w:r>
        <w:t>Industry</w:t>
      </w:r>
      <w:r>
        <w:rPr>
          <w:spacing w:val="-7"/>
        </w:rPr>
        <w:t xml:space="preserve"> </w:t>
      </w:r>
      <w:r>
        <w:t>Outlook</w:t>
      </w:r>
      <w:r>
        <w:rPr>
          <w:spacing w:val="-7"/>
        </w:rPr>
        <w:t xml:space="preserve"> </w:t>
      </w:r>
      <w:r>
        <w:t>-</w:t>
      </w:r>
      <w:r>
        <w:rPr>
          <w:spacing w:val="-6"/>
        </w:rPr>
        <w:t xml:space="preserve"> </w:t>
      </w:r>
      <w:r>
        <w:t>Premium</w:t>
      </w:r>
      <w:r>
        <w:rPr>
          <w:spacing w:val="-7"/>
        </w:rPr>
        <w:t xml:space="preserve"> </w:t>
      </w:r>
      <w:r>
        <w:t>Motorcycle</w:t>
      </w:r>
      <w:r>
        <w:rPr>
          <w:spacing w:val="-6"/>
        </w:rPr>
        <w:t xml:space="preserve"> </w:t>
      </w:r>
      <w:r>
        <w:rPr>
          <w:spacing w:val="-2"/>
        </w:rPr>
        <w:t>Surge</w:t>
      </w:r>
    </w:p>
    <w:p w14:paraId="40009870" w14:textId="77777777" w:rsidR="004B3003" w:rsidRDefault="004B3003">
      <w:pPr>
        <w:pStyle w:val="BodyText"/>
        <w:spacing w:before="25"/>
        <w:rPr>
          <w:b/>
        </w:rPr>
      </w:pPr>
    </w:p>
    <w:p w14:paraId="0464A27E" w14:textId="74707A09" w:rsidR="004540BB" w:rsidRPr="004540BB" w:rsidRDefault="004540BB" w:rsidP="004540BB">
      <w:pPr>
        <w:pStyle w:val="BodyText"/>
        <w:numPr>
          <w:ilvl w:val="0"/>
          <w:numId w:val="21"/>
        </w:numPr>
        <w:rPr>
          <w:lang w:val="en-IN"/>
        </w:rPr>
      </w:pPr>
      <w:r w:rsidRPr="004540BB">
        <w:rPr>
          <w:lang w:val="en-IN"/>
        </w:rPr>
        <w:t xml:space="preserve">Royal Enfield continues to dominate India’s premium </w:t>
      </w:r>
      <w:proofErr w:type="spellStart"/>
      <w:r w:rsidRPr="004540BB">
        <w:rPr>
          <w:lang w:val="en-IN"/>
        </w:rPr>
        <w:t>mid</w:t>
      </w:r>
      <w:r w:rsidRPr="004540BB">
        <w:rPr>
          <w:lang w:val="en-IN"/>
        </w:rPr>
        <w:t xml:space="preserve"> </w:t>
      </w:r>
      <w:r w:rsidRPr="004540BB">
        <w:rPr>
          <w:lang w:val="en-IN"/>
        </w:rPr>
        <w:t>size</w:t>
      </w:r>
      <w:proofErr w:type="spellEnd"/>
      <w:r w:rsidRPr="004540BB">
        <w:rPr>
          <w:lang w:val="en-IN"/>
        </w:rPr>
        <w:t xml:space="preserve"> motorcycle segment, which is growing significantly faster than the commuter bike category.</w:t>
      </w:r>
    </w:p>
    <w:p w14:paraId="79FE2373" w14:textId="77777777" w:rsidR="004540BB" w:rsidRPr="004540BB" w:rsidRDefault="004540BB" w:rsidP="004540BB">
      <w:pPr>
        <w:pStyle w:val="BodyText"/>
        <w:ind w:left="720"/>
        <w:rPr>
          <w:lang w:val="en-IN"/>
        </w:rPr>
      </w:pPr>
    </w:p>
    <w:p w14:paraId="23BA7180" w14:textId="77777777" w:rsidR="004540BB" w:rsidRDefault="004540BB" w:rsidP="004540BB">
      <w:pPr>
        <w:pStyle w:val="BodyText"/>
        <w:numPr>
          <w:ilvl w:val="0"/>
          <w:numId w:val="21"/>
        </w:numPr>
        <w:rPr>
          <w:lang w:val="en-IN"/>
        </w:rPr>
      </w:pPr>
      <w:r w:rsidRPr="004540BB">
        <w:rPr>
          <w:lang w:val="en-IN"/>
        </w:rPr>
        <w:t>In Q4 FY25, Royal Enfield’s:</w:t>
      </w:r>
    </w:p>
    <w:p w14:paraId="5F5C51D1" w14:textId="77777777" w:rsidR="004540BB" w:rsidRPr="004540BB" w:rsidRDefault="004540BB" w:rsidP="004540BB">
      <w:pPr>
        <w:pStyle w:val="BodyText"/>
        <w:rPr>
          <w:lang w:val="en-IN"/>
        </w:rPr>
      </w:pPr>
    </w:p>
    <w:p w14:paraId="40A1CBC9" w14:textId="0661A963" w:rsidR="004540BB" w:rsidRDefault="004540BB" w:rsidP="004540BB">
      <w:pPr>
        <w:pStyle w:val="BodyText"/>
        <w:ind w:left="1440"/>
        <w:rPr>
          <w:lang w:val="en-IN"/>
        </w:rPr>
      </w:pPr>
      <w:r w:rsidRPr="004540BB">
        <w:rPr>
          <w:lang w:val="en-IN"/>
        </w:rPr>
        <w:t>Exports surged +42% YoY, driven by rising global brand recognition.</w:t>
      </w:r>
    </w:p>
    <w:p w14:paraId="3EFB2A4F" w14:textId="77777777" w:rsidR="004540BB" w:rsidRPr="004540BB" w:rsidRDefault="004540BB" w:rsidP="004540BB">
      <w:pPr>
        <w:pStyle w:val="BodyText"/>
        <w:ind w:left="1440"/>
        <w:rPr>
          <w:lang w:val="en-IN"/>
        </w:rPr>
      </w:pPr>
    </w:p>
    <w:p w14:paraId="34588ED8" w14:textId="77777777" w:rsidR="004540BB" w:rsidRDefault="004540BB" w:rsidP="004540BB">
      <w:pPr>
        <w:pStyle w:val="BodyText"/>
        <w:ind w:left="1440"/>
        <w:rPr>
          <w:lang w:val="en-IN"/>
        </w:rPr>
      </w:pPr>
      <w:r w:rsidRPr="004540BB">
        <w:rPr>
          <w:lang w:val="en-IN"/>
        </w:rPr>
        <w:t>350 cc+ bike sales grew ~42% YoY, reflecting increased demand from aspirational urban youth.</w:t>
      </w:r>
    </w:p>
    <w:p w14:paraId="1D916FCB" w14:textId="77777777" w:rsidR="004540BB" w:rsidRPr="004540BB" w:rsidRDefault="004540BB" w:rsidP="004540BB">
      <w:pPr>
        <w:pStyle w:val="BodyText"/>
        <w:rPr>
          <w:lang w:val="en-IN"/>
        </w:rPr>
      </w:pPr>
    </w:p>
    <w:p w14:paraId="446CCDEF" w14:textId="77777777" w:rsidR="004540BB" w:rsidRDefault="004540BB" w:rsidP="004540BB">
      <w:pPr>
        <w:pStyle w:val="BodyText"/>
        <w:numPr>
          <w:ilvl w:val="0"/>
          <w:numId w:val="21"/>
        </w:numPr>
        <w:rPr>
          <w:lang w:val="en-IN"/>
        </w:rPr>
      </w:pPr>
      <w:r w:rsidRPr="004540BB">
        <w:rPr>
          <w:lang w:val="en-IN"/>
        </w:rPr>
        <w:t>Factors driving this surge:</w:t>
      </w:r>
    </w:p>
    <w:p w14:paraId="7B02FEAA" w14:textId="77777777" w:rsidR="004540BB" w:rsidRPr="004540BB" w:rsidRDefault="004540BB" w:rsidP="004540BB">
      <w:pPr>
        <w:pStyle w:val="BodyText"/>
        <w:ind w:left="720"/>
        <w:rPr>
          <w:lang w:val="en-IN"/>
        </w:rPr>
      </w:pPr>
    </w:p>
    <w:p w14:paraId="1D251F05" w14:textId="77777777" w:rsidR="004540BB" w:rsidRDefault="004540BB" w:rsidP="004540BB">
      <w:pPr>
        <w:pStyle w:val="BodyText"/>
        <w:ind w:left="1440"/>
        <w:rPr>
          <w:lang w:val="en-IN"/>
        </w:rPr>
      </w:pPr>
      <w:r w:rsidRPr="004540BB">
        <w:rPr>
          <w:lang w:val="en-IN"/>
        </w:rPr>
        <w:t>Lifestyle-oriented consumption</w:t>
      </w:r>
    </w:p>
    <w:p w14:paraId="5297FF03" w14:textId="77777777" w:rsidR="004540BB" w:rsidRPr="004540BB" w:rsidRDefault="004540BB" w:rsidP="004540BB">
      <w:pPr>
        <w:pStyle w:val="BodyText"/>
        <w:ind w:left="1440"/>
        <w:rPr>
          <w:lang w:val="en-IN"/>
        </w:rPr>
      </w:pPr>
    </w:p>
    <w:p w14:paraId="3423CA73" w14:textId="77777777" w:rsidR="004540BB" w:rsidRDefault="004540BB" w:rsidP="004540BB">
      <w:pPr>
        <w:pStyle w:val="BodyText"/>
        <w:ind w:left="1440"/>
        <w:rPr>
          <w:lang w:val="en-IN"/>
        </w:rPr>
      </w:pPr>
      <w:r w:rsidRPr="004540BB">
        <w:rPr>
          <w:lang w:val="en-IN"/>
        </w:rPr>
        <w:t>Brand loyalty among enthusiasts</w:t>
      </w:r>
    </w:p>
    <w:p w14:paraId="3D62670B" w14:textId="77777777" w:rsidR="004540BB" w:rsidRPr="004540BB" w:rsidRDefault="004540BB" w:rsidP="004540BB">
      <w:pPr>
        <w:pStyle w:val="BodyText"/>
        <w:rPr>
          <w:lang w:val="en-IN"/>
        </w:rPr>
      </w:pPr>
    </w:p>
    <w:p w14:paraId="5C1A6A21" w14:textId="77777777" w:rsidR="004540BB" w:rsidRDefault="004540BB" w:rsidP="004540BB">
      <w:pPr>
        <w:pStyle w:val="BodyText"/>
        <w:ind w:left="1440"/>
        <w:rPr>
          <w:lang w:val="en-IN"/>
        </w:rPr>
      </w:pPr>
      <w:r w:rsidRPr="004540BB">
        <w:rPr>
          <w:lang w:val="en-IN"/>
        </w:rPr>
        <w:t>Increased interest from younger riders seeking differentiated riding experiences</w:t>
      </w:r>
    </w:p>
    <w:p w14:paraId="63A3BE64" w14:textId="77777777" w:rsidR="004540BB" w:rsidRPr="004540BB" w:rsidRDefault="004540BB" w:rsidP="004540BB">
      <w:pPr>
        <w:pStyle w:val="BodyText"/>
        <w:rPr>
          <w:lang w:val="en-IN"/>
        </w:rPr>
      </w:pPr>
    </w:p>
    <w:p w14:paraId="7C665158" w14:textId="77777777" w:rsidR="004540BB" w:rsidRDefault="004540BB" w:rsidP="004540BB">
      <w:pPr>
        <w:pStyle w:val="BodyText"/>
        <w:rPr>
          <w:lang w:val="en-IN"/>
        </w:rPr>
      </w:pPr>
      <w:r w:rsidRPr="004540BB">
        <w:rPr>
          <w:lang w:val="en-IN"/>
        </w:rPr>
        <w:t>RE has also been strengthening its global presence through:</w:t>
      </w:r>
    </w:p>
    <w:p w14:paraId="78B0ECC0" w14:textId="77777777" w:rsidR="004540BB" w:rsidRPr="004540BB" w:rsidRDefault="004540BB" w:rsidP="004540BB">
      <w:pPr>
        <w:pStyle w:val="BodyText"/>
        <w:rPr>
          <w:lang w:val="en-IN"/>
        </w:rPr>
      </w:pPr>
    </w:p>
    <w:p w14:paraId="7C4BA99B" w14:textId="77777777" w:rsidR="004540BB" w:rsidRDefault="004540BB" w:rsidP="004540BB">
      <w:pPr>
        <w:pStyle w:val="BodyText"/>
        <w:numPr>
          <w:ilvl w:val="0"/>
          <w:numId w:val="22"/>
        </w:numPr>
        <w:rPr>
          <w:lang w:val="en-IN"/>
        </w:rPr>
      </w:pPr>
      <w:r w:rsidRPr="004540BB">
        <w:rPr>
          <w:lang w:val="en-IN"/>
        </w:rPr>
        <w:t>Entry into markets like the UK, Europe, and LATAM</w:t>
      </w:r>
    </w:p>
    <w:p w14:paraId="23790B87" w14:textId="77777777" w:rsidR="004540BB" w:rsidRPr="004540BB" w:rsidRDefault="004540BB" w:rsidP="004540BB">
      <w:pPr>
        <w:pStyle w:val="BodyText"/>
        <w:ind w:left="720"/>
        <w:rPr>
          <w:lang w:val="en-IN"/>
        </w:rPr>
      </w:pPr>
    </w:p>
    <w:p w14:paraId="7DB69D42" w14:textId="77777777" w:rsidR="004540BB" w:rsidRDefault="004540BB" w:rsidP="004540BB">
      <w:pPr>
        <w:pStyle w:val="BodyText"/>
        <w:numPr>
          <w:ilvl w:val="0"/>
          <w:numId w:val="22"/>
        </w:numPr>
        <w:rPr>
          <w:lang w:val="en-IN"/>
        </w:rPr>
      </w:pPr>
      <w:r w:rsidRPr="004540BB">
        <w:rPr>
          <w:lang w:val="en-IN"/>
        </w:rPr>
        <w:t>New launches such as the Himalayan 450 and Shotgun 650</w:t>
      </w:r>
    </w:p>
    <w:p w14:paraId="48C15464" w14:textId="77777777" w:rsidR="004540BB" w:rsidRPr="004540BB" w:rsidRDefault="004540BB" w:rsidP="004540BB">
      <w:pPr>
        <w:pStyle w:val="BodyText"/>
        <w:rPr>
          <w:lang w:val="en-IN"/>
        </w:rPr>
      </w:pPr>
    </w:p>
    <w:p w14:paraId="61BBFA37" w14:textId="77777777" w:rsidR="004540BB" w:rsidRPr="004540BB" w:rsidRDefault="004540BB" w:rsidP="004540BB">
      <w:pPr>
        <w:pStyle w:val="BodyText"/>
        <w:numPr>
          <w:ilvl w:val="0"/>
          <w:numId w:val="22"/>
        </w:numPr>
        <w:rPr>
          <w:lang w:val="en-IN"/>
        </w:rPr>
      </w:pPr>
      <w:r w:rsidRPr="004540BB">
        <w:rPr>
          <w:lang w:val="en-IN"/>
        </w:rPr>
        <w:t>Enhanced brand-led experiences (rider clubs, global rides, community building)</w:t>
      </w:r>
    </w:p>
    <w:p w14:paraId="68153A31" w14:textId="77777777" w:rsidR="004B3003" w:rsidRPr="004540BB" w:rsidRDefault="004B3003">
      <w:pPr>
        <w:pStyle w:val="BodyText"/>
      </w:pPr>
    </w:p>
    <w:p w14:paraId="11664537" w14:textId="77777777" w:rsidR="004B3003" w:rsidRPr="004540BB" w:rsidRDefault="004B3003">
      <w:pPr>
        <w:pStyle w:val="BodyText"/>
        <w:spacing w:before="25"/>
      </w:pPr>
    </w:p>
    <w:p w14:paraId="1B7A1989" w14:textId="77777777" w:rsidR="004B3003" w:rsidRDefault="00000000">
      <w:pPr>
        <w:pStyle w:val="Heading4"/>
      </w:pPr>
      <w:r>
        <w:t>Commercial</w:t>
      </w:r>
      <w:r>
        <w:rPr>
          <w:spacing w:val="-15"/>
        </w:rPr>
        <w:t xml:space="preserve"> </w:t>
      </w:r>
      <w:r>
        <w:t>Vehicles</w:t>
      </w:r>
      <w:r>
        <w:rPr>
          <w:spacing w:val="-15"/>
        </w:rPr>
        <w:t xml:space="preserve"> </w:t>
      </w:r>
      <w:r>
        <w:rPr>
          <w:spacing w:val="-2"/>
        </w:rPr>
        <w:t>Growth</w:t>
      </w:r>
    </w:p>
    <w:p w14:paraId="36326C58" w14:textId="77777777" w:rsidR="004B3003" w:rsidRDefault="004B3003">
      <w:pPr>
        <w:pStyle w:val="BodyText"/>
        <w:spacing w:before="25"/>
        <w:rPr>
          <w:b/>
        </w:rPr>
      </w:pPr>
    </w:p>
    <w:p w14:paraId="0A0CCC6C" w14:textId="249F2B63" w:rsidR="004540BB" w:rsidRDefault="004540BB" w:rsidP="004540BB">
      <w:pPr>
        <w:pStyle w:val="BodyText"/>
        <w:numPr>
          <w:ilvl w:val="0"/>
          <w:numId w:val="22"/>
        </w:numPr>
        <w:rPr>
          <w:lang w:val="en-IN"/>
        </w:rPr>
      </w:pPr>
      <w:r w:rsidRPr="004540BB">
        <w:rPr>
          <w:b/>
          <w:bCs/>
          <w:lang w:val="en-IN"/>
        </w:rPr>
        <w:t>VECV</w:t>
      </w:r>
      <w:r w:rsidRPr="004540BB">
        <w:rPr>
          <w:lang w:val="en-IN"/>
        </w:rPr>
        <w:t xml:space="preserve">, the 50:50 JV with </w:t>
      </w:r>
      <w:r w:rsidRPr="004540BB">
        <w:rPr>
          <w:b/>
          <w:bCs/>
          <w:lang w:val="en-IN"/>
        </w:rPr>
        <w:t>Volvo Group</w:t>
      </w:r>
      <w:r w:rsidRPr="004540BB">
        <w:rPr>
          <w:lang w:val="en-IN"/>
        </w:rPr>
        <w:t>, contributes ~15% to Eicher’s consolidated revenues.</w:t>
      </w:r>
    </w:p>
    <w:p w14:paraId="7EA15DCE" w14:textId="77777777" w:rsidR="004540BB" w:rsidRPr="004540BB" w:rsidRDefault="004540BB" w:rsidP="004540BB">
      <w:pPr>
        <w:pStyle w:val="BodyText"/>
        <w:rPr>
          <w:lang w:val="en-IN"/>
        </w:rPr>
      </w:pPr>
    </w:p>
    <w:p w14:paraId="3C884EE8" w14:textId="06AC6006" w:rsidR="004540BB" w:rsidRPr="004540BB" w:rsidRDefault="004540BB" w:rsidP="004540BB">
      <w:pPr>
        <w:pStyle w:val="BodyText"/>
        <w:numPr>
          <w:ilvl w:val="0"/>
          <w:numId w:val="23"/>
        </w:numPr>
        <w:rPr>
          <w:lang w:val="en-IN"/>
        </w:rPr>
      </w:pPr>
      <w:r w:rsidRPr="004540BB">
        <w:rPr>
          <w:lang w:val="en-IN"/>
        </w:rPr>
        <w:t xml:space="preserve">In </w:t>
      </w:r>
      <w:r w:rsidRPr="004540BB">
        <w:rPr>
          <w:b/>
          <w:bCs/>
          <w:lang w:val="en-IN"/>
        </w:rPr>
        <w:t>Dec 2024</w:t>
      </w:r>
      <w:r w:rsidRPr="004540BB">
        <w:rPr>
          <w:lang w:val="en-IN"/>
        </w:rPr>
        <w:t>, VECV:</w:t>
      </w:r>
    </w:p>
    <w:p w14:paraId="4AAC08D7" w14:textId="77777777" w:rsidR="004540BB" w:rsidRPr="004540BB" w:rsidRDefault="004540BB" w:rsidP="004540BB">
      <w:pPr>
        <w:pStyle w:val="BodyText"/>
        <w:ind w:left="720"/>
        <w:rPr>
          <w:lang w:val="en-IN"/>
        </w:rPr>
      </w:pPr>
      <w:r w:rsidRPr="004540BB">
        <w:rPr>
          <w:lang w:val="en-IN"/>
        </w:rPr>
        <w:t xml:space="preserve">Grew </w:t>
      </w:r>
      <w:r w:rsidRPr="004540BB">
        <w:rPr>
          <w:b/>
          <w:bCs/>
          <w:lang w:val="en-IN"/>
        </w:rPr>
        <w:t>domestic CV volumes by ~3.7% YoY</w:t>
      </w:r>
    </w:p>
    <w:p w14:paraId="44DBEA0F" w14:textId="77777777" w:rsidR="004540BB" w:rsidRDefault="004540BB" w:rsidP="004540BB">
      <w:pPr>
        <w:pStyle w:val="BodyText"/>
        <w:ind w:left="720"/>
        <w:rPr>
          <w:lang w:val="en-IN"/>
        </w:rPr>
      </w:pPr>
      <w:r w:rsidRPr="004540BB">
        <w:rPr>
          <w:lang w:val="en-IN"/>
        </w:rPr>
        <w:t xml:space="preserve">Achieved a </w:t>
      </w:r>
      <w:r w:rsidRPr="004540BB">
        <w:rPr>
          <w:b/>
          <w:bCs/>
          <w:lang w:val="en-IN"/>
        </w:rPr>
        <w:t>~52% export growth</w:t>
      </w:r>
      <w:r w:rsidRPr="004540BB">
        <w:rPr>
          <w:lang w:val="en-IN"/>
        </w:rPr>
        <w:t>, driven by Africa, Middle East, and Southeast Asia markets</w:t>
      </w:r>
    </w:p>
    <w:p w14:paraId="157F62A3" w14:textId="77777777" w:rsidR="004540BB" w:rsidRPr="004540BB" w:rsidRDefault="004540BB" w:rsidP="004540BB">
      <w:pPr>
        <w:pStyle w:val="BodyText"/>
        <w:ind w:left="720"/>
        <w:rPr>
          <w:lang w:val="en-IN"/>
        </w:rPr>
      </w:pPr>
    </w:p>
    <w:p w14:paraId="43AF2601" w14:textId="755723A2" w:rsidR="004540BB" w:rsidRPr="004540BB" w:rsidRDefault="004540BB" w:rsidP="004540BB">
      <w:pPr>
        <w:pStyle w:val="BodyText"/>
        <w:numPr>
          <w:ilvl w:val="0"/>
          <w:numId w:val="23"/>
        </w:numPr>
        <w:rPr>
          <w:lang w:val="en-IN"/>
        </w:rPr>
      </w:pPr>
      <w:r w:rsidRPr="004540BB">
        <w:rPr>
          <w:lang w:val="en-IN"/>
        </w:rPr>
        <w:t>Despite macro headwinds in the Indian CV space, VECV’s:</w:t>
      </w:r>
    </w:p>
    <w:p w14:paraId="3151C510" w14:textId="77777777" w:rsidR="004540BB" w:rsidRPr="004540BB" w:rsidRDefault="004540BB" w:rsidP="004540BB">
      <w:pPr>
        <w:pStyle w:val="BodyText"/>
        <w:ind w:left="720"/>
        <w:rPr>
          <w:lang w:val="en-IN"/>
        </w:rPr>
      </w:pPr>
      <w:r w:rsidRPr="004540BB">
        <w:rPr>
          <w:lang w:val="en-IN"/>
        </w:rPr>
        <w:t xml:space="preserve">Early investments in </w:t>
      </w:r>
      <w:r w:rsidRPr="004540BB">
        <w:rPr>
          <w:b/>
          <w:bCs/>
          <w:lang w:val="en-IN"/>
        </w:rPr>
        <w:t>electric and LNG-based commercial vehicles</w:t>
      </w:r>
    </w:p>
    <w:p w14:paraId="2901C258" w14:textId="77777777" w:rsidR="004540BB" w:rsidRPr="004540BB" w:rsidRDefault="004540BB" w:rsidP="004540BB">
      <w:pPr>
        <w:pStyle w:val="BodyText"/>
        <w:ind w:left="720"/>
        <w:rPr>
          <w:lang w:val="en-IN"/>
        </w:rPr>
      </w:pPr>
      <w:r w:rsidRPr="004540BB">
        <w:rPr>
          <w:lang w:val="en-IN"/>
        </w:rPr>
        <w:t xml:space="preserve">Expansion in </w:t>
      </w:r>
      <w:r w:rsidRPr="004540BB">
        <w:rPr>
          <w:b/>
          <w:bCs/>
          <w:lang w:val="en-IN"/>
        </w:rPr>
        <w:t>aftermarket services and international markets</w:t>
      </w:r>
      <w:r w:rsidRPr="004540BB">
        <w:rPr>
          <w:lang w:val="en-IN"/>
        </w:rPr>
        <w:br/>
        <w:t xml:space="preserve">position it well for the ongoing </w:t>
      </w:r>
      <w:r w:rsidRPr="004540BB">
        <w:rPr>
          <w:b/>
          <w:bCs/>
          <w:lang w:val="en-IN"/>
        </w:rPr>
        <w:t>multi-year CV upcycle</w:t>
      </w:r>
      <w:r w:rsidRPr="004540BB">
        <w:rPr>
          <w:lang w:val="en-IN"/>
        </w:rPr>
        <w:t xml:space="preserve"> </w:t>
      </w:r>
      <w:proofErr w:type="spellStart"/>
      <w:r w:rsidRPr="004540BB">
        <w:rPr>
          <w:lang w:val="en-IN"/>
        </w:rPr>
        <w:t>fueled</w:t>
      </w:r>
      <w:proofErr w:type="spellEnd"/>
      <w:r w:rsidRPr="004540BB">
        <w:rPr>
          <w:lang w:val="en-IN"/>
        </w:rPr>
        <w:t xml:space="preserve"> by infrastructure, logistics, and clean energy mandates.</w:t>
      </w:r>
    </w:p>
    <w:p w14:paraId="62ACA681" w14:textId="77777777" w:rsidR="004B3003" w:rsidRDefault="004B3003">
      <w:pPr>
        <w:pStyle w:val="BodyText"/>
      </w:pPr>
    </w:p>
    <w:p w14:paraId="147C853F" w14:textId="77777777" w:rsidR="004B3003" w:rsidRDefault="004B3003">
      <w:pPr>
        <w:pStyle w:val="BodyText"/>
        <w:spacing w:before="25"/>
      </w:pPr>
    </w:p>
    <w:p w14:paraId="08108853" w14:textId="4E36C5BA" w:rsidR="004B3003" w:rsidRDefault="004540BB" w:rsidP="004540BB">
      <w:pPr>
        <w:pStyle w:val="BodyText"/>
        <w:spacing w:line="276" w:lineRule="auto"/>
        <w:ind w:right="422"/>
      </w:pPr>
      <w:r>
        <w:t xml:space="preserve"> </w:t>
      </w:r>
      <w:r w:rsidR="00000000">
        <w:t xml:space="preserve">Eicher is well-placed across two growth domains: premium bikes benefiting from lifestyle </w:t>
      </w:r>
      <w:r>
        <w:t xml:space="preserve">     </w:t>
      </w:r>
      <w:r w:rsidR="00000000">
        <w:t>trends,</w:t>
      </w:r>
      <w:r w:rsidR="00000000">
        <w:rPr>
          <w:spacing w:val="-5"/>
        </w:rPr>
        <w:t xml:space="preserve"> </w:t>
      </w:r>
      <w:r w:rsidR="00000000">
        <w:t>and</w:t>
      </w:r>
      <w:r w:rsidR="00000000">
        <w:rPr>
          <w:spacing w:val="-5"/>
        </w:rPr>
        <w:t xml:space="preserve"> </w:t>
      </w:r>
      <w:r w:rsidR="00000000">
        <w:t>commercial</w:t>
      </w:r>
      <w:r w:rsidR="00000000">
        <w:rPr>
          <w:spacing w:val="-5"/>
        </w:rPr>
        <w:t xml:space="preserve"> </w:t>
      </w:r>
      <w:r w:rsidR="00000000">
        <w:t>vehicles</w:t>
      </w:r>
      <w:r w:rsidR="00000000">
        <w:rPr>
          <w:spacing w:val="-5"/>
        </w:rPr>
        <w:t xml:space="preserve"> </w:t>
      </w:r>
      <w:r w:rsidR="00000000">
        <w:t>riding</w:t>
      </w:r>
      <w:r w:rsidR="00000000">
        <w:rPr>
          <w:spacing w:val="-5"/>
        </w:rPr>
        <w:t xml:space="preserve"> </w:t>
      </w:r>
      <w:r w:rsidR="00000000">
        <w:t>a</w:t>
      </w:r>
      <w:r w:rsidR="00000000">
        <w:rPr>
          <w:spacing w:val="-5"/>
        </w:rPr>
        <w:t xml:space="preserve"> </w:t>
      </w:r>
      <w:r w:rsidR="00000000">
        <w:t>slow</w:t>
      </w:r>
      <w:r w:rsidR="00000000">
        <w:rPr>
          <w:spacing w:val="-5"/>
        </w:rPr>
        <w:t xml:space="preserve"> </w:t>
      </w:r>
      <w:r w:rsidR="00000000">
        <w:t>but</w:t>
      </w:r>
      <w:r w:rsidR="00000000">
        <w:rPr>
          <w:spacing w:val="-5"/>
        </w:rPr>
        <w:t xml:space="preserve"> </w:t>
      </w:r>
      <w:r w:rsidR="00000000">
        <w:t>steady</w:t>
      </w:r>
      <w:r w:rsidR="00000000">
        <w:rPr>
          <w:spacing w:val="-5"/>
        </w:rPr>
        <w:t xml:space="preserve"> </w:t>
      </w:r>
      <w:r w:rsidR="00000000">
        <w:t>recovery,</w:t>
      </w:r>
      <w:r w:rsidR="00000000">
        <w:rPr>
          <w:spacing w:val="-5"/>
        </w:rPr>
        <w:t xml:space="preserve"> </w:t>
      </w:r>
      <w:r w:rsidR="00000000">
        <w:t>with</w:t>
      </w:r>
      <w:r w:rsidR="00000000">
        <w:rPr>
          <w:spacing w:val="-5"/>
        </w:rPr>
        <w:t xml:space="preserve"> </w:t>
      </w:r>
      <w:r w:rsidR="00000000">
        <w:t>an</w:t>
      </w:r>
      <w:r w:rsidR="00000000">
        <w:rPr>
          <w:spacing w:val="-5"/>
        </w:rPr>
        <w:t xml:space="preserve"> </w:t>
      </w:r>
      <w:r w:rsidR="00000000">
        <w:t>added</w:t>
      </w:r>
      <w:r w:rsidR="00000000">
        <w:rPr>
          <w:spacing w:val="-5"/>
        </w:rPr>
        <w:t xml:space="preserve"> </w:t>
      </w:r>
      <w:r w:rsidR="00000000">
        <w:t>boost</w:t>
      </w:r>
      <w:r w:rsidR="00000000">
        <w:rPr>
          <w:spacing w:val="-5"/>
        </w:rPr>
        <w:t xml:space="preserve"> </w:t>
      </w:r>
      <w:r w:rsidR="00000000">
        <w:t>from export and clean-tech innovation.</w:t>
      </w:r>
    </w:p>
    <w:p w14:paraId="7D4A81BC" w14:textId="77777777" w:rsidR="004B3003" w:rsidRDefault="004B3003">
      <w:pPr>
        <w:pStyle w:val="BodyText"/>
        <w:spacing w:before="107"/>
      </w:pPr>
    </w:p>
    <w:p w14:paraId="2E60023C" w14:textId="77777777" w:rsidR="004B3003" w:rsidRDefault="00000000">
      <w:pPr>
        <w:pStyle w:val="Heading4"/>
        <w:numPr>
          <w:ilvl w:val="0"/>
          <w:numId w:val="9"/>
        </w:numPr>
        <w:tabs>
          <w:tab w:val="left" w:pos="242"/>
        </w:tabs>
        <w:ind w:left="242" w:hanging="242"/>
      </w:pPr>
      <w:r>
        <w:t>Fundamental</w:t>
      </w:r>
      <w:r>
        <w:rPr>
          <w:spacing w:val="-11"/>
        </w:rPr>
        <w:t xml:space="preserve"> </w:t>
      </w:r>
      <w:r>
        <w:rPr>
          <w:spacing w:val="-2"/>
        </w:rPr>
        <w:t>Analysis</w:t>
      </w:r>
    </w:p>
    <w:p w14:paraId="344271DE" w14:textId="77777777" w:rsidR="004B3003" w:rsidRDefault="004B3003">
      <w:pPr>
        <w:pStyle w:val="BodyText"/>
        <w:spacing w:before="25"/>
        <w:rPr>
          <w:b/>
        </w:rPr>
      </w:pPr>
    </w:p>
    <w:p w14:paraId="741722B8" w14:textId="77777777" w:rsidR="004B3003" w:rsidRDefault="00000000">
      <w:pPr>
        <w:rPr>
          <w:b/>
        </w:rPr>
      </w:pPr>
      <w:r>
        <w:rPr>
          <w:b/>
        </w:rPr>
        <w:t>Q4</w:t>
      </w:r>
      <w:r>
        <w:rPr>
          <w:b/>
          <w:spacing w:val="-5"/>
        </w:rPr>
        <w:t xml:space="preserve"> </w:t>
      </w:r>
      <w:r>
        <w:rPr>
          <w:b/>
        </w:rPr>
        <w:t>FY25</w:t>
      </w:r>
      <w:r>
        <w:rPr>
          <w:b/>
          <w:spacing w:val="-5"/>
        </w:rPr>
        <w:t xml:space="preserve"> </w:t>
      </w:r>
      <w:r>
        <w:rPr>
          <w:b/>
        </w:rPr>
        <w:t>Financial</w:t>
      </w:r>
      <w:r>
        <w:rPr>
          <w:b/>
          <w:spacing w:val="-5"/>
        </w:rPr>
        <w:t xml:space="preserve"> </w:t>
      </w:r>
      <w:r>
        <w:rPr>
          <w:b/>
          <w:spacing w:val="-2"/>
        </w:rPr>
        <w:t>Performance</w:t>
      </w:r>
    </w:p>
    <w:p w14:paraId="369BDB37" w14:textId="77777777" w:rsidR="004B3003" w:rsidRDefault="004B3003">
      <w:pPr>
        <w:pStyle w:val="BodyText"/>
        <w:spacing w:before="25"/>
        <w:rPr>
          <w:b/>
        </w:rPr>
      </w:pPr>
    </w:p>
    <w:p w14:paraId="143595E4" w14:textId="77777777" w:rsidR="004B3003" w:rsidRDefault="00000000">
      <w:pPr>
        <w:pStyle w:val="ListParagraph"/>
        <w:numPr>
          <w:ilvl w:val="1"/>
          <w:numId w:val="9"/>
        </w:numPr>
        <w:tabs>
          <w:tab w:val="left" w:pos="719"/>
        </w:tabs>
        <w:ind w:left="719" w:hanging="359"/>
      </w:pPr>
      <w:r>
        <w:t>Consolidated</w:t>
      </w:r>
      <w:r>
        <w:rPr>
          <w:spacing w:val="-11"/>
        </w:rPr>
        <w:t xml:space="preserve"> </w:t>
      </w:r>
      <w:r>
        <w:t>net</w:t>
      </w:r>
      <w:r>
        <w:rPr>
          <w:spacing w:val="-9"/>
        </w:rPr>
        <w:t xml:space="preserve"> </w:t>
      </w:r>
      <w:r>
        <w:t>profit:</w:t>
      </w:r>
      <w:r>
        <w:rPr>
          <w:spacing w:val="-9"/>
        </w:rPr>
        <w:t xml:space="preserve"> </w:t>
      </w:r>
      <w:r>
        <w:t>₹1,362</w:t>
      </w:r>
      <w:r>
        <w:rPr>
          <w:spacing w:val="-8"/>
        </w:rPr>
        <w:t xml:space="preserve"> </w:t>
      </w:r>
      <w:r>
        <w:t>crore</w:t>
      </w:r>
      <w:r>
        <w:rPr>
          <w:spacing w:val="-9"/>
        </w:rPr>
        <w:t xml:space="preserve"> </w:t>
      </w:r>
      <w:r>
        <w:t>(+27%</w:t>
      </w:r>
      <w:r>
        <w:rPr>
          <w:spacing w:val="-9"/>
        </w:rPr>
        <w:t xml:space="preserve"> </w:t>
      </w:r>
      <w:r>
        <w:t>YoY),</w:t>
      </w:r>
      <w:r>
        <w:rPr>
          <w:spacing w:val="-8"/>
        </w:rPr>
        <w:t xml:space="preserve"> </w:t>
      </w:r>
      <w:r>
        <w:t>beating</w:t>
      </w:r>
      <w:r>
        <w:rPr>
          <w:spacing w:val="-9"/>
        </w:rPr>
        <w:t xml:space="preserve"> </w:t>
      </w:r>
      <w:r>
        <w:t>estimates</w:t>
      </w:r>
      <w:r>
        <w:rPr>
          <w:spacing w:val="-9"/>
        </w:rPr>
        <w:t xml:space="preserve"> </w:t>
      </w:r>
      <w:r>
        <w:t>(~₹1,265</w:t>
      </w:r>
      <w:r>
        <w:rPr>
          <w:spacing w:val="-8"/>
        </w:rPr>
        <w:t xml:space="preserve"> </w:t>
      </w:r>
      <w:r>
        <w:rPr>
          <w:spacing w:val="-2"/>
        </w:rPr>
        <w:t>crore)</w:t>
      </w:r>
    </w:p>
    <w:p w14:paraId="66C3F530" w14:textId="77777777" w:rsidR="004B3003" w:rsidRDefault="00000000">
      <w:pPr>
        <w:pStyle w:val="ListParagraph"/>
        <w:numPr>
          <w:ilvl w:val="1"/>
          <w:numId w:val="9"/>
        </w:numPr>
        <w:tabs>
          <w:tab w:val="left" w:pos="719"/>
        </w:tabs>
        <w:spacing w:before="38"/>
        <w:ind w:left="719" w:hanging="359"/>
      </w:pPr>
      <w:r>
        <w:t>Revenue:</w:t>
      </w:r>
      <w:r>
        <w:rPr>
          <w:spacing w:val="-10"/>
        </w:rPr>
        <w:t xml:space="preserve"> </w:t>
      </w:r>
      <w:r>
        <w:t>₹5,241</w:t>
      </w:r>
      <w:r>
        <w:rPr>
          <w:spacing w:val="-8"/>
        </w:rPr>
        <w:t xml:space="preserve"> </w:t>
      </w:r>
      <w:r>
        <w:t>crore</w:t>
      </w:r>
      <w:r>
        <w:rPr>
          <w:spacing w:val="-7"/>
        </w:rPr>
        <w:t xml:space="preserve"> </w:t>
      </w:r>
      <w:r>
        <w:t>(+23%</w:t>
      </w:r>
      <w:r>
        <w:rPr>
          <w:spacing w:val="-8"/>
        </w:rPr>
        <w:t xml:space="preserve"> </w:t>
      </w:r>
      <w:r>
        <w:t>YoY);</w:t>
      </w:r>
      <w:r>
        <w:rPr>
          <w:spacing w:val="-8"/>
        </w:rPr>
        <w:t xml:space="preserve"> </w:t>
      </w:r>
      <w:r>
        <w:t>RE’s</w:t>
      </w:r>
      <w:r>
        <w:rPr>
          <w:spacing w:val="-7"/>
        </w:rPr>
        <w:t xml:space="preserve"> </w:t>
      </w:r>
      <w:r>
        <w:t>export-led</w:t>
      </w:r>
      <w:r>
        <w:rPr>
          <w:spacing w:val="-8"/>
        </w:rPr>
        <w:t xml:space="preserve"> </w:t>
      </w:r>
      <w:r>
        <w:t>growth</w:t>
      </w:r>
      <w:r>
        <w:rPr>
          <w:spacing w:val="-8"/>
        </w:rPr>
        <w:t xml:space="preserve"> </w:t>
      </w:r>
      <w:r>
        <w:t>fueled</w:t>
      </w:r>
      <w:r>
        <w:rPr>
          <w:spacing w:val="-7"/>
        </w:rPr>
        <w:t xml:space="preserve"> </w:t>
      </w:r>
      <w:r>
        <w:t>the</w:t>
      </w:r>
      <w:r>
        <w:rPr>
          <w:spacing w:val="-8"/>
        </w:rPr>
        <w:t xml:space="preserve"> </w:t>
      </w:r>
      <w:r>
        <w:t>top</w:t>
      </w:r>
      <w:r>
        <w:rPr>
          <w:spacing w:val="-7"/>
        </w:rPr>
        <w:t xml:space="preserve"> </w:t>
      </w:r>
      <w:r>
        <w:rPr>
          <w:spacing w:val="-2"/>
        </w:rPr>
        <w:t>line.</w:t>
      </w:r>
    </w:p>
    <w:p w14:paraId="78A55EEC" w14:textId="77777777" w:rsidR="004540BB" w:rsidRPr="004540BB" w:rsidRDefault="00000000" w:rsidP="004540BB">
      <w:pPr>
        <w:pStyle w:val="ListParagraph"/>
        <w:numPr>
          <w:ilvl w:val="1"/>
          <w:numId w:val="9"/>
        </w:numPr>
        <w:tabs>
          <w:tab w:val="left" w:pos="719"/>
        </w:tabs>
        <w:spacing w:before="38"/>
        <w:ind w:left="719" w:hanging="359"/>
      </w:pPr>
      <w:r>
        <w:t>Dividend:</w:t>
      </w:r>
      <w:r>
        <w:rPr>
          <w:spacing w:val="-11"/>
        </w:rPr>
        <w:t xml:space="preserve"> </w:t>
      </w:r>
      <w:r>
        <w:t>₹70/share</w:t>
      </w:r>
      <w:r>
        <w:rPr>
          <w:spacing w:val="-8"/>
        </w:rPr>
        <w:t xml:space="preserve"> </w:t>
      </w:r>
      <w:r>
        <w:t>declared,</w:t>
      </w:r>
      <w:r>
        <w:rPr>
          <w:spacing w:val="-8"/>
        </w:rPr>
        <w:t xml:space="preserve"> </w:t>
      </w:r>
      <w:r>
        <w:t>signaling</w:t>
      </w:r>
      <w:r>
        <w:rPr>
          <w:spacing w:val="-9"/>
        </w:rPr>
        <w:t xml:space="preserve"> </w:t>
      </w:r>
      <w:r>
        <w:t>cash-rich</w:t>
      </w:r>
      <w:r>
        <w:rPr>
          <w:spacing w:val="-8"/>
        </w:rPr>
        <w:t xml:space="preserve"> </w:t>
      </w:r>
      <w:r>
        <w:t>operations</w:t>
      </w:r>
      <w:r>
        <w:rPr>
          <w:spacing w:val="-8"/>
        </w:rPr>
        <w:t xml:space="preserve"> </w:t>
      </w:r>
      <w:r>
        <w:t>and</w:t>
      </w:r>
      <w:r>
        <w:rPr>
          <w:spacing w:val="-8"/>
        </w:rPr>
        <w:t xml:space="preserve"> </w:t>
      </w:r>
      <w:r>
        <w:rPr>
          <w:spacing w:val="-2"/>
        </w:rPr>
        <w:t>confidence.</w:t>
      </w:r>
    </w:p>
    <w:p w14:paraId="5FC8BE33" w14:textId="77777777" w:rsidR="004540BB" w:rsidRPr="004540BB" w:rsidRDefault="004540BB" w:rsidP="004540BB">
      <w:pPr>
        <w:pStyle w:val="ListParagraph"/>
        <w:numPr>
          <w:ilvl w:val="1"/>
          <w:numId w:val="9"/>
        </w:numPr>
        <w:tabs>
          <w:tab w:val="left" w:pos="719"/>
        </w:tabs>
        <w:spacing w:before="38"/>
      </w:pPr>
      <w:r w:rsidRPr="004540BB">
        <w:rPr>
          <w:rFonts w:ascii="Times New Roman" w:eastAsia="Times New Roman" w:hAnsi="Times New Roman" w:cs="Times New Roman"/>
          <w:sz w:val="24"/>
          <w:szCs w:val="24"/>
          <w:lang w:val="en-IN" w:eastAsia="en-IN"/>
        </w:rPr>
        <w:t>The company outperformed consensus profit estimates (₹1,265 Cr), with strong export-led top-line momentum.</w:t>
      </w:r>
    </w:p>
    <w:p w14:paraId="2B831871" w14:textId="2D7E4278" w:rsidR="004540BB" w:rsidRPr="004540BB" w:rsidRDefault="004540BB" w:rsidP="004540BB">
      <w:pPr>
        <w:pStyle w:val="ListParagraph"/>
        <w:numPr>
          <w:ilvl w:val="1"/>
          <w:numId w:val="9"/>
        </w:numPr>
        <w:tabs>
          <w:tab w:val="left" w:pos="719"/>
        </w:tabs>
        <w:spacing w:before="38"/>
      </w:pPr>
      <w:r w:rsidRPr="004540BB">
        <w:rPr>
          <w:rFonts w:ascii="Times New Roman" w:eastAsia="Times New Roman" w:hAnsi="Times New Roman" w:cs="Times New Roman"/>
          <w:sz w:val="24"/>
          <w:szCs w:val="24"/>
          <w:lang w:val="en-IN" w:eastAsia="en-IN"/>
        </w:rPr>
        <w:t xml:space="preserve"> Its robust profitability, growing operating margins, and lean cost structure reflect operational excellence.</w:t>
      </w:r>
    </w:p>
    <w:p w14:paraId="1344BFE1" w14:textId="77777777" w:rsidR="004B3003" w:rsidRDefault="004B3003">
      <w:pPr>
        <w:pStyle w:val="BodyText"/>
        <w:spacing w:before="24"/>
      </w:pPr>
    </w:p>
    <w:p w14:paraId="4F81DCC0" w14:textId="77777777" w:rsidR="004B3003" w:rsidRDefault="00000000">
      <w:pPr>
        <w:pStyle w:val="Heading4"/>
        <w:spacing w:before="1"/>
        <w:rPr>
          <w:spacing w:val="-4"/>
        </w:rPr>
      </w:pPr>
      <w:r>
        <w:t>Balance</w:t>
      </w:r>
      <w:r>
        <w:rPr>
          <w:spacing w:val="-5"/>
        </w:rPr>
        <w:t xml:space="preserve"> </w:t>
      </w:r>
      <w:r>
        <w:t>Sheet</w:t>
      </w:r>
      <w:r>
        <w:rPr>
          <w:spacing w:val="-4"/>
        </w:rPr>
        <w:t xml:space="preserve"> </w:t>
      </w:r>
      <w:r>
        <w:t>&amp;</w:t>
      </w:r>
      <w:r>
        <w:rPr>
          <w:spacing w:val="-4"/>
        </w:rPr>
        <w:t xml:space="preserve"> </w:t>
      </w:r>
      <w:r>
        <w:t>Cash</w:t>
      </w:r>
      <w:r>
        <w:rPr>
          <w:spacing w:val="-4"/>
        </w:rPr>
        <w:t xml:space="preserve"> Flow</w:t>
      </w:r>
    </w:p>
    <w:p w14:paraId="2D5A209E" w14:textId="77777777" w:rsidR="004540BB" w:rsidRDefault="004540BB">
      <w:pPr>
        <w:pStyle w:val="Heading4"/>
        <w:spacing w:before="1"/>
      </w:pPr>
    </w:p>
    <w:p w14:paraId="183351C1" w14:textId="2740BA10" w:rsidR="004540BB" w:rsidRPr="004540BB" w:rsidRDefault="004540BB" w:rsidP="004540BB">
      <w:pPr>
        <w:pStyle w:val="BodyText"/>
        <w:spacing w:before="24"/>
        <w:rPr>
          <w:bCs/>
          <w:lang w:val="en-IN"/>
        </w:rPr>
      </w:pPr>
      <w:r w:rsidRPr="004540BB">
        <w:rPr>
          <w:bCs/>
          <w:lang w:val="en-IN"/>
        </w:rPr>
        <w:t xml:space="preserve">  Virtually debt-free: Offers financial resilience and flexibility.</w:t>
      </w:r>
    </w:p>
    <w:p w14:paraId="03D40EEA" w14:textId="6815E8D9" w:rsidR="004540BB" w:rsidRPr="004540BB" w:rsidRDefault="004540BB" w:rsidP="004540BB">
      <w:pPr>
        <w:pStyle w:val="BodyText"/>
        <w:spacing w:before="24"/>
        <w:rPr>
          <w:bCs/>
          <w:lang w:val="en-IN"/>
        </w:rPr>
      </w:pPr>
      <w:r w:rsidRPr="004540BB">
        <w:rPr>
          <w:bCs/>
          <w:lang w:val="en-IN"/>
        </w:rPr>
        <w:t xml:space="preserve"> </w:t>
      </w:r>
      <w:r w:rsidRPr="004540BB">
        <w:rPr>
          <w:bCs/>
          <w:lang w:val="en-IN"/>
        </w:rPr>
        <w:t xml:space="preserve">  </w:t>
      </w:r>
      <w:r w:rsidRPr="004540BB">
        <w:rPr>
          <w:bCs/>
          <w:lang w:val="en-IN"/>
        </w:rPr>
        <w:t>Strong cash reserves: Enables investments in:</w:t>
      </w:r>
    </w:p>
    <w:p w14:paraId="794CEA84" w14:textId="77777777" w:rsidR="004540BB" w:rsidRPr="004540BB" w:rsidRDefault="004540BB" w:rsidP="004540BB">
      <w:pPr>
        <w:pStyle w:val="BodyText"/>
        <w:numPr>
          <w:ilvl w:val="0"/>
          <w:numId w:val="26"/>
        </w:numPr>
        <w:spacing w:before="24"/>
        <w:rPr>
          <w:bCs/>
          <w:lang w:val="en-IN"/>
        </w:rPr>
      </w:pPr>
      <w:r w:rsidRPr="004540BB">
        <w:rPr>
          <w:bCs/>
          <w:lang w:val="en-IN"/>
        </w:rPr>
        <w:t>EV R&amp;D (especially for CV segment)</w:t>
      </w:r>
    </w:p>
    <w:p w14:paraId="16CDBD0C" w14:textId="77777777" w:rsidR="004540BB" w:rsidRPr="004540BB" w:rsidRDefault="004540BB" w:rsidP="004540BB">
      <w:pPr>
        <w:pStyle w:val="BodyText"/>
        <w:numPr>
          <w:ilvl w:val="0"/>
          <w:numId w:val="26"/>
        </w:numPr>
        <w:spacing w:before="24"/>
        <w:rPr>
          <w:bCs/>
          <w:lang w:val="en-IN"/>
        </w:rPr>
      </w:pPr>
      <w:r w:rsidRPr="004540BB">
        <w:rPr>
          <w:bCs/>
          <w:lang w:val="en-IN"/>
        </w:rPr>
        <w:t>Capacity expansion (both domestic and international)</w:t>
      </w:r>
    </w:p>
    <w:p w14:paraId="6DDA28D5" w14:textId="77777777" w:rsidR="004540BB" w:rsidRDefault="004540BB" w:rsidP="004540BB">
      <w:pPr>
        <w:pStyle w:val="BodyText"/>
        <w:numPr>
          <w:ilvl w:val="0"/>
          <w:numId w:val="26"/>
        </w:numPr>
        <w:spacing w:before="24"/>
        <w:rPr>
          <w:bCs/>
          <w:lang w:val="en-IN"/>
        </w:rPr>
      </w:pPr>
      <w:r w:rsidRPr="004540BB">
        <w:rPr>
          <w:bCs/>
          <w:lang w:val="en-IN"/>
        </w:rPr>
        <w:t>Product innovation (new models, tech upgrades</w:t>
      </w:r>
    </w:p>
    <w:p w14:paraId="4BE79034" w14:textId="77777777" w:rsidR="004540BB" w:rsidRDefault="004540BB" w:rsidP="004540BB">
      <w:pPr>
        <w:pStyle w:val="BodyText"/>
        <w:spacing w:before="24"/>
        <w:rPr>
          <w:bCs/>
          <w:lang w:val="en-IN"/>
        </w:rPr>
      </w:pPr>
    </w:p>
    <w:p w14:paraId="0DA99028" w14:textId="77777777" w:rsidR="004540BB" w:rsidRPr="004540BB" w:rsidRDefault="004540BB" w:rsidP="004540BB">
      <w:pPr>
        <w:pStyle w:val="BodyText"/>
        <w:spacing w:before="24"/>
        <w:rPr>
          <w:b/>
          <w:bCs/>
          <w:lang w:val="en-IN"/>
        </w:rPr>
      </w:pPr>
      <w:r w:rsidRPr="004540BB">
        <w:rPr>
          <w:b/>
          <w:bCs/>
          <w:lang w:val="en-IN"/>
        </w:rPr>
        <w:t>Company Overview: Eicher Motors Ltd.</w:t>
      </w:r>
    </w:p>
    <w:p w14:paraId="3D0BF75E" w14:textId="77777777" w:rsidR="004540BB" w:rsidRPr="004540BB" w:rsidRDefault="004540BB" w:rsidP="004540BB">
      <w:pPr>
        <w:pStyle w:val="BodyText"/>
        <w:numPr>
          <w:ilvl w:val="0"/>
          <w:numId w:val="27"/>
        </w:numPr>
        <w:spacing w:before="24"/>
        <w:rPr>
          <w:lang w:val="en-IN"/>
        </w:rPr>
      </w:pPr>
      <w:r w:rsidRPr="004540BB">
        <w:rPr>
          <w:lang w:val="en-IN"/>
        </w:rPr>
        <w:t>Headquartered: New Delhi, India</w:t>
      </w:r>
    </w:p>
    <w:p w14:paraId="0F1DAAC4" w14:textId="77777777" w:rsidR="004540BB" w:rsidRPr="004540BB" w:rsidRDefault="004540BB" w:rsidP="004540BB">
      <w:pPr>
        <w:pStyle w:val="BodyText"/>
        <w:numPr>
          <w:ilvl w:val="0"/>
          <w:numId w:val="27"/>
        </w:numPr>
        <w:spacing w:before="24"/>
        <w:rPr>
          <w:lang w:val="en-IN"/>
        </w:rPr>
      </w:pPr>
      <w:r w:rsidRPr="004540BB">
        <w:rPr>
          <w:lang w:val="en-IN"/>
        </w:rPr>
        <w:t>Founded: 1982</w:t>
      </w:r>
    </w:p>
    <w:p w14:paraId="002CDDF9" w14:textId="77777777" w:rsidR="004540BB" w:rsidRPr="004540BB" w:rsidRDefault="004540BB" w:rsidP="004540BB">
      <w:pPr>
        <w:pStyle w:val="BodyText"/>
        <w:numPr>
          <w:ilvl w:val="0"/>
          <w:numId w:val="27"/>
        </w:numPr>
        <w:spacing w:before="24"/>
        <w:rPr>
          <w:lang w:val="en-IN"/>
        </w:rPr>
      </w:pPr>
      <w:r w:rsidRPr="004540BB">
        <w:rPr>
          <w:lang w:val="en-IN"/>
        </w:rPr>
        <w:t>Core Businesses:</w:t>
      </w:r>
    </w:p>
    <w:p w14:paraId="544C58D8" w14:textId="77777777" w:rsidR="004540BB" w:rsidRPr="004540BB" w:rsidRDefault="004540BB" w:rsidP="004540BB">
      <w:pPr>
        <w:pStyle w:val="BodyText"/>
        <w:spacing w:before="24"/>
        <w:ind w:left="1440"/>
        <w:rPr>
          <w:lang w:val="en-IN"/>
        </w:rPr>
      </w:pPr>
      <w:r w:rsidRPr="004540BB">
        <w:rPr>
          <w:lang w:val="en-IN"/>
        </w:rPr>
        <w:t>Royal Enfield: Pioneer in retro-styled motorcycles, known globally for models like the Classic 350, Interceptor 650, and Himalayan.</w:t>
      </w:r>
    </w:p>
    <w:p w14:paraId="0FF949F0" w14:textId="77777777" w:rsidR="004540BB" w:rsidRPr="004540BB" w:rsidRDefault="004540BB" w:rsidP="004540BB">
      <w:pPr>
        <w:pStyle w:val="BodyText"/>
        <w:spacing w:before="24"/>
        <w:ind w:left="1440"/>
        <w:rPr>
          <w:lang w:val="en-IN"/>
        </w:rPr>
      </w:pPr>
      <w:r w:rsidRPr="004540BB">
        <w:rPr>
          <w:lang w:val="en-IN"/>
        </w:rPr>
        <w:t>VECV: Manufacturer of light, medium, and heavy-duty trucks, buses, and clean-tech commercial vehicles in partnership with Volvo Group.</w:t>
      </w:r>
    </w:p>
    <w:p w14:paraId="69963A87" w14:textId="77777777" w:rsidR="004540BB" w:rsidRPr="004540BB" w:rsidRDefault="004540BB" w:rsidP="004540BB">
      <w:pPr>
        <w:pStyle w:val="BodyText"/>
        <w:numPr>
          <w:ilvl w:val="0"/>
          <w:numId w:val="27"/>
        </w:numPr>
        <w:spacing w:before="24"/>
        <w:rPr>
          <w:lang w:val="en-IN"/>
        </w:rPr>
      </w:pPr>
      <w:r w:rsidRPr="004540BB">
        <w:rPr>
          <w:lang w:val="en-IN"/>
        </w:rPr>
        <w:t>Global Footprint:</w:t>
      </w:r>
    </w:p>
    <w:p w14:paraId="43502BAD" w14:textId="77777777" w:rsidR="004540BB" w:rsidRPr="004540BB" w:rsidRDefault="004540BB" w:rsidP="004540BB">
      <w:pPr>
        <w:pStyle w:val="BodyText"/>
        <w:spacing w:before="24"/>
        <w:ind w:left="1440"/>
        <w:rPr>
          <w:lang w:val="en-IN"/>
        </w:rPr>
      </w:pPr>
      <w:r w:rsidRPr="004540BB">
        <w:rPr>
          <w:lang w:val="en-IN"/>
        </w:rPr>
        <w:t>Royal Enfield has over 100 exclusive stores internationally</w:t>
      </w:r>
    </w:p>
    <w:p w14:paraId="75A8757E" w14:textId="77777777" w:rsidR="004540BB" w:rsidRDefault="004540BB" w:rsidP="004540BB">
      <w:pPr>
        <w:pStyle w:val="BodyText"/>
        <w:spacing w:before="24"/>
        <w:ind w:left="1440"/>
        <w:rPr>
          <w:lang w:val="en-IN"/>
        </w:rPr>
      </w:pPr>
      <w:r w:rsidRPr="004540BB">
        <w:rPr>
          <w:lang w:val="en-IN"/>
        </w:rPr>
        <w:t>Exports to 60+ countries, and continues to scale its international market share</w:t>
      </w:r>
    </w:p>
    <w:p w14:paraId="3F51BD2B" w14:textId="3DD2EBB2" w:rsidR="00895CAB" w:rsidRPr="004540BB" w:rsidRDefault="00895CAB" w:rsidP="004540BB">
      <w:pPr>
        <w:pStyle w:val="BodyText"/>
        <w:spacing w:before="24"/>
        <w:ind w:left="1440"/>
        <w:rPr>
          <w:lang w:val="en-IN"/>
        </w:rPr>
      </w:pPr>
      <w:r>
        <w:rPr>
          <w:lang w:val="en-IN"/>
        </w:rPr>
        <w:t xml:space="preserve"> </w:t>
      </w:r>
    </w:p>
    <w:p w14:paraId="5AB06752" w14:textId="311378C9" w:rsidR="004540BB" w:rsidRPr="004540BB" w:rsidRDefault="00895CAB" w:rsidP="004540BB">
      <w:pPr>
        <w:pStyle w:val="BodyText"/>
        <w:spacing w:before="24"/>
        <w:rPr>
          <w:bCs/>
          <w:lang w:val="en-IN"/>
        </w:rPr>
      </w:pPr>
      <w:r>
        <w:rPr>
          <w:lang w:val="en-IN"/>
        </w:rPr>
        <w:t xml:space="preserve"> </w:t>
      </w:r>
      <w:r w:rsidR="004540BB" w:rsidRPr="004540BB">
        <w:rPr>
          <w:lang w:val="en-IN"/>
        </w:rPr>
        <w:t xml:space="preserve">Eicher has evolved from a domestic bike player to a premium motorcycle and global mobility </w:t>
      </w:r>
      <w:r>
        <w:rPr>
          <w:lang w:val="en-IN"/>
        </w:rPr>
        <w:t xml:space="preserve">   </w:t>
      </w:r>
      <w:r w:rsidR="004540BB" w:rsidRPr="004540BB">
        <w:rPr>
          <w:lang w:val="en-IN"/>
        </w:rPr>
        <w:t>company, with sustainability and lifestyle at its core</w:t>
      </w:r>
      <w:r w:rsidR="004540BB" w:rsidRPr="004540BB">
        <w:rPr>
          <w:bCs/>
          <w:lang w:val="en-IN"/>
        </w:rPr>
        <w:t>.</w:t>
      </w:r>
    </w:p>
    <w:p w14:paraId="020645C1" w14:textId="77777777" w:rsidR="004540BB" w:rsidRPr="004540BB" w:rsidRDefault="004540BB" w:rsidP="004540BB">
      <w:pPr>
        <w:pStyle w:val="BodyText"/>
        <w:spacing w:before="24"/>
        <w:rPr>
          <w:bCs/>
          <w:lang w:val="en-IN"/>
        </w:rPr>
      </w:pPr>
    </w:p>
    <w:p w14:paraId="43FE8C90" w14:textId="77777777" w:rsidR="004B3003" w:rsidRPr="004540BB" w:rsidRDefault="004B3003">
      <w:pPr>
        <w:pStyle w:val="BodyText"/>
        <w:spacing w:before="24"/>
        <w:rPr>
          <w:bCs/>
        </w:rPr>
      </w:pPr>
    </w:p>
    <w:p w14:paraId="5389002F" w14:textId="77777777" w:rsidR="004B3003" w:rsidRDefault="00000000">
      <w:pPr>
        <w:pStyle w:val="Heading4"/>
        <w:numPr>
          <w:ilvl w:val="0"/>
          <w:numId w:val="9"/>
        </w:numPr>
        <w:tabs>
          <w:tab w:val="left" w:pos="242"/>
        </w:tabs>
        <w:spacing w:before="80"/>
        <w:ind w:left="242" w:hanging="242"/>
      </w:pPr>
      <w:r>
        <w:t>Technical</w:t>
      </w:r>
      <w:r>
        <w:rPr>
          <w:spacing w:val="-13"/>
        </w:rPr>
        <w:t xml:space="preserve"> </w:t>
      </w:r>
      <w:r>
        <w:t>&amp;</w:t>
      </w:r>
      <w:r>
        <w:rPr>
          <w:spacing w:val="-12"/>
        </w:rPr>
        <w:t xml:space="preserve"> </w:t>
      </w:r>
      <w:r>
        <w:t>Candlestick</w:t>
      </w:r>
      <w:r>
        <w:rPr>
          <w:spacing w:val="-12"/>
        </w:rPr>
        <w:t xml:space="preserve"> </w:t>
      </w:r>
      <w:r>
        <w:rPr>
          <w:spacing w:val="-2"/>
        </w:rPr>
        <w:t>Analysis</w:t>
      </w:r>
    </w:p>
    <w:p w14:paraId="49D8F5C6" w14:textId="77777777" w:rsidR="004B3003" w:rsidRDefault="004B3003">
      <w:pPr>
        <w:pStyle w:val="BodyText"/>
        <w:spacing w:before="64"/>
        <w:rPr>
          <w:b/>
        </w:rPr>
      </w:pPr>
    </w:p>
    <w:p w14:paraId="2C5FB4B5" w14:textId="6625701D" w:rsidR="00895CAB" w:rsidRDefault="00895CAB" w:rsidP="00895CAB">
      <w:pPr>
        <w:pStyle w:val="BodyText"/>
        <w:numPr>
          <w:ilvl w:val="0"/>
          <w:numId w:val="31"/>
        </w:numPr>
        <w:rPr>
          <w:lang w:val="en-IN"/>
        </w:rPr>
      </w:pPr>
      <w:r w:rsidRPr="00895CAB">
        <w:rPr>
          <w:lang w:val="en-IN"/>
        </w:rPr>
        <w:t>Technical Indicators</w:t>
      </w:r>
    </w:p>
    <w:p w14:paraId="2ACBC3DB" w14:textId="77777777" w:rsidR="00895CAB" w:rsidRPr="00895CAB" w:rsidRDefault="00895CAB" w:rsidP="00895CAB">
      <w:pPr>
        <w:pStyle w:val="BodyText"/>
        <w:ind w:left="720"/>
        <w:rPr>
          <w:lang w:val="en-IN"/>
        </w:rPr>
      </w:pPr>
    </w:p>
    <w:p w14:paraId="6EA45653" w14:textId="77777777" w:rsidR="00895CAB" w:rsidRPr="00895CAB" w:rsidRDefault="00895CAB" w:rsidP="00895CAB">
      <w:pPr>
        <w:pStyle w:val="BodyText"/>
        <w:numPr>
          <w:ilvl w:val="0"/>
          <w:numId w:val="28"/>
        </w:numPr>
        <w:rPr>
          <w:lang w:val="en-IN"/>
        </w:rPr>
      </w:pPr>
      <w:r w:rsidRPr="00895CAB">
        <w:rPr>
          <w:lang w:val="en-IN"/>
        </w:rPr>
        <w:t>Current Price Range: Around ₹5,300–5,500</w:t>
      </w:r>
    </w:p>
    <w:p w14:paraId="11B521E7" w14:textId="52C8F521" w:rsidR="00895CAB" w:rsidRPr="00895CAB" w:rsidRDefault="00895CAB" w:rsidP="00895CAB">
      <w:pPr>
        <w:pStyle w:val="BodyText"/>
        <w:numPr>
          <w:ilvl w:val="0"/>
          <w:numId w:val="28"/>
        </w:numPr>
        <w:rPr>
          <w:lang w:val="en-IN"/>
        </w:rPr>
      </w:pPr>
      <w:r w:rsidRPr="00895CAB">
        <w:rPr>
          <w:lang w:val="en-IN"/>
        </w:rPr>
        <w:t>Moving Averages:</w:t>
      </w:r>
      <w:r>
        <w:rPr>
          <w:lang w:val="en-IN"/>
        </w:rPr>
        <w:t xml:space="preserve"> </w:t>
      </w:r>
      <w:r w:rsidRPr="00895CAB">
        <w:rPr>
          <w:lang w:val="en-IN"/>
        </w:rPr>
        <w:t>10/12 major EMAs and SMAs indicate a bullish bias</w:t>
      </w:r>
    </w:p>
    <w:p w14:paraId="6CE24BC5" w14:textId="476A3288" w:rsidR="00895CAB" w:rsidRPr="00895CAB" w:rsidRDefault="00895CAB" w:rsidP="00895CAB">
      <w:pPr>
        <w:pStyle w:val="BodyText"/>
        <w:numPr>
          <w:ilvl w:val="0"/>
          <w:numId w:val="28"/>
        </w:numPr>
        <w:rPr>
          <w:lang w:val="en-IN"/>
        </w:rPr>
      </w:pPr>
      <w:r w:rsidRPr="00895CAB">
        <w:rPr>
          <w:lang w:val="en-IN"/>
        </w:rPr>
        <w:t xml:space="preserve">RSI: 59–66 </w:t>
      </w:r>
      <w:r>
        <w:rPr>
          <w:lang w:val="en-IN"/>
        </w:rPr>
        <w:t>(</w:t>
      </w:r>
      <w:r w:rsidRPr="00895CAB">
        <w:rPr>
          <w:lang w:val="en-IN"/>
        </w:rPr>
        <w:t xml:space="preserve"> In positive zone, not overbought</w:t>
      </w:r>
      <w:r>
        <w:rPr>
          <w:lang w:val="en-IN"/>
        </w:rPr>
        <w:t xml:space="preserve"> )</w:t>
      </w:r>
    </w:p>
    <w:p w14:paraId="4081AEE4" w14:textId="77777777" w:rsidR="00895CAB" w:rsidRPr="00895CAB" w:rsidRDefault="00895CAB" w:rsidP="00895CAB">
      <w:pPr>
        <w:pStyle w:val="BodyText"/>
        <w:numPr>
          <w:ilvl w:val="0"/>
          <w:numId w:val="28"/>
        </w:numPr>
        <w:rPr>
          <w:lang w:val="en-IN"/>
        </w:rPr>
      </w:pPr>
      <w:r w:rsidRPr="00895CAB">
        <w:rPr>
          <w:lang w:val="en-IN"/>
        </w:rPr>
        <w:t xml:space="preserve">MACD: Bullish crossover on both weekly and daily charts (per Investing.com &amp; </w:t>
      </w:r>
      <w:proofErr w:type="spellStart"/>
      <w:r w:rsidRPr="00895CAB">
        <w:rPr>
          <w:lang w:val="en-IN"/>
        </w:rPr>
        <w:t>TipRanks</w:t>
      </w:r>
      <w:proofErr w:type="spellEnd"/>
      <w:r w:rsidRPr="00895CAB">
        <w:rPr>
          <w:lang w:val="en-IN"/>
        </w:rPr>
        <w:t>)</w:t>
      </w:r>
    </w:p>
    <w:p w14:paraId="4A1F3113" w14:textId="77777777" w:rsidR="00895CAB" w:rsidRDefault="00895CAB" w:rsidP="00895CAB">
      <w:pPr>
        <w:pStyle w:val="BodyText"/>
        <w:numPr>
          <w:ilvl w:val="0"/>
          <w:numId w:val="28"/>
        </w:numPr>
        <w:rPr>
          <w:lang w:val="en-IN"/>
        </w:rPr>
      </w:pPr>
      <w:r w:rsidRPr="00895CAB">
        <w:rPr>
          <w:lang w:val="en-IN"/>
        </w:rPr>
        <w:t>Breakout Confirmation:</w:t>
      </w:r>
    </w:p>
    <w:p w14:paraId="72955ECE" w14:textId="77777777" w:rsidR="00895CAB" w:rsidRPr="00895CAB" w:rsidRDefault="00895CAB" w:rsidP="00895CAB">
      <w:pPr>
        <w:pStyle w:val="BodyText"/>
        <w:ind w:left="720"/>
        <w:rPr>
          <w:lang w:val="en-IN"/>
        </w:rPr>
      </w:pPr>
    </w:p>
    <w:p w14:paraId="29AA9459" w14:textId="79A9E0D8" w:rsidR="00895CAB" w:rsidRPr="00895CAB" w:rsidRDefault="00895CAB" w:rsidP="00895CAB">
      <w:pPr>
        <w:pStyle w:val="BodyText"/>
        <w:rPr>
          <w:lang w:val="en-IN"/>
        </w:rPr>
      </w:pPr>
      <w:r>
        <w:rPr>
          <w:lang w:val="en-IN"/>
        </w:rPr>
        <w:t xml:space="preserve">      </w:t>
      </w:r>
      <w:r w:rsidRPr="00895CAB">
        <w:rPr>
          <w:lang w:val="en-IN"/>
        </w:rPr>
        <w:t>January 2025 breakout above ₹5,200 after a 7-month consolidation</w:t>
      </w:r>
    </w:p>
    <w:p w14:paraId="1009EA22" w14:textId="13E13380" w:rsidR="00895CAB" w:rsidRPr="00895CAB" w:rsidRDefault="00895CAB" w:rsidP="00895CAB">
      <w:pPr>
        <w:pStyle w:val="BodyText"/>
        <w:rPr>
          <w:lang w:val="en-IN"/>
        </w:rPr>
      </w:pPr>
      <w:r>
        <w:rPr>
          <w:lang w:val="en-IN"/>
        </w:rPr>
        <w:t xml:space="preserve">       </w:t>
      </w:r>
      <w:r w:rsidRPr="00895CAB">
        <w:rPr>
          <w:lang w:val="en-IN"/>
        </w:rPr>
        <w:t>Bollinger Band widening signals increased volatility with positive direction</w:t>
      </w:r>
    </w:p>
    <w:p w14:paraId="6767DEFC" w14:textId="47E3DA23" w:rsidR="00895CAB" w:rsidRDefault="00895CAB" w:rsidP="00895CAB">
      <w:pPr>
        <w:pStyle w:val="BodyText"/>
        <w:rPr>
          <w:lang w:val="en-IN"/>
        </w:rPr>
      </w:pPr>
      <w:r>
        <w:rPr>
          <w:lang w:val="en-IN"/>
        </w:rPr>
        <w:t xml:space="preserve">       </w:t>
      </w:r>
      <w:r w:rsidRPr="00895CAB">
        <w:rPr>
          <w:lang w:val="en-IN"/>
        </w:rPr>
        <w:t>RMI on hourly charts turned bullish, reinforcing trend strength</w:t>
      </w:r>
    </w:p>
    <w:p w14:paraId="04312BC7" w14:textId="77777777" w:rsidR="00895CAB" w:rsidRDefault="00895CAB" w:rsidP="00895CAB">
      <w:pPr>
        <w:pStyle w:val="BodyText"/>
        <w:rPr>
          <w:lang w:val="en-IN"/>
        </w:rPr>
      </w:pPr>
    </w:p>
    <w:p w14:paraId="5CB5A032" w14:textId="77777777" w:rsidR="00895CAB" w:rsidRPr="00895CAB" w:rsidRDefault="00895CAB" w:rsidP="00895CAB">
      <w:pPr>
        <w:pStyle w:val="BodyText"/>
        <w:rPr>
          <w:lang w:val="en-IN"/>
        </w:rPr>
      </w:pPr>
    </w:p>
    <w:p w14:paraId="59108D0E" w14:textId="6D69225E" w:rsidR="00895CAB" w:rsidRDefault="00895CAB" w:rsidP="00895CAB">
      <w:pPr>
        <w:pStyle w:val="BodyText"/>
        <w:rPr>
          <w:lang w:val="en-IN"/>
        </w:rPr>
      </w:pPr>
      <w:r w:rsidRPr="00895CAB">
        <w:rPr>
          <w:lang w:val="en-IN"/>
        </w:rPr>
        <w:lastRenderedPageBreak/>
        <w:t>B. Valuation and Peer Comparison</w:t>
      </w:r>
    </w:p>
    <w:p w14:paraId="3C8B5E60" w14:textId="77777777" w:rsidR="00895CAB" w:rsidRPr="00895CAB" w:rsidRDefault="00895CAB" w:rsidP="00895CAB">
      <w:pPr>
        <w:pStyle w:val="BodyText"/>
        <w:rPr>
          <w:lang w:val="en-IN"/>
        </w:rPr>
      </w:pPr>
    </w:p>
    <w:p w14:paraId="0373654B" w14:textId="77777777" w:rsidR="00895CAB" w:rsidRPr="00895CAB" w:rsidRDefault="00895CAB" w:rsidP="00895CAB">
      <w:pPr>
        <w:pStyle w:val="BodyText"/>
        <w:numPr>
          <w:ilvl w:val="0"/>
          <w:numId w:val="29"/>
        </w:numPr>
        <w:rPr>
          <w:lang w:val="en-IN"/>
        </w:rPr>
      </w:pPr>
      <w:r w:rsidRPr="00895CAB">
        <w:rPr>
          <w:lang w:val="en-IN"/>
        </w:rPr>
        <w:t>Current P/E Ratio: ~27× — slightly above its long-term average</w:t>
      </w:r>
    </w:p>
    <w:p w14:paraId="7D019F2C" w14:textId="77777777" w:rsidR="00895CAB" w:rsidRPr="00895CAB" w:rsidRDefault="00895CAB" w:rsidP="00895CAB">
      <w:pPr>
        <w:pStyle w:val="BodyText"/>
        <w:numPr>
          <w:ilvl w:val="0"/>
          <w:numId w:val="29"/>
        </w:numPr>
        <w:rPr>
          <w:lang w:val="en-IN"/>
        </w:rPr>
      </w:pPr>
      <w:r w:rsidRPr="00895CAB">
        <w:rPr>
          <w:lang w:val="en-IN"/>
        </w:rPr>
        <w:t>Peer Multiples:</w:t>
      </w:r>
    </w:p>
    <w:p w14:paraId="42444C47" w14:textId="77777777" w:rsidR="00895CAB" w:rsidRPr="00895CAB" w:rsidRDefault="00895CAB" w:rsidP="00895CAB">
      <w:pPr>
        <w:pStyle w:val="BodyText"/>
        <w:ind w:left="1440"/>
        <w:rPr>
          <w:lang w:val="en-IN"/>
        </w:rPr>
      </w:pPr>
      <w:r w:rsidRPr="00895CAB">
        <w:rPr>
          <w:lang w:val="en-IN"/>
        </w:rPr>
        <w:t>Hero MotoCorp: ~19×</w:t>
      </w:r>
    </w:p>
    <w:p w14:paraId="512F0BD8" w14:textId="77777777" w:rsidR="00895CAB" w:rsidRPr="00895CAB" w:rsidRDefault="00895CAB" w:rsidP="00895CAB">
      <w:pPr>
        <w:pStyle w:val="BodyText"/>
        <w:ind w:left="1440"/>
        <w:rPr>
          <w:lang w:val="en-IN"/>
        </w:rPr>
      </w:pPr>
      <w:r w:rsidRPr="00895CAB">
        <w:rPr>
          <w:lang w:val="en-IN"/>
        </w:rPr>
        <w:t>Bajaj Auto: ~23×</w:t>
      </w:r>
    </w:p>
    <w:p w14:paraId="14E64553" w14:textId="77777777" w:rsidR="00895CAB" w:rsidRPr="00895CAB" w:rsidRDefault="00895CAB" w:rsidP="00895CAB">
      <w:pPr>
        <w:pStyle w:val="BodyText"/>
        <w:rPr>
          <w:lang w:val="en-IN"/>
        </w:rPr>
      </w:pPr>
      <w:r w:rsidRPr="00895CAB">
        <w:rPr>
          <w:lang w:val="en-IN"/>
        </w:rPr>
        <w:t>Despite a premium valuation, Eicher's superior export growth, differentiated product line, and strong brand equity justify the premium. If margins expand further, there's upside potential even at current levels.</w:t>
      </w:r>
    </w:p>
    <w:p w14:paraId="60FE2B2F" w14:textId="6A0FAA8C" w:rsidR="00895CAB" w:rsidRPr="00895CAB" w:rsidRDefault="00895CAB" w:rsidP="00895CAB">
      <w:pPr>
        <w:pStyle w:val="BodyText"/>
        <w:rPr>
          <w:lang w:val="en-IN"/>
        </w:rPr>
      </w:pPr>
    </w:p>
    <w:p w14:paraId="11CBA675" w14:textId="14C836D9" w:rsidR="00895CAB" w:rsidRDefault="00895CAB" w:rsidP="00895CAB">
      <w:pPr>
        <w:pStyle w:val="BodyText"/>
        <w:rPr>
          <w:b/>
          <w:bCs/>
          <w:lang w:val="en-IN"/>
        </w:rPr>
      </w:pPr>
      <w:r w:rsidRPr="00895CAB">
        <w:rPr>
          <w:lang w:val="en-IN"/>
        </w:rPr>
        <w:t xml:space="preserve"> </w:t>
      </w:r>
      <w:r w:rsidRPr="00895CAB">
        <w:rPr>
          <w:b/>
          <w:bCs/>
          <w:lang w:val="en-IN"/>
        </w:rPr>
        <w:t>Investment Thesis &amp; Conclusion</w:t>
      </w:r>
    </w:p>
    <w:p w14:paraId="1D78D445" w14:textId="77777777" w:rsidR="00895CAB" w:rsidRPr="00895CAB" w:rsidRDefault="00895CAB" w:rsidP="00895CAB">
      <w:pPr>
        <w:pStyle w:val="BodyText"/>
        <w:rPr>
          <w:b/>
          <w:bCs/>
          <w:lang w:val="en-IN"/>
        </w:rPr>
      </w:pPr>
    </w:p>
    <w:p w14:paraId="4CBD9E0F" w14:textId="77777777" w:rsidR="00895CAB" w:rsidRPr="00895CAB" w:rsidRDefault="00895CAB" w:rsidP="00895CAB">
      <w:pPr>
        <w:pStyle w:val="BodyText"/>
        <w:rPr>
          <w:lang w:val="en-IN"/>
        </w:rPr>
      </w:pPr>
      <w:r w:rsidRPr="00895CAB">
        <w:rPr>
          <w:lang w:val="en-IN"/>
        </w:rPr>
        <w:t>Eicher Motors stands out as a dual-engine growth story:</w:t>
      </w:r>
    </w:p>
    <w:p w14:paraId="21659133" w14:textId="77777777" w:rsidR="00895CAB" w:rsidRPr="00895CAB" w:rsidRDefault="00895CAB" w:rsidP="00895CAB">
      <w:pPr>
        <w:pStyle w:val="BodyText"/>
        <w:numPr>
          <w:ilvl w:val="0"/>
          <w:numId w:val="30"/>
        </w:numPr>
        <w:rPr>
          <w:lang w:val="en-IN"/>
        </w:rPr>
      </w:pPr>
      <w:r w:rsidRPr="00895CAB">
        <w:rPr>
          <w:lang w:val="en-IN"/>
        </w:rPr>
        <w:t>Royal Enfield is benefiting from rising premiumization in two-wheelers, both in India and abroad.</w:t>
      </w:r>
    </w:p>
    <w:p w14:paraId="50800CA5" w14:textId="77777777" w:rsidR="00895CAB" w:rsidRPr="00895CAB" w:rsidRDefault="00895CAB" w:rsidP="00895CAB">
      <w:pPr>
        <w:pStyle w:val="BodyText"/>
        <w:numPr>
          <w:ilvl w:val="0"/>
          <w:numId w:val="30"/>
        </w:numPr>
        <w:rPr>
          <w:lang w:val="en-IN"/>
        </w:rPr>
      </w:pPr>
      <w:r w:rsidRPr="00895CAB">
        <w:rPr>
          <w:lang w:val="en-IN"/>
        </w:rPr>
        <w:t>VECV offers a play on commercial vehicle recovery and electric mobility trends.</w:t>
      </w:r>
    </w:p>
    <w:p w14:paraId="5B71FBD8" w14:textId="77777777" w:rsidR="00895CAB" w:rsidRPr="00895CAB" w:rsidRDefault="00895CAB" w:rsidP="00895CAB">
      <w:pPr>
        <w:pStyle w:val="BodyText"/>
        <w:numPr>
          <w:ilvl w:val="0"/>
          <w:numId w:val="30"/>
        </w:numPr>
        <w:rPr>
          <w:lang w:val="en-IN"/>
        </w:rPr>
      </w:pPr>
      <w:r w:rsidRPr="00895CAB">
        <w:rPr>
          <w:lang w:val="en-IN"/>
        </w:rPr>
        <w:t>The company’s strong balance sheet, dividend payout, and earnings momentum make it financially robust.</w:t>
      </w:r>
    </w:p>
    <w:p w14:paraId="37919B27" w14:textId="4FADF3C2" w:rsidR="00895CAB" w:rsidRPr="00895CAB" w:rsidRDefault="00895CAB" w:rsidP="00895CAB">
      <w:pPr>
        <w:pStyle w:val="BodyText"/>
        <w:numPr>
          <w:ilvl w:val="0"/>
          <w:numId w:val="30"/>
        </w:numPr>
        <w:rPr>
          <w:lang w:val="en-IN"/>
        </w:rPr>
      </w:pPr>
      <w:r w:rsidRPr="00895CAB">
        <w:rPr>
          <w:lang w:val="en-IN"/>
        </w:rPr>
        <w:t xml:space="preserve">Technical indicators signal a </w:t>
      </w:r>
      <w:proofErr w:type="spellStart"/>
      <w:r w:rsidRPr="00895CAB">
        <w:rPr>
          <w:lang w:val="en-IN"/>
        </w:rPr>
        <w:t>favorable</w:t>
      </w:r>
      <w:proofErr w:type="spellEnd"/>
      <w:r w:rsidRPr="00895CAB">
        <w:rPr>
          <w:lang w:val="en-IN"/>
        </w:rPr>
        <w:t xml:space="preserve"> entry point, with a breakout confirmed and momentum intact.</w:t>
      </w:r>
    </w:p>
    <w:p w14:paraId="16096360" w14:textId="77777777" w:rsidR="004B3003" w:rsidRDefault="004B3003">
      <w:pPr>
        <w:pStyle w:val="BodyText"/>
      </w:pPr>
    </w:p>
    <w:p w14:paraId="01360D51" w14:textId="77777777" w:rsidR="004B3003" w:rsidRDefault="004B3003">
      <w:pPr>
        <w:pStyle w:val="BodyText"/>
        <w:spacing w:before="12"/>
      </w:pPr>
    </w:p>
    <w:p w14:paraId="0DC7E910" w14:textId="77777777" w:rsidR="00895CAB" w:rsidRDefault="00000000" w:rsidP="00895CAB">
      <w:pPr>
        <w:pStyle w:val="BodyText"/>
        <w:rPr>
          <w:b/>
          <w:lang w:val="en-IN"/>
        </w:rPr>
      </w:pPr>
      <w:r>
        <w:rPr>
          <w:spacing w:val="-2"/>
        </w:rPr>
        <w:t>Conclusion</w:t>
      </w:r>
      <w:r w:rsidR="00895CAB" w:rsidRPr="00895CAB">
        <w:rPr>
          <w:b/>
          <w:lang w:val="en-IN"/>
        </w:rPr>
        <w:t xml:space="preserve"> </w:t>
      </w:r>
    </w:p>
    <w:p w14:paraId="061F5733" w14:textId="41A5B971" w:rsidR="00895CAB" w:rsidRPr="00895CAB" w:rsidRDefault="00895CAB" w:rsidP="00895CAB">
      <w:pPr>
        <w:pStyle w:val="BodyText"/>
        <w:rPr>
          <w:bCs/>
          <w:lang w:val="en-IN"/>
        </w:rPr>
      </w:pPr>
      <w:r w:rsidRPr="00895CAB">
        <w:rPr>
          <w:bCs/>
          <w:lang w:val="en-IN"/>
        </w:rPr>
        <w:t>With exposure to lifestyle, mobility, and green tech, Eicher Motors is a well-rounded addition to a diversified, growth oriented investment portfolio, offering both stability and long-term compounding potential.</w:t>
      </w:r>
    </w:p>
    <w:p w14:paraId="7B60EFB4" w14:textId="77777777" w:rsidR="00895CAB" w:rsidRPr="00895CAB" w:rsidRDefault="00895CAB" w:rsidP="00895CAB">
      <w:pPr>
        <w:pStyle w:val="BodyText"/>
        <w:rPr>
          <w:bCs/>
          <w:lang w:val="en-IN"/>
        </w:rPr>
      </w:pPr>
    </w:p>
    <w:p w14:paraId="11A9976F" w14:textId="50D8C4BA" w:rsidR="004B3003" w:rsidRDefault="004B3003">
      <w:pPr>
        <w:pStyle w:val="Heading4"/>
      </w:pPr>
    </w:p>
    <w:p w14:paraId="32234598" w14:textId="77777777" w:rsidR="004B3003" w:rsidRDefault="004B3003">
      <w:pPr>
        <w:pStyle w:val="BodyText"/>
        <w:spacing w:before="25"/>
        <w:rPr>
          <w:b/>
        </w:rPr>
      </w:pPr>
    </w:p>
    <w:p w14:paraId="237D3BA4" w14:textId="10DEFD17" w:rsidR="004B3003" w:rsidRDefault="00895CAB">
      <w:pPr>
        <w:pStyle w:val="Heading2"/>
        <w:numPr>
          <w:ilvl w:val="0"/>
          <w:numId w:val="13"/>
        </w:numPr>
        <w:tabs>
          <w:tab w:val="left" w:pos="232"/>
        </w:tabs>
        <w:spacing w:before="240"/>
        <w:ind w:left="232" w:hanging="232"/>
        <w:jc w:val="left"/>
      </w:pPr>
      <w:r>
        <w:t xml:space="preserve">Axis Bank </w:t>
      </w:r>
    </w:p>
    <w:p w14:paraId="76EEAC73" w14:textId="15D50AE0" w:rsidR="00895CAB" w:rsidRPr="00895CAB" w:rsidRDefault="00895CAB" w:rsidP="00895CAB">
      <w:pPr>
        <w:pStyle w:val="BodyText"/>
        <w:spacing w:before="25"/>
        <w:rPr>
          <w:b/>
        </w:rPr>
      </w:pPr>
      <w:bookmarkStart w:id="5" w:name="1._Industry_Outlook_–_Defence_Electronic"/>
      <w:bookmarkEnd w:id="5"/>
    </w:p>
    <w:p w14:paraId="3D5AAEEA" w14:textId="18DAF8FA" w:rsidR="00895CAB" w:rsidRDefault="00895CAB" w:rsidP="00895CAB">
      <w:pPr>
        <w:pStyle w:val="BodyText"/>
        <w:numPr>
          <w:ilvl w:val="1"/>
          <w:numId w:val="13"/>
        </w:numPr>
        <w:spacing w:before="25"/>
        <w:rPr>
          <w:b/>
        </w:rPr>
      </w:pPr>
      <w:r w:rsidRPr="00895CAB">
        <w:rPr>
          <w:b/>
        </w:rPr>
        <w:t>Industry Outlook – Banking Sector in India</w:t>
      </w:r>
    </w:p>
    <w:p w14:paraId="3F897F07" w14:textId="77777777" w:rsidR="00895CAB" w:rsidRPr="00895CAB" w:rsidRDefault="00895CAB" w:rsidP="00895CAB">
      <w:pPr>
        <w:pStyle w:val="BodyText"/>
        <w:spacing w:before="25"/>
        <w:ind w:left="244"/>
        <w:rPr>
          <w:b/>
        </w:rPr>
      </w:pPr>
    </w:p>
    <w:p w14:paraId="5AF519A7" w14:textId="77777777" w:rsidR="00895CAB" w:rsidRPr="00895CAB" w:rsidRDefault="00895CAB" w:rsidP="00895CAB">
      <w:pPr>
        <w:pStyle w:val="BodyText"/>
        <w:spacing w:before="25"/>
        <w:rPr>
          <w:bCs/>
          <w:sz w:val="24"/>
          <w:szCs w:val="24"/>
        </w:rPr>
      </w:pPr>
      <w:r w:rsidRPr="00895CAB">
        <w:rPr>
          <w:bCs/>
          <w:sz w:val="24"/>
          <w:szCs w:val="24"/>
        </w:rPr>
        <w:t>Credit growth in India remains robust, supported by rising retail demand, infrastructure push, and MSME lending. As of FY25, credit growth stood at ~16% YoY, led by retail and SME segments.</w:t>
      </w:r>
    </w:p>
    <w:p w14:paraId="07E602EC" w14:textId="77777777" w:rsidR="00895CAB" w:rsidRPr="00895CAB" w:rsidRDefault="00895CAB" w:rsidP="00895CAB">
      <w:pPr>
        <w:pStyle w:val="BodyText"/>
        <w:spacing w:before="25"/>
        <w:rPr>
          <w:bCs/>
          <w:sz w:val="24"/>
          <w:szCs w:val="24"/>
        </w:rPr>
      </w:pPr>
    </w:p>
    <w:p w14:paraId="1E0AD6C0" w14:textId="77777777" w:rsidR="00895CAB" w:rsidRPr="00895CAB" w:rsidRDefault="00895CAB" w:rsidP="00895CAB">
      <w:pPr>
        <w:pStyle w:val="BodyText"/>
        <w:spacing w:before="25"/>
        <w:rPr>
          <w:bCs/>
          <w:sz w:val="24"/>
          <w:szCs w:val="24"/>
        </w:rPr>
      </w:pPr>
      <w:r w:rsidRPr="00895CAB">
        <w:rPr>
          <w:bCs/>
          <w:sz w:val="24"/>
          <w:szCs w:val="24"/>
        </w:rPr>
        <w:t>The RBI’s accommodative yet inflation-aware policy has ensured stable liquidity, while digital adoption is transforming retail and corporate banking.</w:t>
      </w:r>
    </w:p>
    <w:p w14:paraId="20DD5460" w14:textId="77777777" w:rsidR="00895CAB" w:rsidRPr="00895CAB" w:rsidRDefault="00895CAB" w:rsidP="00895CAB">
      <w:pPr>
        <w:pStyle w:val="BodyText"/>
        <w:spacing w:before="25"/>
        <w:rPr>
          <w:bCs/>
          <w:sz w:val="24"/>
          <w:szCs w:val="24"/>
        </w:rPr>
      </w:pPr>
    </w:p>
    <w:p w14:paraId="65FAAB6F" w14:textId="77777777" w:rsidR="00895CAB" w:rsidRPr="00895CAB" w:rsidRDefault="00895CAB" w:rsidP="00895CAB">
      <w:pPr>
        <w:pStyle w:val="BodyText"/>
        <w:spacing w:before="25"/>
        <w:rPr>
          <w:bCs/>
          <w:sz w:val="24"/>
          <w:szCs w:val="24"/>
        </w:rPr>
      </w:pPr>
      <w:r w:rsidRPr="00895CAB">
        <w:rPr>
          <w:bCs/>
          <w:sz w:val="24"/>
          <w:szCs w:val="24"/>
        </w:rPr>
        <w:t>Private sector banks like Axis Bank are gaining market share due to their superior tech, operational efficiency, and customer-centric services.</w:t>
      </w:r>
    </w:p>
    <w:p w14:paraId="5C8FA2E1" w14:textId="77777777" w:rsidR="00895CAB" w:rsidRPr="00895CAB" w:rsidRDefault="00895CAB" w:rsidP="00895CAB">
      <w:pPr>
        <w:pStyle w:val="BodyText"/>
        <w:spacing w:before="25"/>
        <w:rPr>
          <w:bCs/>
          <w:sz w:val="24"/>
          <w:szCs w:val="24"/>
        </w:rPr>
      </w:pPr>
    </w:p>
    <w:p w14:paraId="0D687E9D" w14:textId="77777777" w:rsidR="00895CAB" w:rsidRPr="00895CAB" w:rsidRDefault="00895CAB" w:rsidP="00895CAB">
      <w:pPr>
        <w:pStyle w:val="BodyText"/>
        <w:spacing w:before="25"/>
        <w:rPr>
          <w:bCs/>
          <w:sz w:val="24"/>
          <w:szCs w:val="24"/>
        </w:rPr>
      </w:pPr>
      <w:r w:rsidRPr="00895CAB">
        <w:rPr>
          <w:bCs/>
          <w:sz w:val="24"/>
          <w:szCs w:val="24"/>
        </w:rPr>
        <w:t>Digital lending, UPI integration, and embedded finance are shaping future banking models, with Axis Bank being a key player via partnerships (e.g., Flipkart, Amazon Pay).</w:t>
      </w:r>
    </w:p>
    <w:p w14:paraId="7CCDFD96" w14:textId="77777777" w:rsidR="00895CAB" w:rsidRPr="00895CAB" w:rsidRDefault="00895CAB" w:rsidP="00895CAB">
      <w:pPr>
        <w:pStyle w:val="BodyText"/>
        <w:spacing w:before="25"/>
        <w:rPr>
          <w:bCs/>
          <w:sz w:val="24"/>
          <w:szCs w:val="24"/>
        </w:rPr>
      </w:pPr>
    </w:p>
    <w:p w14:paraId="0586584F" w14:textId="21EA8C3B" w:rsidR="00895CAB" w:rsidRPr="00895CAB" w:rsidRDefault="00895CAB" w:rsidP="00895CAB">
      <w:pPr>
        <w:pStyle w:val="BodyText"/>
        <w:spacing w:before="25"/>
        <w:rPr>
          <w:bCs/>
          <w:sz w:val="24"/>
          <w:szCs w:val="24"/>
        </w:rPr>
      </w:pPr>
      <w:r w:rsidRPr="00895CAB">
        <w:rPr>
          <w:bCs/>
          <w:sz w:val="24"/>
          <w:szCs w:val="24"/>
        </w:rPr>
        <w:t>Axis Bank is well</w:t>
      </w:r>
      <w:r>
        <w:rPr>
          <w:bCs/>
          <w:sz w:val="24"/>
          <w:szCs w:val="24"/>
        </w:rPr>
        <w:t xml:space="preserve"> </w:t>
      </w:r>
      <w:r w:rsidRPr="00895CAB">
        <w:rPr>
          <w:bCs/>
          <w:sz w:val="24"/>
          <w:szCs w:val="24"/>
        </w:rPr>
        <w:t>positioned to benefit from India’s expanding credit market, rising consumption, and digital banking transformation.</w:t>
      </w:r>
    </w:p>
    <w:p w14:paraId="0DF68912" w14:textId="77777777" w:rsidR="00895CAB" w:rsidRPr="00895CAB" w:rsidRDefault="00895CAB" w:rsidP="00895CAB">
      <w:pPr>
        <w:pStyle w:val="BodyText"/>
        <w:spacing w:before="25"/>
        <w:rPr>
          <w:bCs/>
          <w:sz w:val="24"/>
          <w:szCs w:val="24"/>
        </w:rPr>
      </w:pPr>
    </w:p>
    <w:p w14:paraId="2779016D" w14:textId="77777777" w:rsidR="00895CAB" w:rsidRDefault="00895CAB" w:rsidP="00895CAB">
      <w:pPr>
        <w:pStyle w:val="BodyText"/>
        <w:spacing w:before="25"/>
        <w:rPr>
          <w:bCs/>
        </w:rPr>
      </w:pPr>
    </w:p>
    <w:p w14:paraId="5C849574" w14:textId="77777777" w:rsidR="00895CAB" w:rsidRDefault="00895CAB" w:rsidP="00895CAB">
      <w:pPr>
        <w:pStyle w:val="BodyText"/>
        <w:spacing w:before="25"/>
        <w:rPr>
          <w:bCs/>
        </w:rPr>
      </w:pPr>
    </w:p>
    <w:p w14:paraId="2465AB36" w14:textId="77777777" w:rsidR="00895CAB" w:rsidRDefault="00895CAB" w:rsidP="00895CAB">
      <w:pPr>
        <w:pStyle w:val="BodyText"/>
        <w:spacing w:before="25"/>
        <w:rPr>
          <w:bCs/>
        </w:rPr>
      </w:pPr>
    </w:p>
    <w:p w14:paraId="3FC40D0A" w14:textId="77777777" w:rsidR="00895CAB" w:rsidRPr="00895CAB" w:rsidRDefault="00895CAB" w:rsidP="00895CAB">
      <w:pPr>
        <w:pStyle w:val="BodyText"/>
        <w:spacing w:before="25"/>
        <w:rPr>
          <w:bCs/>
        </w:rPr>
      </w:pPr>
    </w:p>
    <w:p w14:paraId="45F53E1F" w14:textId="24C582F9" w:rsidR="00895CAB" w:rsidRDefault="00895CAB" w:rsidP="00895CAB">
      <w:pPr>
        <w:pStyle w:val="BodyText"/>
        <w:numPr>
          <w:ilvl w:val="1"/>
          <w:numId w:val="13"/>
        </w:numPr>
        <w:spacing w:before="25"/>
        <w:rPr>
          <w:b/>
        </w:rPr>
      </w:pPr>
      <w:r w:rsidRPr="00895CAB">
        <w:rPr>
          <w:b/>
        </w:rPr>
        <w:t>Fundamental Analysis</w:t>
      </w:r>
    </w:p>
    <w:p w14:paraId="30D2DF19" w14:textId="77777777" w:rsidR="00895CAB" w:rsidRPr="00895CAB" w:rsidRDefault="00895CAB" w:rsidP="00895CAB">
      <w:pPr>
        <w:pStyle w:val="BodyText"/>
        <w:spacing w:before="25"/>
        <w:ind w:left="720"/>
        <w:jc w:val="center"/>
        <w:rPr>
          <w:b/>
        </w:rPr>
      </w:pPr>
    </w:p>
    <w:p w14:paraId="6C5D0925" w14:textId="0D19F2FE" w:rsidR="00895CAB" w:rsidRPr="00895CAB" w:rsidRDefault="00895CAB" w:rsidP="00895CAB">
      <w:pPr>
        <w:pStyle w:val="BodyText"/>
        <w:numPr>
          <w:ilvl w:val="0"/>
          <w:numId w:val="32"/>
        </w:numPr>
        <w:spacing w:before="25"/>
        <w:rPr>
          <w:bCs/>
        </w:rPr>
      </w:pPr>
      <w:r w:rsidRPr="00895CAB">
        <w:rPr>
          <w:bCs/>
        </w:rPr>
        <w:t>Financial Performance Highlights (Q4 FY25 &amp; FY25)</w:t>
      </w:r>
    </w:p>
    <w:p w14:paraId="222F5699" w14:textId="77777777" w:rsidR="00895CAB" w:rsidRPr="00895CAB" w:rsidRDefault="00895CAB" w:rsidP="00895CAB">
      <w:pPr>
        <w:pStyle w:val="BodyText"/>
        <w:spacing w:before="25"/>
        <w:ind w:left="720"/>
        <w:rPr>
          <w:bCs/>
        </w:rPr>
      </w:pPr>
    </w:p>
    <w:p w14:paraId="4834C122" w14:textId="77777777" w:rsidR="00895CAB" w:rsidRPr="00895CAB" w:rsidRDefault="00895CAB" w:rsidP="00895CAB">
      <w:pPr>
        <w:pStyle w:val="BodyText"/>
        <w:spacing w:before="25"/>
        <w:rPr>
          <w:bCs/>
        </w:rPr>
      </w:pPr>
      <w:r w:rsidRPr="00895CAB">
        <w:rPr>
          <w:bCs/>
        </w:rPr>
        <w:t>Net Interest Income (NII): ₹13,500 crore (↑11% YoY)</w:t>
      </w:r>
    </w:p>
    <w:p w14:paraId="2AE21663" w14:textId="77777777" w:rsidR="00895CAB" w:rsidRPr="00895CAB" w:rsidRDefault="00895CAB" w:rsidP="00895CAB">
      <w:pPr>
        <w:pStyle w:val="BodyText"/>
        <w:spacing w:before="25"/>
        <w:rPr>
          <w:bCs/>
        </w:rPr>
      </w:pPr>
    </w:p>
    <w:p w14:paraId="3E81900F" w14:textId="77777777" w:rsidR="00895CAB" w:rsidRPr="00895CAB" w:rsidRDefault="00895CAB" w:rsidP="00895CAB">
      <w:pPr>
        <w:pStyle w:val="BodyText"/>
        <w:spacing w:before="25"/>
        <w:rPr>
          <w:bCs/>
        </w:rPr>
      </w:pPr>
      <w:r w:rsidRPr="00895CAB">
        <w:rPr>
          <w:bCs/>
        </w:rPr>
        <w:t>Net Profit: ₹6,060 crore (↑17% YoY)</w:t>
      </w:r>
    </w:p>
    <w:p w14:paraId="0B805CDB" w14:textId="77777777" w:rsidR="00895CAB" w:rsidRPr="00895CAB" w:rsidRDefault="00895CAB" w:rsidP="00895CAB">
      <w:pPr>
        <w:pStyle w:val="BodyText"/>
        <w:spacing w:before="25"/>
        <w:rPr>
          <w:bCs/>
        </w:rPr>
      </w:pPr>
    </w:p>
    <w:p w14:paraId="5676E306" w14:textId="77777777" w:rsidR="00895CAB" w:rsidRPr="00895CAB" w:rsidRDefault="00895CAB" w:rsidP="00895CAB">
      <w:pPr>
        <w:pStyle w:val="BodyText"/>
        <w:spacing w:before="25"/>
        <w:rPr>
          <w:bCs/>
        </w:rPr>
      </w:pPr>
      <w:r w:rsidRPr="00895CAB">
        <w:rPr>
          <w:bCs/>
        </w:rPr>
        <w:t>Operating Profit: ₹9,200 crore</w:t>
      </w:r>
    </w:p>
    <w:p w14:paraId="29F03021" w14:textId="77777777" w:rsidR="00895CAB" w:rsidRPr="00895CAB" w:rsidRDefault="00895CAB" w:rsidP="00895CAB">
      <w:pPr>
        <w:pStyle w:val="BodyText"/>
        <w:spacing w:before="25"/>
        <w:rPr>
          <w:bCs/>
        </w:rPr>
      </w:pPr>
    </w:p>
    <w:p w14:paraId="7E731862" w14:textId="77777777" w:rsidR="00895CAB" w:rsidRPr="00895CAB" w:rsidRDefault="00895CAB" w:rsidP="00895CAB">
      <w:pPr>
        <w:pStyle w:val="BodyText"/>
        <w:spacing w:before="25"/>
        <w:rPr>
          <w:bCs/>
        </w:rPr>
      </w:pPr>
      <w:r w:rsidRPr="00895CAB">
        <w:rPr>
          <w:bCs/>
        </w:rPr>
        <w:t>Net Interest Margin (NIM): ~4.0%</w:t>
      </w:r>
    </w:p>
    <w:p w14:paraId="207B62DC" w14:textId="77777777" w:rsidR="00895CAB" w:rsidRPr="00895CAB" w:rsidRDefault="00895CAB" w:rsidP="00895CAB">
      <w:pPr>
        <w:pStyle w:val="BodyText"/>
        <w:spacing w:before="25"/>
        <w:rPr>
          <w:bCs/>
        </w:rPr>
      </w:pPr>
    </w:p>
    <w:p w14:paraId="388C641E" w14:textId="77777777" w:rsidR="00895CAB" w:rsidRPr="00895CAB" w:rsidRDefault="00895CAB" w:rsidP="00895CAB">
      <w:pPr>
        <w:pStyle w:val="BodyText"/>
        <w:spacing w:before="25"/>
        <w:rPr>
          <w:bCs/>
        </w:rPr>
      </w:pPr>
      <w:r w:rsidRPr="00895CAB">
        <w:rPr>
          <w:bCs/>
        </w:rPr>
        <w:t>Gross NPA: ~1.43%, Net NPA: ~0.36% — lowest in over a decade</w:t>
      </w:r>
    </w:p>
    <w:p w14:paraId="7CE9B6B3" w14:textId="77777777" w:rsidR="00895CAB" w:rsidRPr="00895CAB" w:rsidRDefault="00895CAB" w:rsidP="00895CAB">
      <w:pPr>
        <w:pStyle w:val="BodyText"/>
        <w:spacing w:before="25"/>
        <w:rPr>
          <w:bCs/>
        </w:rPr>
      </w:pPr>
    </w:p>
    <w:p w14:paraId="2D12EF22" w14:textId="77777777" w:rsidR="00895CAB" w:rsidRPr="00895CAB" w:rsidRDefault="00895CAB" w:rsidP="00895CAB">
      <w:pPr>
        <w:pStyle w:val="BodyText"/>
        <w:spacing w:before="25"/>
        <w:rPr>
          <w:bCs/>
        </w:rPr>
      </w:pPr>
      <w:r w:rsidRPr="00895CAB">
        <w:rPr>
          <w:bCs/>
        </w:rPr>
        <w:t>Cost-to-Income Ratio: ~46.5%</w:t>
      </w:r>
    </w:p>
    <w:p w14:paraId="4A6CB9CD" w14:textId="77777777" w:rsidR="00895CAB" w:rsidRPr="00895CAB" w:rsidRDefault="00895CAB" w:rsidP="00895CAB">
      <w:pPr>
        <w:pStyle w:val="BodyText"/>
        <w:spacing w:before="25"/>
        <w:rPr>
          <w:bCs/>
        </w:rPr>
      </w:pPr>
    </w:p>
    <w:p w14:paraId="4820CE21" w14:textId="77777777" w:rsidR="00895CAB" w:rsidRPr="00895CAB" w:rsidRDefault="00895CAB" w:rsidP="00895CAB">
      <w:pPr>
        <w:pStyle w:val="BodyText"/>
        <w:spacing w:before="25"/>
        <w:rPr>
          <w:bCs/>
        </w:rPr>
      </w:pPr>
      <w:r w:rsidRPr="00895CAB">
        <w:rPr>
          <w:bCs/>
        </w:rPr>
        <w:t>ROA/ROE: 1.9% / 17.7% (improved YoY)</w:t>
      </w:r>
    </w:p>
    <w:p w14:paraId="2D90ADF8" w14:textId="77777777" w:rsidR="00895CAB" w:rsidRPr="00895CAB" w:rsidRDefault="00895CAB" w:rsidP="00895CAB">
      <w:pPr>
        <w:pStyle w:val="BodyText"/>
        <w:spacing w:before="25"/>
        <w:rPr>
          <w:bCs/>
        </w:rPr>
      </w:pPr>
    </w:p>
    <w:p w14:paraId="226EBEBD" w14:textId="77777777" w:rsidR="00895CAB" w:rsidRPr="00895CAB" w:rsidRDefault="00895CAB" w:rsidP="00895CAB">
      <w:pPr>
        <w:pStyle w:val="BodyText"/>
        <w:spacing w:before="25"/>
        <w:rPr>
          <w:bCs/>
        </w:rPr>
      </w:pPr>
      <w:r w:rsidRPr="00895CAB">
        <w:rPr>
          <w:bCs/>
        </w:rPr>
        <w:t>Dividend: ₹1/share declared for FY25</w:t>
      </w:r>
    </w:p>
    <w:p w14:paraId="0D98229E" w14:textId="77777777" w:rsidR="00895CAB" w:rsidRPr="00895CAB" w:rsidRDefault="00895CAB" w:rsidP="00895CAB">
      <w:pPr>
        <w:pStyle w:val="BodyText"/>
        <w:spacing w:before="25"/>
        <w:rPr>
          <w:bCs/>
        </w:rPr>
      </w:pPr>
    </w:p>
    <w:p w14:paraId="2074C597" w14:textId="77777777" w:rsidR="00895CAB" w:rsidRPr="00895CAB" w:rsidRDefault="00895CAB" w:rsidP="00895CAB">
      <w:pPr>
        <w:pStyle w:val="BodyText"/>
        <w:spacing w:before="25"/>
        <w:rPr>
          <w:bCs/>
        </w:rPr>
      </w:pPr>
      <w:r w:rsidRPr="00895CAB">
        <w:rPr>
          <w:bCs/>
        </w:rPr>
        <w:t>Axis Bank has delivered solid performance, improving margins, high profitability, and efficient cost management while maintaining excellent asset quality.</w:t>
      </w:r>
    </w:p>
    <w:p w14:paraId="3ACD028E" w14:textId="77777777" w:rsidR="00895CAB" w:rsidRPr="00895CAB" w:rsidRDefault="00895CAB" w:rsidP="00895CAB">
      <w:pPr>
        <w:pStyle w:val="BodyText"/>
        <w:spacing w:before="25"/>
        <w:rPr>
          <w:bCs/>
        </w:rPr>
      </w:pPr>
    </w:p>
    <w:p w14:paraId="65E7CD1D" w14:textId="77777777" w:rsidR="00895CAB" w:rsidRPr="00895CAB" w:rsidRDefault="00895CAB" w:rsidP="00895CAB">
      <w:pPr>
        <w:pStyle w:val="BodyText"/>
        <w:spacing w:before="25"/>
        <w:rPr>
          <w:bCs/>
        </w:rPr>
      </w:pPr>
      <w:r w:rsidRPr="00895CAB">
        <w:rPr>
          <w:bCs/>
        </w:rPr>
        <w:t>B. Valuation – P/E and PB Multiples</w:t>
      </w:r>
    </w:p>
    <w:p w14:paraId="08B4AEF9" w14:textId="77777777" w:rsidR="00895CAB" w:rsidRPr="00895CAB" w:rsidRDefault="00895CAB" w:rsidP="00895CAB">
      <w:pPr>
        <w:pStyle w:val="BodyText"/>
        <w:spacing w:before="25"/>
        <w:rPr>
          <w:bCs/>
        </w:rPr>
      </w:pPr>
      <w:r w:rsidRPr="00895CAB">
        <w:rPr>
          <w:bCs/>
        </w:rPr>
        <w:t>Trailing P/E: ~15.7×</w:t>
      </w:r>
    </w:p>
    <w:p w14:paraId="16A94D58" w14:textId="77777777" w:rsidR="00895CAB" w:rsidRPr="00895CAB" w:rsidRDefault="00895CAB" w:rsidP="00895CAB">
      <w:pPr>
        <w:pStyle w:val="BodyText"/>
        <w:spacing w:before="25"/>
        <w:rPr>
          <w:bCs/>
        </w:rPr>
      </w:pPr>
    </w:p>
    <w:p w14:paraId="7808D5FF" w14:textId="77777777" w:rsidR="00895CAB" w:rsidRPr="00895CAB" w:rsidRDefault="00895CAB" w:rsidP="00895CAB">
      <w:pPr>
        <w:pStyle w:val="BodyText"/>
        <w:spacing w:before="25"/>
        <w:rPr>
          <w:bCs/>
        </w:rPr>
      </w:pPr>
      <w:r w:rsidRPr="00895CAB">
        <w:rPr>
          <w:bCs/>
        </w:rPr>
        <w:t>Forward P/E (FY26e): ~13.5×</w:t>
      </w:r>
    </w:p>
    <w:p w14:paraId="06069E36" w14:textId="77777777" w:rsidR="00895CAB" w:rsidRPr="00895CAB" w:rsidRDefault="00895CAB" w:rsidP="00895CAB">
      <w:pPr>
        <w:pStyle w:val="BodyText"/>
        <w:spacing w:before="25"/>
        <w:rPr>
          <w:bCs/>
        </w:rPr>
      </w:pPr>
    </w:p>
    <w:p w14:paraId="46F039C9" w14:textId="77777777" w:rsidR="00895CAB" w:rsidRPr="00895CAB" w:rsidRDefault="00895CAB" w:rsidP="00895CAB">
      <w:pPr>
        <w:pStyle w:val="BodyText"/>
        <w:spacing w:before="25"/>
        <w:rPr>
          <w:bCs/>
        </w:rPr>
      </w:pPr>
      <w:r w:rsidRPr="00895CAB">
        <w:rPr>
          <w:bCs/>
        </w:rPr>
        <w:t>P/B Ratio: ~2.1×</w:t>
      </w:r>
    </w:p>
    <w:p w14:paraId="08E5A864" w14:textId="77777777" w:rsidR="00895CAB" w:rsidRPr="00895CAB" w:rsidRDefault="00895CAB" w:rsidP="00895CAB">
      <w:pPr>
        <w:pStyle w:val="BodyText"/>
        <w:spacing w:before="25"/>
        <w:rPr>
          <w:bCs/>
        </w:rPr>
      </w:pPr>
    </w:p>
    <w:p w14:paraId="6D79CC08" w14:textId="77777777" w:rsidR="00895CAB" w:rsidRPr="00895CAB" w:rsidRDefault="00895CAB" w:rsidP="00895CAB">
      <w:pPr>
        <w:pStyle w:val="BodyText"/>
        <w:spacing w:before="25"/>
        <w:rPr>
          <w:bCs/>
        </w:rPr>
      </w:pPr>
      <w:r w:rsidRPr="00895CAB">
        <w:rPr>
          <w:bCs/>
        </w:rPr>
        <w:t>Compared to peers like ICICI (P/E ~19×) and HDFC Bank (P/E ~17×), Axis Bank appears attractively valued, reflecting its consistent earnings growth and improving ROE.</w:t>
      </w:r>
    </w:p>
    <w:p w14:paraId="74954896" w14:textId="77777777" w:rsidR="00895CAB" w:rsidRPr="00895CAB" w:rsidRDefault="00895CAB" w:rsidP="00895CAB">
      <w:pPr>
        <w:pStyle w:val="BodyText"/>
        <w:spacing w:before="25"/>
        <w:rPr>
          <w:bCs/>
        </w:rPr>
      </w:pPr>
    </w:p>
    <w:p w14:paraId="1E0EA219" w14:textId="77777777" w:rsidR="00895CAB" w:rsidRPr="00895CAB" w:rsidRDefault="00895CAB" w:rsidP="00895CAB">
      <w:pPr>
        <w:pStyle w:val="BodyText"/>
        <w:spacing w:before="25"/>
        <w:rPr>
          <w:bCs/>
        </w:rPr>
      </w:pPr>
      <w:r w:rsidRPr="00895CAB">
        <w:rPr>
          <w:bCs/>
        </w:rPr>
        <w:t>The valuation leaves room for upside, especially as digital and SME lending picks up momentum.</w:t>
      </w:r>
    </w:p>
    <w:p w14:paraId="326D5972" w14:textId="77777777" w:rsidR="00895CAB" w:rsidRPr="00895CAB" w:rsidRDefault="00895CAB" w:rsidP="00895CAB">
      <w:pPr>
        <w:pStyle w:val="BodyText"/>
        <w:spacing w:before="25"/>
        <w:rPr>
          <w:bCs/>
        </w:rPr>
      </w:pPr>
    </w:p>
    <w:p w14:paraId="280D4561" w14:textId="77777777" w:rsidR="00895CAB" w:rsidRPr="00895CAB" w:rsidRDefault="00895CAB" w:rsidP="00895CAB">
      <w:pPr>
        <w:pStyle w:val="BodyText"/>
        <w:spacing w:before="25"/>
        <w:rPr>
          <w:bCs/>
        </w:rPr>
      </w:pPr>
      <w:r w:rsidRPr="00895CAB">
        <w:rPr>
          <w:bCs/>
        </w:rPr>
        <w:t>C. Balance Sheet &amp; Efficiency</w:t>
      </w:r>
    </w:p>
    <w:p w14:paraId="202B6159" w14:textId="77777777" w:rsidR="00895CAB" w:rsidRPr="00895CAB" w:rsidRDefault="00895CAB" w:rsidP="00895CAB">
      <w:pPr>
        <w:pStyle w:val="BodyText"/>
        <w:spacing w:before="25"/>
        <w:rPr>
          <w:bCs/>
        </w:rPr>
      </w:pPr>
      <w:r w:rsidRPr="00895CAB">
        <w:rPr>
          <w:bCs/>
        </w:rPr>
        <w:t>Loan Book: ₹9.7 lakh crore (↑17% YoY)</w:t>
      </w:r>
    </w:p>
    <w:p w14:paraId="3B425545" w14:textId="77777777" w:rsidR="00895CAB" w:rsidRPr="00895CAB" w:rsidRDefault="00895CAB" w:rsidP="00895CAB">
      <w:pPr>
        <w:pStyle w:val="BodyText"/>
        <w:spacing w:before="25"/>
        <w:rPr>
          <w:bCs/>
        </w:rPr>
      </w:pPr>
    </w:p>
    <w:p w14:paraId="7ACE0BE8" w14:textId="77777777" w:rsidR="00895CAB" w:rsidRPr="00895CAB" w:rsidRDefault="00895CAB" w:rsidP="00895CAB">
      <w:pPr>
        <w:pStyle w:val="BodyText"/>
        <w:spacing w:before="25"/>
        <w:rPr>
          <w:bCs/>
        </w:rPr>
      </w:pPr>
      <w:r w:rsidRPr="00895CAB">
        <w:rPr>
          <w:bCs/>
        </w:rPr>
        <w:t>Retail Loans: 56%</w:t>
      </w:r>
    </w:p>
    <w:p w14:paraId="4DABCD4C" w14:textId="77777777" w:rsidR="00895CAB" w:rsidRPr="00895CAB" w:rsidRDefault="00895CAB" w:rsidP="00895CAB">
      <w:pPr>
        <w:pStyle w:val="BodyText"/>
        <w:spacing w:before="25"/>
        <w:rPr>
          <w:bCs/>
        </w:rPr>
      </w:pPr>
    </w:p>
    <w:p w14:paraId="52EFCCED" w14:textId="77777777" w:rsidR="00895CAB" w:rsidRPr="00895CAB" w:rsidRDefault="00895CAB" w:rsidP="00895CAB">
      <w:pPr>
        <w:pStyle w:val="BodyText"/>
        <w:spacing w:before="25"/>
        <w:rPr>
          <w:bCs/>
        </w:rPr>
      </w:pPr>
      <w:r w:rsidRPr="00895CAB">
        <w:rPr>
          <w:bCs/>
        </w:rPr>
        <w:t>SME/Corporate Loans: 44%</w:t>
      </w:r>
    </w:p>
    <w:p w14:paraId="549584A7" w14:textId="77777777" w:rsidR="00895CAB" w:rsidRPr="00895CAB" w:rsidRDefault="00895CAB" w:rsidP="00895CAB">
      <w:pPr>
        <w:pStyle w:val="BodyText"/>
        <w:spacing w:before="25"/>
        <w:rPr>
          <w:bCs/>
        </w:rPr>
      </w:pPr>
    </w:p>
    <w:p w14:paraId="070ECB5F" w14:textId="77777777" w:rsidR="00895CAB" w:rsidRPr="00895CAB" w:rsidRDefault="00895CAB" w:rsidP="00895CAB">
      <w:pPr>
        <w:pStyle w:val="BodyText"/>
        <w:spacing w:before="25"/>
        <w:rPr>
          <w:bCs/>
        </w:rPr>
      </w:pPr>
      <w:r w:rsidRPr="00895CAB">
        <w:rPr>
          <w:bCs/>
        </w:rPr>
        <w:t>CASA Ratio: ~45% (robust and stable)</w:t>
      </w:r>
    </w:p>
    <w:p w14:paraId="5D9CA0AD" w14:textId="77777777" w:rsidR="00895CAB" w:rsidRPr="00895CAB" w:rsidRDefault="00895CAB" w:rsidP="00895CAB">
      <w:pPr>
        <w:pStyle w:val="BodyText"/>
        <w:spacing w:before="25"/>
        <w:rPr>
          <w:bCs/>
        </w:rPr>
      </w:pPr>
    </w:p>
    <w:p w14:paraId="5CCCEA48" w14:textId="77777777" w:rsidR="00895CAB" w:rsidRPr="00895CAB" w:rsidRDefault="00895CAB" w:rsidP="00895CAB">
      <w:pPr>
        <w:pStyle w:val="BodyText"/>
        <w:spacing w:before="25"/>
        <w:rPr>
          <w:bCs/>
        </w:rPr>
      </w:pPr>
      <w:r w:rsidRPr="00895CAB">
        <w:rPr>
          <w:bCs/>
        </w:rPr>
        <w:t>Capital Adequacy (CAR): ~17.8%, well above regulatory requirement</w:t>
      </w:r>
    </w:p>
    <w:p w14:paraId="3C44B967" w14:textId="77777777" w:rsidR="00895CAB" w:rsidRPr="00895CAB" w:rsidRDefault="00895CAB" w:rsidP="00895CAB">
      <w:pPr>
        <w:pStyle w:val="BodyText"/>
        <w:spacing w:before="25"/>
        <w:rPr>
          <w:bCs/>
        </w:rPr>
      </w:pPr>
    </w:p>
    <w:p w14:paraId="338977D0" w14:textId="77777777" w:rsidR="00895CAB" w:rsidRPr="00895CAB" w:rsidRDefault="00895CAB" w:rsidP="00895CAB">
      <w:pPr>
        <w:pStyle w:val="BodyText"/>
        <w:spacing w:before="25"/>
        <w:rPr>
          <w:bCs/>
        </w:rPr>
      </w:pPr>
      <w:r w:rsidRPr="00895CAB">
        <w:rPr>
          <w:bCs/>
        </w:rPr>
        <w:t>Leverage &amp; Liquidity: Healthy LCR &gt; 110%, virtually debt-free structure</w:t>
      </w:r>
    </w:p>
    <w:p w14:paraId="3BC646C5" w14:textId="77777777" w:rsidR="00895CAB" w:rsidRPr="00895CAB" w:rsidRDefault="00895CAB" w:rsidP="00895CAB">
      <w:pPr>
        <w:pStyle w:val="BodyText"/>
        <w:spacing w:before="25"/>
        <w:rPr>
          <w:bCs/>
        </w:rPr>
      </w:pPr>
    </w:p>
    <w:p w14:paraId="4095D619" w14:textId="77777777" w:rsidR="00895CAB" w:rsidRPr="00895CAB" w:rsidRDefault="00895CAB" w:rsidP="00895CAB">
      <w:pPr>
        <w:pStyle w:val="BodyText"/>
        <w:spacing w:before="25"/>
        <w:rPr>
          <w:bCs/>
        </w:rPr>
      </w:pPr>
      <w:r w:rsidRPr="00895CAB">
        <w:rPr>
          <w:bCs/>
        </w:rPr>
        <w:t xml:space="preserve">Axis Bank has a strong balance sheet with high asset quality, healthy capital ratios, and growing </w:t>
      </w:r>
      <w:r w:rsidRPr="00895CAB">
        <w:rPr>
          <w:bCs/>
        </w:rPr>
        <w:lastRenderedPageBreak/>
        <w:t>fee-based income streams. The improving retail-corporate mix supports long-term profitability.</w:t>
      </w:r>
    </w:p>
    <w:p w14:paraId="4F435173" w14:textId="77777777" w:rsidR="00895CAB" w:rsidRPr="00895CAB" w:rsidRDefault="00895CAB" w:rsidP="00895CAB">
      <w:pPr>
        <w:pStyle w:val="BodyText"/>
        <w:spacing w:before="25"/>
        <w:rPr>
          <w:b/>
        </w:rPr>
      </w:pPr>
    </w:p>
    <w:p w14:paraId="649896D8" w14:textId="77777777" w:rsidR="00895CAB" w:rsidRPr="00895CAB" w:rsidRDefault="00895CAB" w:rsidP="00895CAB">
      <w:pPr>
        <w:pStyle w:val="BodyText"/>
        <w:spacing w:before="25"/>
        <w:rPr>
          <w:b/>
        </w:rPr>
      </w:pPr>
      <w:r w:rsidRPr="00895CAB">
        <w:rPr>
          <w:b/>
        </w:rPr>
        <w:t>3. Technical &amp; Candlestick Analysis</w:t>
      </w:r>
    </w:p>
    <w:p w14:paraId="4CDFD627" w14:textId="77777777" w:rsidR="00895CAB" w:rsidRPr="00895CAB" w:rsidRDefault="00895CAB" w:rsidP="00895CAB">
      <w:pPr>
        <w:pStyle w:val="BodyText"/>
        <w:spacing w:before="25"/>
        <w:rPr>
          <w:bCs/>
        </w:rPr>
      </w:pPr>
      <w:r w:rsidRPr="00895CAB">
        <w:rPr>
          <w:bCs/>
        </w:rPr>
        <w:t>A. Moving Averages &amp; Oscillators</w:t>
      </w:r>
    </w:p>
    <w:p w14:paraId="42276F68" w14:textId="77777777" w:rsidR="00895CAB" w:rsidRPr="00895CAB" w:rsidRDefault="00895CAB" w:rsidP="00895CAB">
      <w:pPr>
        <w:pStyle w:val="BodyText"/>
        <w:spacing w:before="25"/>
        <w:rPr>
          <w:bCs/>
        </w:rPr>
      </w:pPr>
      <w:r w:rsidRPr="00895CAB">
        <w:rPr>
          <w:bCs/>
        </w:rPr>
        <w:t>Current Price (as of July 5, 2025): ₹1,165</w:t>
      </w:r>
    </w:p>
    <w:p w14:paraId="7DE9CF6E" w14:textId="77777777" w:rsidR="00895CAB" w:rsidRPr="00895CAB" w:rsidRDefault="00895CAB" w:rsidP="00895CAB">
      <w:pPr>
        <w:pStyle w:val="BodyText"/>
        <w:spacing w:before="25"/>
        <w:rPr>
          <w:bCs/>
        </w:rPr>
      </w:pPr>
    </w:p>
    <w:p w14:paraId="0DC7A952" w14:textId="77777777" w:rsidR="00895CAB" w:rsidRPr="00895CAB" w:rsidRDefault="00895CAB" w:rsidP="00895CAB">
      <w:pPr>
        <w:pStyle w:val="BodyText"/>
        <w:spacing w:before="25"/>
        <w:rPr>
          <w:bCs/>
        </w:rPr>
      </w:pPr>
      <w:r w:rsidRPr="00895CAB">
        <w:rPr>
          <w:bCs/>
        </w:rPr>
        <w:t>20-day EMA: ₹1,152</w:t>
      </w:r>
    </w:p>
    <w:p w14:paraId="3FB77A18" w14:textId="77777777" w:rsidR="00895CAB" w:rsidRPr="00895CAB" w:rsidRDefault="00895CAB" w:rsidP="00895CAB">
      <w:pPr>
        <w:pStyle w:val="BodyText"/>
        <w:spacing w:before="25"/>
        <w:rPr>
          <w:bCs/>
        </w:rPr>
      </w:pPr>
    </w:p>
    <w:p w14:paraId="7CD3B33F" w14:textId="77777777" w:rsidR="00895CAB" w:rsidRPr="00895CAB" w:rsidRDefault="00895CAB" w:rsidP="00895CAB">
      <w:pPr>
        <w:pStyle w:val="BodyText"/>
        <w:spacing w:before="25"/>
        <w:rPr>
          <w:bCs/>
        </w:rPr>
      </w:pPr>
      <w:r w:rsidRPr="00895CAB">
        <w:rPr>
          <w:bCs/>
        </w:rPr>
        <w:t>50-day EMA: ₹1,127</w:t>
      </w:r>
    </w:p>
    <w:p w14:paraId="6090717E" w14:textId="77777777" w:rsidR="00895CAB" w:rsidRPr="00895CAB" w:rsidRDefault="00895CAB" w:rsidP="00895CAB">
      <w:pPr>
        <w:pStyle w:val="BodyText"/>
        <w:spacing w:before="25"/>
        <w:rPr>
          <w:bCs/>
        </w:rPr>
      </w:pPr>
    </w:p>
    <w:p w14:paraId="205EE77C" w14:textId="77777777" w:rsidR="00895CAB" w:rsidRPr="00895CAB" w:rsidRDefault="00895CAB" w:rsidP="00895CAB">
      <w:pPr>
        <w:pStyle w:val="BodyText"/>
        <w:spacing w:before="25"/>
        <w:rPr>
          <w:bCs/>
        </w:rPr>
      </w:pPr>
      <w:r w:rsidRPr="00895CAB">
        <w:rPr>
          <w:bCs/>
        </w:rPr>
        <w:t>200-day EMA: ₹1,046</w:t>
      </w:r>
    </w:p>
    <w:p w14:paraId="73E34B6C" w14:textId="77777777" w:rsidR="00895CAB" w:rsidRPr="00895CAB" w:rsidRDefault="00895CAB" w:rsidP="00895CAB">
      <w:pPr>
        <w:pStyle w:val="BodyText"/>
        <w:spacing w:before="25"/>
        <w:rPr>
          <w:bCs/>
        </w:rPr>
      </w:pPr>
    </w:p>
    <w:p w14:paraId="71D16418" w14:textId="77777777" w:rsidR="00895CAB" w:rsidRPr="00895CAB" w:rsidRDefault="00895CAB" w:rsidP="00895CAB">
      <w:pPr>
        <w:pStyle w:val="BodyText"/>
        <w:spacing w:before="25"/>
        <w:rPr>
          <w:bCs/>
        </w:rPr>
      </w:pPr>
      <w:r w:rsidRPr="00895CAB">
        <w:rPr>
          <w:bCs/>
        </w:rPr>
        <w:t>RSI: ~64 — mildly bullish</w:t>
      </w:r>
    </w:p>
    <w:p w14:paraId="08F9E249" w14:textId="77777777" w:rsidR="00895CAB" w:rsidRPr="00895CAB" w:rsidRDefault="00895CAB" w:rsidP="00895CAB">
      <w:pPr>
        <w:pStyle w:val="BodyText"/>
        <w:spacing w:before="25"/>
        <w:rPr>
          <w:bCs/>
        </w:rPr>
      </w:pPr>
    </w:p>
    <w:p w14:paraId="756ABDD8" w14:textId="77777777" w:rsidR="00895CAB" w:rsidRPr="00895CAB" w:rsidRDefault="00895CAB" w:rsidP="00895CAB">
      <w:pPr>
        <w:pStyle w:val="BodyText"/>
        <w:spacing w:before="25"/>
        <w:rPr>
          <w:bCs/>
        </w:rPr>
      </w:pPr>
      <w:r w:rsidRPr="00895CAB">
        <w:rPr>
          <w:bCs/>
        </w:rPr>
        <w:t>MACD: Bullish crossover on daily and weekly charts</w:t>
      </w:r>
    </w:p>
    <w:p w14:paraId="1B01F192" w14:textId="77777777" w:rsidR="00895CAB" w:rsidRPr="00895CAB" w:rsidRDefault="00895CAB" w:rsidP="00895CAB">
      <w:pPr>
        <w:pStyle w:val="BodyText"/>
        <w:spacing w:before="25"/>
        <w:rPr>
          <w:bCs/>
        </w:rPr>
      </w:pPr>
    </w:p>
    <w:p w14:paraId="349D294F" w14:textId="77777777" w:rsidR="00895CAB" w:rsidRPr="00895CAB" w:rsidRDefault="00895CAB" w:rsidP="00895CAB">
      <w:pPr>
        <w:pStyle w:val="BodyText"/>
        <w:spacing w:before="25"/>
        <w:rPr>
          <w:bCs/>
        </w:rPr>
      </w:pPr>
      <w:r w:rsidRPr="00895CAB">
        <w:rPr>
          <w:bCs/>
        </w:rPr>
        <w:t>Axis Bank is trading above all key moving averages, indicating strong bullish momentum. The RSI is not yet overbought, implying room for further upside.</w:t>
      </w:r>
    </w:p>
    <w:p w14:paraId="0C46892E" w14:textId="77777777" w:rsidR="00895CAB" w:rsidRPr="00895CAB" w:rsidRDefault="00895CAB" w:rsidP="00895CAB">
      <w:pPr>
        <w:pStyle w:val="BodyText"/>
        <w:spacing w:before="25"/>
        <w:rPr>
          <w:bCs/>
        </w:rPr>
      </w:pPr>
    </w:p>
    <w:p w14:paraId="09095626" w14:textId="77777777" w:rsidR="00895CAB" w:rsidRPr="00895CAB" w:rsidRDefault="00895CAB" w:rsidP="00895CAB">
      <w:pPr>
        <w:pStyle w:val="BodyText"/>
        <w:spacing w:before="25"/>
        <w:rPr>
          <w:bCs/>
        </w:rPr>
      </w:pPr>
      <w:r w:rsidRPr="00895CAB">
        <w:rPr>
          <w:bCs/>
        </w:rPr>
        <w:t>B. Candlestick &amp; Volume Patterns</w:t>
      </w:r>
    </w:p>
    <w:p w14:paraId="463A9844" w14:textId="77777777" w:rsidR="00895CAB" w:rsidRPr="00895CAB" w:rsidRDefault="00895CAB" w:rsidP="00895CAB">
      <w:pPr>
        <w:pStyle w:val="BodyText"/>
        <w:spacing w:before="25"/>
        <w:rPr>
          <w:bCs/>
        </w:rPr>
      </w:pPr>
      <w:r w:rsidRPr="00895CAB">
        <w:rPr>
          <w:bCs/>
        </w:rPr>
        <w:t>Recent breakout from ₹1,100 resistance zone with increasing volume</w:t>
      </w:r>
    </w:p>
    <w:p w14:paraId="50F045D7" w14:textId="77777777" w:rsidR="00895CAB" w:rsidRPr="00895CAB" w:rsidRDefault="00895CAB" w:rsidP="00895CAB">
      <w:pPr>
        <w:pStyle w:val="BodyText"/>
        <w:spacing w:before="25"/>
        <w:rPr>
          <w:bCs/>
        </w:rPr>
      </w:pPr>
    </w:p>
    <w:p w14:paraId="2CB41A7B" w14:textId="77777777" w:rsidR="00895CAB" w:rsidRPr="00895CAB" w:rsidRDefault="00895CAB" w:rsidP="00895CAB">
      <w:pPr>
        <w:pStyle w:val="BodyText"/>
        <w:spacing w:before="25"/>
        <w:rPr>
          <w:bCs/>
        </w:rPr>
      </w:pPr>
      <w:r w:rsidRPr="00895CAB">
        <w:rPr>
          <w:bCs/>
        </w:rPr>
        <w:t>Cup and handle pattern observed in weekly charts — bullish continuation</w:t>
      </w:r>
    </w:p>
    <w:p w14:paraId="14689E34" w14:textId="77777777" w:rsidR="00895CAB" w:rsidRPr="00895CAB" w:rsidRDefault="00895CAB" w:rsidP="00895CAB">
      <w:pPr>
        <w:pStyle w:val="BodyText"/>
        <w:spacing w:before="25"/>
        <w:rPr>
          <w:bCs/>
        </w:rPr>
      </w:pPr>
    </w:p>
    <w:p w14:paraId="0C89E93D" w14:textId="77777777" w:rsidR="00895CAB" w:rsidRPr="00895CAB" w:rsidRDefault="00895CAB" w:rsidP="00895CAB">
      <w:pPr>
        <w:pStyle w:val="BodyText"/>
        <w:spacing w:before="25"/>
        <w:rPr>
          <w:bCs/>
        </w:rPr>
      </w:pPr>
      <w:r w:rsidRPr="00895CAB">
        <w:rPr>
          <w:bCs/>
        </w:rPr>
        <w:t>Bollinger Bands: Price near upper band with expansion, confirming trend strength</w:t>
      </w:r>
    </w:p>
    <w:p w14:paraId="21C5936B" w14:textId="77777777" w:rsidR="00895CAB" w:rsidRPr="00895CAB" w:rsidRDefault="00895CAB" w:rsidP="00895CAB">
      <w:pPr>
        <w:pStyle w:val="BodyText"/>
        <w:spacing w:before="25"/>
        <w:rPr>
          <w:bCs/>
        </w:rPr>
      </w:pPr>
    </w:p>
    <w:p w14:paraId="33B52393" w14:textId="77777777" w:rsidR="00895CAB" w:rsidRPr="00895CAB" w:rsidRDefault="00895CAB" w:rsidP="00895CAB">
      <w:pPr>
        <w:pStyle w:val="BodyText"/>
        <w:spacing w:before="25"/>
        <w:rPr>
          <w:bCs/>
        </w:rPr>
      </w:pPr>
      <w:r w:rsidRPr="00895CAB">
        <w:rPr>
          <w:bCs/>
        </w:rPr>
        <w:t>Support: ₹1,100–1,115 | Resistance: ₹1,190–1,220</w:t>
      </w:r>
    </w:p>
    <w:p w14:paraId="47227E9E" w14:textId="77777777" w:rsidR="00895CAB" w:rsidRPr="00895CAB" w:rsidRDefault="00895CAB" w:rsidP="00895CAB">
      <w:pPr>
        <w:pStyle w:val="BodyText"/>
        <w:spacing w:before="25"/>
        <w:rPr>
          <w:bCs/>
        </w:rPr>
      </w:pPr>
    </w:p>
    <w:p w14:paraId="1160406E" w14:textId="77777777" w:rsidR="00895CAB" w:rsidRPr="00895CAB" w:rsidRDefault="00895CAB" w:rsidP="00895CAB">
      <w:pPr>
        <w:pStyle w:val="BodyText"/>
        <w:spacing w:before="25"/>
        <w:rPr>
          <w:bCs/>
        </w:rPr>
      </w:pPr>
      <w:r w:rsidRPr="00895CAB">
        <w:rPr>
          <w:bCs/>
        </w:rPr>
        <w:t>Technical indicators and chart patterns suggest that Axis Bank is in a strong uptrend, supported by volume and momentum, offering a favorable risk-reward for medium- to long-term investors.</w:t>
      </w:r>
    </w:p>
    <w:p w14:paraId="349464F3" w14:textId="77777777" w:rsidR="00895CAB" w:rsidRPr="00895CAB" w:rsidRDefault="00895CAB" w:rsidP="00895CAB">
      <w:pPr>
        <w:pStyle w:val="BodyText"/>
        <w:spacing w:before="25"/>
        <w:rPr>
          <w:b/>
        </w:rPr>
      </w:pPr>
    </w:p>
    <w:p w14:paraId="3BF17F77" w14:textId="77777777" w:rsidR="00895CAB" w:rsidRPr="00895CAB" w:rsidRDefault="00895CAB" w:rsidP="00895CAB">
      <w:pPr>
        <w:pStyle w:val="BodyText"/>
        <w:spacing w:before="25"/>
        <w:rPr>
          <w:b/>
        </w:rPr>
      </w:pPr>
      <w:r w:rsidRPr="00895CAB">
        <w:rPr>
          <w:b/>
        </w:rPr>
        <w:t>Conclusion</w:t>
      </w:r>
    </w:p>
    <w:p w14:paraId="3AB3D31E" w14:textId="77777777" w:rsidR="00895CAB" w:rsidRPr="00895CAB" w:rsidRDefault="00895CAB" w:rsidP="00895CAB">
      <w:pPr>
        <w:pStyle w:val="BodyText"/>
        <w:spacing w:before="25"/>
        <w:rPr>
          <w:b/>
        </w:rPr>
      </w:pPr>
      <w:r w:rsidRPr="00895CAB">
        <w:rPr>
          <w:b/>
        </w:rPr>
        <w:t>Axis Bank presents a compelling investment opportunity combining:</w:t>
      </w:r>
    </w:p>
    <w:p w14:paraId="1FB70C67" w14:textId="77777777" w:rsidR="00895CAB" w:rsidRPr="00895CAB" w:rsidRDefault="00895CAB" w:rsidP="00895CAB">
      <w:pPr>
        <w:pStyle w:val="BodyText"/>
        <w:spacing w:before="25"/>
        <w:rPr>
          <w:bCs/>
        </w:rPr>
      </w:pPr>
    </w:p>
    <w:p w14:paraId="4C63917A" w14:textId="77777777" w:rsidR="00895CAB" w:rsidRPr="00895CAB" w:rsidRDefault="00895CAB" w:rsidP="00895CAB">
      <w:pPr>
        <w:pStyle w:val="BodyText"/>
        <w:spacing w:before="25"/>
        <w:rPr>
          <w:bCs/>
        </w:rPr>
      </w:pPr>
      <w:r w:rsidRPr="00895CAB">
        <w:rPr>
          <w:bCs/>
        </w:rPr>
        <w:t>Exposure to India’s expanding credit and digital banking growth,</w:t>
      </w:r>
    </w:p>
    <w:p w14:paraId="22D0C8CB" w14:textId="77777777" w:rsidR="00895CAB" w:rsidRPr="00895CAB" w:rsidRDefault="00895CAB" w:rsidP="00895CAB">
      <w:pPr>
        <w:pStyle w:val="BodyText"/>
        <w:spacing w:before="25"/>
        <w:rPr>
          <w:bCs/>
        </w:rPr>
      </w:pPr>
    </w:p>
    <w:p w14:paraId="3EB3D48F" w14:textId="77777777" w:rsidR="00895CAB" w:rsidRPr="00895CAB" w:rsidRDefault="00895CAB" w:rsidP="00895CAB">
      <w:pPr>
        <w:pStyle w:val="BodyText"/>
        <w:spacing w:before="25"/>
        <w:rPr>
          <w:bCs/>
        </w:rPr>
      </w:pPr>
      <w:r w:rsidRPr="00895CAB">
        <w:rPr>
          <w:bCs/>
        </w:rPr>
        <w:t>Strong fundamentals: healthy margins, low NPAs, high ROE,</w:t>
      </w:r>
    </w:p>
    <w:p w14:paraId="13EE505D" w14:textId="77777777" w:rsidR="00895CAB" w:rsidRPr="00895CAB" w:rsidRDefault="00895CAB" w:rsidP="00895CAB">
      <w:pPr>
        <w:pStyle w:val="BodyText"/>
        <w:spacing w:before="25"/>
        <w:rPr>
          <w:bCs/>
        </w:rPr>
      </w:pPr>
    </w:p>
    <w:p w14:paraId="388DAE2B" w14:textId="77777777" w:rsidR="00895CAB" w:rsidRPr="00895CAB" w:rsidRDefault="00895CAB" w:rsidP="00895CAB">
      <w:pPr>
        <w:pStyle w:val="BodyText"/>
        <w:spacing w:before="25"/>
        <w:rPr>
          <w:bCs/>
        </w:rPr>
      </w:pPr>
      <w:r w:rsidRPr="00895CAB">
        <w:rPr>
          <w:bCs/>
        </w:rPr>
        <w:t>Attractive valuation vs. peers, and</w:t>
      </w:r>
    </w:p>
    <w:p w14:paraId="2E5F6BCF" w14:textId="77777777" w:rsidR="00895CAB" w:rsidRPr="00895CAB" w:rsidRDefault="00895CAB" w:rsidP="00895CAB">
      <w:pPr>
        <w:pStyle w:val="BodyText"/>
        <w:spacing w:before="25"/>
        <w:rPr>
          <w:bCs/>
        </w:rPr>
      </w:pPr>
    </w:p>
    <w:p w14:paraId="1DB7A2EB" w14:textId="77777777" w:rsidR="00895CAB" w:rsidRPr="00895CAB" w:rsidRDefault="00895CAB" w:rsidP="00895CAB">
      <w:pPr>
        <w:pStyle w:val="BodyText"/>
        <w:spacing w:before="25"/>
        <w:rPr>
          <w:bCs/>
        </w:rPr>
      </w:pPr>
      <w:r w:rsidRPr="00895CAB">
        <w:rPr>
          <w:bCs/>
        </w:rPr>
        <w:t>Technically favorable setup for further price appreciation.</w:t>
      </w:r>
    </w:p>
    <w:p w14:paraId="28F1C61F" w14:textId="77777777" w:rsidR="00895CAB" w:rsidRPr="00895CAB" w:rsidRDefault="00895CAB" w:rsidP="00895CAB">
      <w:pPr>
        <w:pStyle w:val="BodyText"/>
        <w:spacing w:before="25"/>
        <w:rPr>
          <w:bCs/>
        </w:rPr>
      </w:pPr>
    </w:p>
    <w:p w14:paraId="5D645966" w14:textId="5E4A684E" w:rsidR="004B3003" w:rsidRDefault="00895CAB" w:rsidP="00895CAB">
      <w:pPr>
        <w:pStyle w:val="BodyText"/>
        <w:spacing w:before="25"/>
        <w:rPr>
          <w:b/>
        </w:rPr>
      </w:pPr>
      <w:r w:rsidRPr="00895CAB">
        <w:rPr>
          <w:bCs/>
        </w:rPr>
        <w:t>It is well-suited for investors seeking a growth-oriented private sector banking stock with a robust risk-reward profile</w:t>
      </w:r>
      <w:r w:rsidRPr="00895CAB">
        <w:rPr>
          <w:b/>
        </w:rPr>
        <w:t>.</w:t>
      </w:r>
    </w:p>
    <w:p w14:paraId="2AC70232" w14:textId="77777777" w:rsidR="00895CAB" w:rsidRDefault="00895CAB" w:rsidP="00895CAB">
      <w:pPr>
        <w:pStyle w:val="BodyText"/>
        <w:spacing w:before="25"/>
        <w:rPr>
          <w:b/>
        </w:rPr>
      </w:pPr>
    </w:p>
    <w:p w14:paraId="771623B7" w14:textId="77777777" w:rsidR="00895CAB" w:rsidRDefault="00895CAB" w:rsidP="00895CAB">
      <w:pPr>
        <w:pStyle w:val="BodyText"/>
        <w:spacing w:before="25"/>
      </w:pPr>
    </w:p>
    <w:p w14:paraId="6DC67CFD" w14:textId="77777777" w:rsidR="004B3003" w:rsidRDefault="00000000">
      <w:pPr>
        <w:pStyle w:val="Heading2"/>
        <w:numPr>
          <w:ilvl w:val="0"/>
          <w:numId w:val="13"/>
        </w:numPr>
        <w:tabs>
          <w:tab w:val="left" w:pos="232"/>
        </w:tabs>
        <w:ind w:left="232" w:hanging="232"/>
        <w:jc w:val="left"/>
      </w:pPr>
      <w:r>
        <w:rPr>
          <w:spacing w:val="-4"/>
        </w:rPr>
        <w:t xml:space="preserve"> </w:t>
      </w:r>
      <w:r>
        <w:t>Bharti</w:t>
      </w:r>
      <w:r>
        <w:rPr>
          <w:spacing w:val="-3"/>
        </w:rPr>
        <w:t xml:space="preserve"> </w:t>
      </w:r>
      <w:r>
        <w:rPr>
          <w:spacing w:val="-2"/>
        </w:rPr>
        <w:t>Airtel</w:t>
      </w:r>
    </w:p>
    <w:p w14:paraId="72B5D511" w14:textId="77777777" w:rsidR="004B3003" w:rsidRDefault="004B3003">
      <w:pPr>
        <w:pStyle w:val="BodyText"/>
        <w:spacing w:before="86"/>
        <w:rPr>
          <w:b/>
          <w:sz w:val="28"/>
        </w:rPr>
      </w:pPr>
    </w:p>
    <w:p w14:paraId="26C4D59E" w14:textId="77777777" w:rsidR="00895CAB" w:rsidRPr="00895CAB" w:rsidRDefault="00895CAB" w:rsidP="00895CAB">
      <w:pPr>
        <w:pStyle w:val="Heading1"/>
        <w:spacing w:before="60"/>
        <w:ind w:left="258"/>
        <w:rPr>
          <w:b w:val="0"/>
          <w:bCs w:val="0"/>
          <w:sz w:val="24"/>
          <w:szCs w:val="24"/>
          <w:lang w:val="en-IN"/>
        </w:rPr>
      </w:pPr>
      <w:bookmarkStart w:id="6" w:name="1._Industry_Outlook_–_Telecom_Sector_in_"/>
      <w:bookmarkEnd w:id="6"/>
      <w:r w:rsidRPr="00895CAB">
        <w:rPr>
          <w:b w:val="0"/>
          <w:bCs w:val="0"/>
          <w:sz w:val="24"/>
          <w:szCs w:val="24"/>
          <w:lang w:val="en-IN"/>
        </w:rPr>
        <w:t>India's telecom sector is undergoing a transformative phase, driven by data consumption leadership, digital acceleration, and strategic consolidation.</w:t>
      </w:r>
    </w:p>
    <w:p w14:paraId="6843C671" w14:textId="076D70AF" w:rsidR="00895CAB" w:rsidRPr="00895CAB" w:rsidRDefault="00895CAB" w:rsidP="00895CAB">
      <w:pPr>
        <w:pStyle w:val="Heading1"/>
        <w:spacing w:before="60"/>
        <w:ind w:left="258"/>
        <w:rPr>
          <w:sz w:val="24"/>
          <w:szCs w:val="24"/>
          <w:lang w:val="en-IN"/>
        </w:rPr>
      </w:pPr>
      <w:r w:rsidRPr="00895CAB">
        <w:rPr>
          <w:sz w:val="24"/>
          <w:szCs w:val="24"/>
          <w:lang w:val="en-IN"/>
        </w:rPr>
        <w:lastRenderedPageBreak/>
        <w:t>Explosive Data Demand</w:t>
      </w:r>
    </w:p>
    <w:p w14:paraId="0B20D829" w14:textId="77777777" w:rsidR="00895CAB" w:rsidRPr="00895CAB" w:rsidRDefault="00895CAB" w:rsidP="00895CAB">
      <w:pPr>
        <w:pStyle w:val="Heading1"/>
        <w:numPr>
          <w:ilvl w:val="0"/>
          <w:numId w:val="33"/>
        </w:numPr>
        <w:spacing w:before="60"/>
        <w:rPr>
          <w:b w:val="0"/>
          <w:bCs w:val="0"/>
          <w:sz w:val="24"/>
          <w:szCs w:val="24"/>
          <w:lang w:val="en-IN"/>
        </w:rPr>
      </w:pPr>
      <w:r w:rsidRPr="00895CAB">
        <w:rPr>
          <w:b w:val="0"/>
          <w:bCs w:val="0"/>
          <w:sz w:val="24"/>
          <w:szCs w:val="24"/>
          <w:lang w:val="en-IN"/>
        </w:rPr>
        <w:t>India continues to be the global leader in mobile data usage, with per capita consumption exceeding 20 GB/month.</w:t>
      </w:r>
    </w:p>
    <w:p w14:paraId="06116115" w14:textId="77777777" w:rsidR="00895CAB" w:rsidRPr="00895CAB" w:rsidRDefault="00895CAB" w:rsidP="00895CAB">
      <w:pPr>
        <w:pStyle w:val="Heading1"/>
        <w:numPr>
          <w:ilvl w:val="0"/>
          <w:numId w:val="33"/>
        </w:numPr>
        <w:spacing w:before="60"/>
        <w:rPr>
          <w:b w:val="0"/>
          <w:bCs w:val="0"/>
          <w:sz w:val="24"/>
          <w:szCs w:val="24"/>
          <w:lang w:val="en-IN"/>
        </w:rPr>
      </w:pPr>
      <w:r w:rsidRPr="00895CAB">
        <w:rPr>
          <w:b w:val="0"/>
          <w:bCs w:val="0"/>
          <w:sz w:val="24"/>
          <w:szCs w:val="24"/>
          <w:lang w:val="en-IN"/>
        </w:rPr>
        <w:t>Key demand drivers:</w:t>
      </w:r>
    </w:p>
    <w:p w14:paraId="63C62158" w14:textId="77777777" w:rsidR="00895CAB" w:rsidRPr="00895CAB" w:rsidRDefault="00895CAB" w:rsidP="00895CAB">
      <w:pPr>
        <w:pStyle w:val="Heading1"/>
        <w:spacing w:before="60"/>
        <w:ind w:left="1080"/>
        <w:rPr>
          <w:b w:val="0"/>
          <w:bCs w:val="0"/>
          <w:sz w:val="24"/>
          <w:szCs w:val="24"/>
          <w:lang w:val="en-IN"/>
        </w:rPr>
      </w:pPr>
      <w:r w:rsidRPr="00895CAB">
        <w:rPr>
          <w:b w:val="0"/>
          <w:bCs w:val="0"/>
          <w:sz w:val="24"/>
          <w:szCs w:val="24"/>
          <w:lang w:val="en-IN"/>
        </w:rPr>
        <w:t>Expanding smartphone penetration</w:t>
      </w:r>
    </w:p>
    <w:p w14:paraId="42FA0815"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Growth in OTT platforms, remote work, and online education</w:t>
      </w:r>
    </w:p>
    <w:p w14:paraId="0D14E2AD"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Government push toward Digital India, further deepening rural connectivity</w:t>
      </w:r>
    </w:p>
    <w:p w14:paraId="7548C08A"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This surge is translating into steady growth in ARPU (Average Revenue Per User)—a key revenue lever for telcos.</w:t>
      </w:r>
    </w:p>
    <w:p w14:paraId="030F6918" w14:textId="0C888C45"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 xml:space="preserve"> 5G Rollout: Infrastructure-Led Monetization</w:t>
      </w:r>
    </w:p>
    <w:p w14:paraId="013F740C" w14:textId="77777777" w:rsidR="00895CAB" w:rsidRPr="00895CAB" w:rsidRDefault="00895CAB" w:rsidP="00895CAB">
      <w:pPr>
        <w:pStyle w:val="Heading1"/>
        <w:numPr>
          <w:ilvl w:val="0"/>
          <w:numId w:val="34"/>
        </w:numPr>
        <w:spacing w:before="60"/>
        <w:rPr>
          <w:b w:val="0"/>
          <w:bCs w:val="0"/>
          <w:sz w:val="24"/>
          <w:szCs w:val="24"/>
          <w:lang w:val="en-IN"/>
        </w:rPr>
      </w:pPr>
      <w:r w:rsidRPr="00895CAB">
        <w:rPr>
          <w:b w:val="0"/>
          <w:bCs w:val="0"/>
          <w:sz w:val="24"/>
          <w:szCs w:val="24"/>
          <w:lang w:val="en-IN"/>
        </w:rPr>
        <w:t>Bharti Airtel is at the forefront of India's 5G deployment, already covering over 25,000 towns and 1.5 million villages.</w:t>
      </w:r>
    </w:p>
    <w:p w14:paraId="7A5397EC" w14:textId="77777777" w:rsidR="00895CAB" w:rsidRPr="00895CAB" w:rsidRDefault="00895CAB" w:rsidP="00895CAB">
      <w:pPr>
        <w:pStyle w:val="Heading1"/>
        <w:numPr>
          <w:ilvl w:val="0"/>
          <w:numId w:val="34"/>
        </w:numPr>
        <w:spacing w:before="60"/>
        <w:rPr>
          <w:b w:val="0"/>
          <w:bCs w:val="0"/>
          <w:sz w:val="24"/>
          <w:szCs w:val="24"/>
          <w:lang w:val="en-IN"/>
        </w:rPr>
      </w:pPr>
      <w:r w:rsidRPr="00895CAB">
        <w:rPr>
          <w:b w:val="0"/>
          <w:bCs w:val="0"/>
          <w:sz w:val="24"/>
          <w:szCs w:val="24"/>
          <w:lang w:val="en-IN"/>
        </w:rPr>
        <w:t>5G is unlocking new revenue streams in:</w:t>
      </w:r>
    </w:p>
    <w:p w14:paraId="73F825F9"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Enterprise connectivity</w:t>
      </w:r>
    </w:p>
    <w:p w14:paraId="11D5A830"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IoT services</w:t>
      </w:r>
    </w:p>
    <w:p w14:paraId="4CA1EE1D"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Cloud, AI, and edge computing solutions</w:t>
      </w:r>
    </w:p>
    <w:p w14:paraId="7B389C9B" w14:textId="77777777" w:rsidR="00895CAB" w:rsidRPr="00895CAB" w:rsidRDefault="00895CAB" w:rsidP="00895CAB">
      <w:pPr>
        <w:pStyle w:val="Heading1"/>
        <w:numPr>
          <w:ilvl w:val="0"/>
          <w:numId w:val="34"/>
        </w:numPr>
        <w:spacing w:before="60"/>
        <w:rPr>
          <w:b w:val="0"/>
          <w:bCs w:val="0"/>
          <w:sz w:val="24"/>
          <w:szCs w:val="24"/>
          <w:lang w:val="en-IN"/>
        </w:rPr>
      </w:pPr>
      <w:r w:rsidRPr="00895CAB">
        <w:rPr>
          <w:b w:val="0"/>
          <w:bCs w:val="0"/>
          <w:sz w:val="24"/>
          <w:szCs w:val="24"/>
          <w:lang w:val="en-IN"/>
        </w:rPr>
        <w:t>Strategic partnerships (e.g., with Microsoft Azure, Google Cloud) are further enhancing Airtel’s digital stack</w:t>
      </w:r>
    </w:p>
    <w:p w14:paraId="45DCF0DA" w14:textId="6BCFA4D5" w:rsidR="00895CAB" w:rsidRPr="00895CAB" w:rsidRDefault="00895CAB" w:rsidP="00895CAB">
      <w:pPr>
        <w:pStyle w:val="Heading1"/>
        <w:spacing w:before="60"/>
        <w:ind w:left="258"/>
        <w:rPr>
          <w:b w:val="0"/>
          <w:bCs w:val="0"/>
          <w:sz w:val="24"/>
          <w:szCs w:val="24"/>
          <w:lang w:val="en-IN"/>
        </w:rPr>
      </w:pPr>
      <w:r>
        <w:rPr>
          <w:rFonts w:ascii="Segoe UI Emoji" w:hAnsi="Segoe UI Emoji" w:cs="Segoe UI Emoji"/>
          <w:b w:val="0"/>
          <w:bCs w:val="0"/>
          <w:sz w:val="24"/>
          <w:szCs w:val="24"/>
          <w:lang w:val="en-IN"/>
        </w:rPr>
        <w:t xml:space="preserve">   </w:t>
      </w:r>
      <w:r w:rsidRPr="00895CAB">
        <w:rPr>
          <w:b w:val="0"/>
          <w:bCs w:val="0"/>
          <w:sz w:val="24"/>
          <w:szCs w:val="24"/>
          <w:lang w:val="en-IN"/>
        </w:rPr>
        <w:t>Industry Consolidation = Pricing Power</w:t>
      </w:r>
    </w:p>
    <w:p w14:paraId="4810AF7D" w14:textId="77777777" w:rsidR="00895CAB" w:rsidRPr="00895CAB" w:rsidRDefault="00895CAB" w:rsidP="00895CAB">
      <w:pPr>
        <w:pStyle w:val="Heading1"/>
        <w:numPr>
          <w:ilvl w:val="0"/>
          <w:numId w:val="35"/>
        </w:numPr>
        <w:spacing w:before="60"/>
        <w:rPr>
          <w:b w:val="0"/>
          <w:bCs w:val="0"/>
          <w:sz w:val="24"/>
          <w:szCs w:val="24"/>
          <w:lang w:val="en-IN"/>
        </w:rPr>
      </w:pPr>
      <w:r w:rsidRPr="00895CAB">
        <w:rPr>
          <w:b w:val="0"/>
          <w:bCs w:val="0"/>
          <w:sz w:val="24"/>
          <w:szCs w:val="24"/>
          <w:lang w:val="en-IN"/>
        </w:rPr>
        <w:t>With Vodafone Idea (Vi) continuing to face operational and financial struggles, India's telecom market has effectively become a duopoly: Airtel vs. Jio</w:t>
      </w:r>
    </w:p>
    <w:p w14:paraId="43293583" w14:textId="77777777" w:rsidR="00895CAB" w:rsidRPr="00895CAB" w:rsidRDefault="00895CAB" w:rsidP="00895CAB">
      <w:pPr>
        <w:pStyle w:val="Heading1"/>
        <w:numPr>
          <w:ilvl w:val="0"/>
          <w:numId w:val="35"/>
        </w:numPr>
        <w:spacing w:before="60"/>
        <w:rPr>
          <w:b w:val="0"/>
          <w:bCs w:val="0"/>
          <w:sz w:val="24"/>
          <w:szCs w:val="24"/>
          <w:lang w:val="en-IN"/>
        </w:rPr>
      </w:pPr>
      <w:r w:rsidRPr="00895CAB">
        <w:rPr>
          <w:b w:val="0"/>
          <w:bCs w:val="0"/>
          <w:sz w:val="24"/>
          <w:szCs w:val="24"/>
          <w:lang w:val="en-IN"/>
        </w:rPr>
        <w:t>This concentration has improved:</w:t>
      </w:r>
    </w:p>
    <w:p w14:paraId="1EF6BA09"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Pricing discipline</w:t>
      </w:r>
    </w:p>
    <w:p w14:paraId="7A4B9DC5"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Reduced customer churn</w:t>
      </w:r>
    </w:p>
    <w:p w14:paraId="41F078BD" w14:textId="77777777" w:rsidR="00895CAB" w:rsidRPr="00895CAB" w:rsidRDefault="00895CAB" w:rsidP="00895CAB">
      <w:pPr>
        <w:pStyle w:val="Heading1"/>
        <w:spacing w:before="60"/>
        <w:ind w:left="1440"/>
        <w:rPr>
          <w:b w:val="0"/>
          <w:bCs w:val="0"/>
          <w:sz w:val="24"/>
          <w:szCs w:val="24"/>
          <w:lang w:val="en-IN"/>
        </w:rPr>
      </w:pPr>
      <w:r w:rsidRPr="00895CAB">
        <w:rPr>
          <w:b w:val="0"/>
          <w:bCs w:val="0"/>
          <w:sz w:val="24"/>
          <w:szCs w:val="24"/>
          <w:lang w:val="en-IN"/>
        </w:rPr>
        <w:t>Better monetization via bundled offerings (postpaid, broadband, OTT)</w:t>
      </w:r>
    </w:p>
    <w:p w14:paraId="4154D356" w14:textId="45D18920" w:rsidR="00895CAB" w:rsidRPr="00895CAB" w:rsidRDefault="00895CAB" w:rsidP="00895CAB">
      <w:pPr>
        <w:pStyle w:val="Heading1"/>
        <w:spacing w:before="60"/>
        <w:ind w:left="258"/>
        <w:rPr>
          <w:b w:val="0"/>
          <w:bCs w:val="0"/>
          <w:sz w:val="24"/>
          <w:szCs w:val="24"/>
          <w:lang w:val="en-IN"/>
        </w:rPr>
      </w:pPr>
    </w:p>
    <w:p w14:paraId="6E3C5A90" w14:textId="5581111E" w:rsidR="00895CAB" w:rsidRDefault="00895CAB" w:rsidP="00895CAB">
      <w:pPr>
        <w:pStyle w:val="Heading1"/>
        <w:spacing w:before="60"/>
        <w:ind w:left="258"/>
        <w:rPr>
          <w:b w:val="0"/>
          <w:bCs w:val="0"/>
          <w:sz w:val="24"/>
          <w:szCs w:val="24"/>
          <w:lang w:val="en-IN"/>
        </w:rPr>
      </w:pPr>
      <w:r w:rsidRPr="00895CAB">
        <w:rPr>
          <w:b w:val="0"/>
          <w:bCs w:val="0"/>
          <w:sz w:val="24"/>
          <w:szCs w:val="24"/>
          <w:lang w:val="en-IN"/>
        </w:rPr>
        <w:t>Fundamental Analysis: Solid Earnings Momentum</w:t>
      </w:r>
    </w:p>
    <w:p w14:paraId="68CB7ABE" w14:textId="77777777" w:rsidR="00895CAB" w:rsidRPr="00895CAB" w:rsidRDefault="00895CAB" w:rsidP="00895CAB">
      <w:pPr>
        <w:pStyle w:val="Heading1"/>
        <w:spacing w:before="60"/>
        <w:ind w:left="258"/>
        <w:rPr>
          <w:b w:val="0"/>
          <w:bCs w:val="0"/>
          <w:sz w:val="24"/>
          <w:szCs w:val="24"/>
          <w:lang w:val="en-IN"/>
        </w:rPr>
      </w:pPr>
    </w:p>
    <w:p w14:paraId="1C6B3BBA" w14:textId="447EF4C5" w:rsidR="00895CAB" w:rsidRDefault="00895CAB" w:rsidP="00895CAB">
      <w:pPr>
        <w:pStyle w:val="Heading1"/>
        <w:spacing w:before="60"/>
        <w:ind w:left="258"/>
        <w:rPr>
          <w:b w:val="0"/>
          <w:bCs w:val="0"/>
          <w:sz w:val="24"/>
          <w:szCs w:val="24"/>
          <w:lang w:val="en-IN"/>
        </w:rPr>
      </w:pPr>
      <w:r w:rsidRPr="00895CAB">
        <w:rPr>
          <w:b w:val="0"/>
          <w:bCs w:val="0"/>
          <w:sz w:val="24"/>
          <w:szCs w:val="24"/>
          <w:lang w:val="en-IN"/>
        </w:rPr>
        <w:t>Q4 FY25 &amp; FY25 Full-Year Financial Highlights</w:t>
      </w:r>
    </w:p>
    <w:p w14:paraId="774A30F0" w14:textId="77777777" w:rsidR="00895CAB" w:rsidRPr="00895CAB" w:rsidRDefault="00895CAB" w:rsidP="00895CAB">
      <w:pPr>
        <w:pStyle w:val="Heading1"/>
        <w:spacing w:before="60"/>
        <w:ind w:left="258"/>
        <w:rPr>
          <w:b w:val="0"/>
          <w:bCs w:val="0"/>
          <w:sz w:val="24"/>
          <w:szCs w:val="24"/>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1619"/>
        <w:gridCol w:w="2686"/>
        <w:gridCol w:w="1647"/>
      </w:tblGrid>
      <w:tr w:rsidR="00895CAB" w:rsidRPr="00895CAB" w14:paraId="3348790E" w14:textId="77777777" w:rsidTr="00895CAB">
        <w:trPr>
          <w:tblHeader/>
          <w:tblCellSpacing w:w="15" w:type="dxa"/>
        </w:trPr>
        <w:tc>
          <w:tcPr>
            <w:tcW w:w="0" w:type="auto"/>
            <w:vAlign w:val="center"/>
            <w:hideMark/>
          </w:tcPr>
          <w:p w14:paraId="58DF1A52"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Metric</w:t>
            </w:r>
          </w:p>
        </w:tc>
        <w:tc>
          <w:tcPr>
            <w:tcW w:w="0" w:type="auto"/>
            <w:vAlign w:val="center"/>
            <w:hideMark/>
          </w:tcPr>
          <w:p w14:paraId="0201AE22"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Q4 FY25</w:t>
            </w:r>
          </w:p>
        </w:tc>
        <w:tc>
          <w:tcPr>
            <w:tcW w:w="0" w:type="auto"/>
            <w:vAlign w:val="center"/>
            <w:hideMark/>
          </w:tcPr>
          <w:p w14:paraId="158208E0"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FY25 (Full Year)</w:t>
            </w:r>
          </w:p>
        </w:tc>
        <w:tc>
          <w:tcPr>
            <w:tcW w:w="0" w:type="auto"/>
            <w:vAlign w:val="center"/>
            <w:hideMark/>
          </w:tcPr>
          <w:p w14:paraId="389B2789"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YoY Growth</w:t>
            </w:r>
          </w:p>
        </w:tc>
      </w:tr>
      <w:tr w:rsidR="00895CAB" w:rsidRPr="00895CAB" w14:paraId="7C8E7AD8" w14:textId="77777777" w:rsidTr="00895CAB">
        <w:trPr>
          <w:tblCellSpacing w:w="15" w:type="dxa"/>
        </w:trPr>
        <w:tc>
          <w:tcPr>
            <w:tcW w:w="0" w:type="auto"/>
            <w:vAlign w:val="center"/>
            <w:hideMark/>
          </w:tcPr>
          <w:p w14:paraId="7E58D018"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Revenue</w:t>
            </w:r>
          </w:p>
        </w:tc>
        <w:tc>
          <w:tcPr>
            <w:tcW w:w="0" w:type="auto"/>
            <w:vAlign w:val="center"/>
            <w:hideMark/>
          </w:tcPr>
          <w:p w14:paraId="303429E5"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₹37,599 Cr</w:t>
            </w:r>
          </w:p>
        </w:tc>
        <w:tc>
          <w:tcPr>
            <w:tcW w:w="0" w:type="auto"/>
            <w:vAlign w:val="center"/>
            <w:hideMark/>
          </w:tcPr>
          <w:p w14:paraId="5C3815B9"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₹172,985 Cr</w:t>
            </w:r>
          </w:p>
        </w:tc>
        <w:tc>
          <w:tcPr>
            <w:tcW w:w="0" w:type="auto"/>
            <w:vAlign w:val="center"/>
            <w:hideMark/>
          </w:tcPr>
          <w:p w14:paraId="6EA64ABF"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+15.3%</w:t>
            </w:r>
          </w:p>
        </w:tc>
      </w:tr>
      <w:tr w:rsidR="00895CAB" w:rsidRPr="00895CAB" w14:paraId="57C9AFF9" w14:textId="77777777" w:rsidTr="00895CAB">
        <w:trPr>
          <w:tblCellSpacing w:w="15" w:type="dxa"/>
        </w:trPr>
        <w:tc>
          <w:tcPr>
            <w:tcW w:w="0" w:type="auto"/>
            <w:vAlign w:val="center"/>
            <w:hideMark/>
          </w:tcPr>
          <w:p w14:paraId="010B9B3F"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Net Profit</w:t>
            </w:r>
          </w:p>
        </w:tc>
        <w:tc>
          <w:tcPr>
            <w:tcW w:w="0" w:type="auto"/>
            <w:vAlign w:val="center"/>
            <w:hideMark/>
          </w:tcPr>
          <w:p w14:paraId="354F6D38"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₹11,022 Cr*</w:t>
            </w:r>
          </w:p>
        </w:tc>
        <w:tc>
          <w:tcPr>
            <w:tcW w:w="0" w:type="auto"/>
            <w:vAlign w:val="center"/>
            <w:hideMark/>
          </w:tcPr>
          <w:p w14:paraId="431DD310"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₹17,573 Cr (Adjusted)</w:t>
            </w:r>
          </w:p>
        </w:tc>
        <w:tc>
          <w:tcPr>
            <w:tcW w:w="0" w:type="auto"/>
            <w:vAlign w:val="center"/>
            <w:hideMark/>
          </w:tcPr>
          <w:p w14:paraId="6A36EA5C"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+55.4%</w:t>
            </w:r>
          </w:p>
        </w:tc>
      </w:tr>
      <w:tr w:rsidR="00895CAB" w:rsidRPr="00895CAB" w14:paraId="001087A8" w14:textId="77777777" w:rsidTr="00895CAB">
        <w:trPr>
          <w:tblCellSpacing w:w="15" w:type="dxa"/>
        </w:trPr>
        <w:tc>
          <w:tcPr>
            <w:tcW w:w="0" w:type="auto"/>
            <w:vAlign w:val="center"/>
            <w:hideMark/>
          </w:tcPr>
          <w:p w14:paraId="6F70DA84"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EBITDA</w:t>
            </w:r>
          </w:p>
        </w:tc>
        <w:tc>
          <w:tcPr>
            <w:tcW w:w="0" w:type="auto"/>
            <w:vAlign w:val="center"/>
            <w:hideMark/>
          </w:tcPr>
          <w:p w14:paraId="577BEBD8"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₹27,404 Cr</w:t>
            </w:r>
          </w:p>
        </w:tc>
        <w:tc>
          <w:tcPr>
            <w:tcW w:w="0" w:type="auto"/>
            <w:vAlign w:val="center"/>
            <w:hideMark/>
          </w:tcPr>
          <w:p w14:paraId="48139AE7"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tc>
        <w:tc>
          <w:tcPr>
            <w:tcW w:w="0" w:type="auto"/>
            <w:vAlign w:val="center"/>
            <w:hideMark/>
          </w:tcPr>
          <w:p w14:paraId="332A7D2A"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tc>
      </w:tr>
      <w:tr w:rsidR="00895CAB" w:rsidRPr="00895CAB" w14:paraId="324E46D3" w14:textId="77777777" w:rsidTr="00895CAB">
        <w:trPr>
          <w:tblCellSpacing w:w="15" w:type="dxa"/>
        </w:trPr>
        <w:tc>
          <w:tcPr>
            <w:tcW w:w="0" w:type="auto"/>
            <w:vAlign w:val="center"/>
            <w:hideMark/>
          </w:tcPr>
          <w:p w14:paraId="1530F1E1"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EBITDA Margin</w:t>
            </w:r>
          </w:p>
        </w:tc>
        <w:tc>
          <w:tcPr>
            <w:tcW w:w="0" w:type="auto"/>
            <w:vAlign w:val="center"/>
            <w:hideMark/>
          </w:tcPr>
          <w:p w14:paraId="11BC00E9"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57.2%</w:t>
            </w:r>
          </w:p>
        </w:tc>
        <w:tc>
          <w:tcPr>
            <w:tcW w:w="0" w:type="auto"/>
            <w:vAlign w:val="center"/>
            <w:hideMark/>
          </w:tcPr>
          <w:p w14:paraId="747BA64E"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tc>
        <w:tc>
          <w:tcPr>
            <w:tcW w:w="0" w:type="auto"/>
            <w:vAlign w:val="center"/>
            <w:hideMark/>
          </w:tcPr>
          <w:p w14:paraId="46A7E6CE"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tc>
      </w:tr>
      <w:tr w:rsidR="00895CAB" w:rsidRPr="00895CAB" w14:paraId="61635EDE" w14:textId="77777777" w:rsidTr="00895CAB">
        <w:trPr>
          <w:tblCellSpacing w:w="15" w:type="dxa"/>
        </w:trPr>
        <w:tc>
          <w:tcPr>
            <w:tcW w:w="0" w:type="auto"/>
            <w:vAlign w:val="center"/>
            <w:hideMark/>
          </w:tcPr>
          <w:p w14:paraId="7FFFEC42"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ARPU</w:t>
            </w:r>
          </w:p>
        </w:tc>
        <w:tc>
          <w:tcPr>
            <w:tcW w:w="0" w:type="auto"/>
            <w:vAlign w:val="center"/>
            <w:hideMark/>
          </w:tcPr>
          <w:p w14:paraId="1817977D"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₹245</w:t>
            </w:r>
          </w:p>
        </w:tc>
        <w:tc>
          <w:tcPr>
            <w:tcW w:w="0" w:type="auto"/>
            <w:vAlign w:val="center"/>
            <w:hideMark/>
          </w:tcPr>
          <w:p w14:paraId="5C1B6575"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(vs ₹209 in FY24)</w:t>
            </w:r>
          </w:p>
        </w:tc>
        <w:tc>
          <w:tcPr>
            <w:tcW w:w="0" w:type="auto"/>
            <w:vAlign w:val="center"/>
            <w:hideMark/>
          </w:tcPr>
          <w:p w14:paraId="22102B8C"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↑17.2%</w:t>
            </w:r>
          </w:p>
        </w:tc>
      </w:tr>
      <w:tr w:rsidR="00895CAB" w:rsidRPr="00895CAB" w14:paraId="0702DDBC" w14:textId="77777777" w:rsidTr="00895CAB">
        <w:trPr>
          <w:tblCellSpacing w:w="15" w:type="dxa"/>
        </w:trPr>
        <w:tc>
          <w:tcPr>
            <w:tcW w:w="0" w:type="auto"/>
            <w:vAlign w:val="center"/>
            <w:hideMark/>
          </w:tcPr>
          <w:p w14:paraId="3C3B4FA7"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Net Debt/EBITDA</w:t>
            </w:r>
          </w:p>
        </w:tc>
        <w:tc>
          <w:tcPr>
            <w:tcW w:w="0" w:type="auto"/>
            <w:vAlign w:val="center"/>
            <w:hideMark/>
          </w:tcPr>
          <w:p w14:paraId="4A6B8DD0"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~1.9×</w:t>
            </w:r>
          </w:p>
        </w:tc>
        <w:tc>
          <w:tcPr>
            <w:tcW w:w="0" w:type="auto"/>
            <w:vAlign w:val="center"/>
            <w:hideMark/>
          </w:tcPr>
          <w:p w14:paraId="1B2C3DBB"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Strong deleveraging</w:t>
            </w:r>
          </w:p>
        </w:tc>
        <w:tc>
          <w:tcPr>
            <w:tcW w:w="0" w:type="auto"/>
            <w:vAlign w:val="center"/>
            <w:hideMark/>
          </w:tcPr>
          <w:p w14:paraId="0B48E842"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tc>
      </w:tr>
    </w:tbl>
    <w:p w14:paraId="140119CA" w14:textId="707AE3B8"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p w14:paraId="09471F78" w14:textId="648E4BBC"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Key Takeaways</w:t>
      </w:r>
    </w:p>
    <w:p w14:paraId="088F0435" w14:textId="77777777" w:rsidR="00895CAB" w:rsidRPr="00895CAB" w:rsidRDefault="00895CAB" w:rsidP="00895CAB">
      <w:pPr>
        <w:pStyle w:val="Heading1"/>
        <w:numPr>
          <w:ilvl w:val="0"/>
          <w:numId w:val="36"/>
        </w:numPr>
        <w:spacing w:before="60"/>
        <w:rPr>
          <w:b w:val="0"/>
          <w:bCs w:val="0"/>
          <w:sz w:val="24"/>
          <w:szCs w:val="24"/>
          <w:lang w:val="en-IN"/>
        </w:rPr>
      </w:pPr>
      <w:r w:rsidRPr="00895CAB">
        <w:rPr>
          <w:b w:val="0"/>
          <w:bCs w:val="0"/>
          <w:sz w:val="24"/>
          <w:szCs w:val="24"/>
          <w:lang w:val="en-IN"/>
        </w:rPr>
        <w:t>Revenue and profit growth driven by higher ARPU and subscriber base expansion</w:t>
      </w:r>
    </w:p>
    <w:p w14:paraId="71A10EE9" w14:textId="77777777" w:rsidR="00895CAB" w:rsidRPr="00895CAB" w:rsidRDefault="00895CAB" w:rsidP="00895CAB">
      <w:pPr>
        <w:pStyle w:val="Heading1"/>
        <w:numPr>
          <w:ilvl w:val="0"/>
          <w:numId w:val="36"/>
        </w:numPr>
        <w:spacing w:before="60"/>
        <w:rPr>
          <w:b w:val="0"/>
          <w:bCs w:val="0"/>
          <w:sz w:val="24"/>
          <w:szCs w:val="24"/>
          <w:lang w:val="en-IN"/>
        </w:rPr>
      </w:pPr>
      <w:r w:rsidRPr="00895CAB">
        <w:rPr>
          <w:b w:val="0"/>
          <w:bCs w:val="0"/>
          <w:sz w:val="24"/>
          <w:szCs w:val="24"/>
          <w:lang w:val="en-IN"/>
        </w:rPr>
        <w:t>Strong operating leverage evident in rising margins</w:t>
      </w:r>
    </w:p>
    <w:p w14:paraId="4AC6008C" w14:textId="77777777" w:rsidR="00895CAB" w:rsidRPr="00895CAB" w:rsidRDefault="00895CAB" w:rsidP="00895CAB">
      <w:pPr>
        <w:pStyle w:val="Heading1"/>
        <w:numPr>
          <w:ilvl w:val="0"/>
          <w:numId w:val="36"/>
        </w:numPr>
        <w:spacing w:before="60"/>
        <w:rPr>
          <w:b w:val="0"/>
          <w:bCs w:val="0"/>
          <w:sz w:val="24"/>
          <w:szCs w:val="24"/>
          <w:lang w:val="en-IN"/>
        </w:rPr>
      </w:pPr>
      <w:r w:rsidRPr="00895CAB">
        <w:rPr>
          <w:b w:val="0"/>
          <w:bCs w:val="0"/>
          <w:sz w:val="24"/>
          <w:szCs w:val="24"/>
          <w:lang w:val="en-IN"/>
        </w:rPr>
        <w:lastRenderedPageBreak/>
        <w:t>Continued deleveraging supports future capex and digital expansion</w:t>
      </w:r>
    </w:p>
    <w:p w14:paraId="290FD719" w14:textId="77777777" w:rsidR="00895CAB" w:rsidRPr="00895CAB" w:rsidRDefault="00895CAB" w:rsidP="00895CAB">
      <w:pPr>
        <w:pStyle w:val="Heading1"/>
        <w:numPr>
          <w:ilvl w:val="0"/>
          <w:numId w:val="36"/>
        </w:numPr>
        <w:spacing w:before="60"/>
        <w:rPr>
          <w:b w:val="0"/>
          <w:bCs w:val="0"/>
          <w:sz w:val="24"/>
          <w:szCs w:val="24"/>
          <w:lang w:val="en-IN"/>
        </w:rPr>
      </w:pPr>
      <w:r w:rsidRPr="00895CAB">
        <w:rPr>
          <w:b w:val="0"/>
          <w:bCs w:val="0"/>
          <w:sz w:val="24"/>
          <w:szCs w:val="24"/>
          <w:lang w:val="en-IN"/>
        </w:rPr>
        <w:t>Bharti’s ability to consistently raise tariffs without major churn reflects strong brand stickiness</w:t>
      </w:r>
    </w:p>
    <w:p w14:paraId="5FBBA48F" w14:textId="303AC910" w:rsidR="00895CAB" w:rsidRPr="00895CAB" w:rsidRDefault="00895CAB" w:rsidP="00895CAB">
      <w:pPr>
        <w:pStyle w:val="Heading1"/>
        <w:spacing w:before="60"/>
        <w:ind w:left="258"/>
        <w:rPr>
          <w:b w:val="0"/>
          <w:bCs w:val="0"/>
          <w:sz w:val="24"/>
          <w:szCs w:val="24"/>
          <w:lang w:val="en-IN"/>
        </w:rPr>
      </w:pPr>
    </w:p>
    <w:p w14:paraId="3CA4F0EB" w14:textId="5ECA98E6"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 xml:space="preserve"> Valuation: Premium Justified by Growth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281"/>
      </w:tblGrid>
      <w:tr w:rsidR="00895CAB" w:rsidRPr="00895CAB" w14:paraId="12A9AFBB" w14:textId="77777777" w:rsidTr="00895CAB">
        <w:trPr>
          <w:tblHeader/>
          <w:tblCellSpacing w:w="15" w:type="dxa"/>
        </w:trPr>
        <w:tc>
          <w:tcPr>
            <w:tcW w:w="0" w:type="auto"/>
            <w:vAlign w:val="center"/>
            <w:hideMark/>
          </w:tcPr>
          <w:p w14:paraId="1EBB4196"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Metric</w:t>
            </w:r>
          </w:p>
        </w:tc>
        <w:tc>
          <w:tcPr>
            <w:tcW w:w="0" w:type="auto"/>
            <w:vAlign w:val="center"/>
            <w:hideMark/>
          </w:tcPr>
          <w:p w14:paraId="10CFE5A5"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Value</w:t>
            </w:r>
          </w:p>
        </w:tc>
      </w:tr>
      <w:tr w:rsidR="00895CAB" w:rsidRPr="00895CAB" w14:paraId="474E4A87" w14:textId="77777777" w:rsidTr="00895CAB">
        <w:trPr>
          <w:tblCellSpacing w:w="15" w:type="dxa"/>
        </w:trPr>
        <w:tc>
          <w:tcPr>
            <w:tcW w:w="0" w:type="auto"/>
            <w:vAlign w:val="center"/>
            <w:hideMark/>
          </w:tcPr>
          <w:p w14:paraId="12C742AC"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Trailing P/E (TTM)</w:t>
            </w:r>
          </w:p>
        </w:tc>
        <w:tc>
          <w:tcPr>
            <w:tcW w:w="0" w:type="auto"/>
            <w:vAlign w:val="center"/>
            <w:hideMark/>
          </w:tcPr>
          <w:p w14:paraId="01557AA2"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~54×</w:t>
            </w:r>
          </w:p>
        </w:tc>
      </w:tr>
      <w:tr w:rsidR="00895CAB" w:rsidRPr="00895CAB" w14:paraId="7222A096" w14:textId="77777777" w:rsidTr="00895CAB">
        <w:trPr>
          <w:tblCellSpacing w:w="15" w:type="dxa"/>
        </w:trPr>
        <w:tc>
          <w:tcPr>
            <w:tcW w:w="0" w:type="auto"/>
            <w:vAlign w:val="center"/>
            <w:hideMark/>
          </w:tcPr>
          <w:p w14:paraId="218E074B"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Forward P/E (FY26e)</w:t>
            </w:r>
          </w:p>
        </w:tc>
        <w:tc>
          <w:tcPr>
            <w:tcW w:w="0" w:type="auto"/>
            <w:vAlign w:val="center"/>
            <w:hideMark/>
          </w:tcPr>
          <w:p w14:paraId="60BA9CEA"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~35–38×</w:t>
            </w:r>
          </w:p>
        </w:tc>
      </w:tr>
    </w:tbl>
    <w:p w14:paraId="357783B1" w14:textId="77777777" w:rsidR="00895CAB" w:rsidRPr="00895CAB" w:rsidRDefault="00895CAB" w:rsidP="00895CAB">
      <w:pPr>
        <w:pStyle w:val="Heading1"/>
        <w:numPr>
          <w:ilvl w:val="0"/>
          <w:numId w:val="37"/>
        </w:numPr>
        <w:spacing w:before="60"/>
        <w:rPr>
          <w:b w:val="0"/>
          <w:bCs w:val="0"/>
          <w:sz w:val="24"/>
          <w:szCs w:val="24"/>
          <w:lang w:val="en-IN"/>
        </w:rPr>
      </w:pPr>
      <w:r w:rsidRPr="00895CAB">
        <w:rPr>
          <w:b w:val="0"/>
          <w:bCs w:val="0"/>
          <w:sz w:val="24"/>
          <w:szCs w:val="24"/>
          <w:lang w:val="en-IN"/>
        </w:rPr>
        <w:t>Although higher than the Nifty average P/E (~22–25x), Airtel’s valuation is supported by:</w:t>
      </w:r>
    </w:p>
    <w:p w14:paraId="4503F80A" w14:textId="77777777" w:rsidR="00895CAB" w:rsidRPr="00895CAB" w:rsidRDefault="00895CAB" w:rsidP="00895CAB">
      <w:pPr>
        <w:pStyle w:val="Heading1"/>
        <w:numPr>
          <w:ilvl w:val="1"/>
          <w:numId w:val="37"/>
        </w:numPr>
        <w:spacing w:before="60"/>
        <w:rPr>
          <w:b w:val="0"/>
          <w:bCs w:val="0"/>
          <w:sz w:val="24"/>
          <w:szCs w:val="24"/>
          <w:lang w:val="en-IN"/>
        </w:rPr>
      </w:pPr>
      <w:r w:rsidRPr="00895CAB">
        <w:rPr>
          <w:b w:val="0"/>
          <w:bCs w:val="0"/>
          <w:sz w:val="24"/>
          <w:szCs w:val="24"/>
          <w:lang w:val="en-IN"/>
        </w:rPr>
        <w:t>Industry leadership in postpaid, enterprise, and broadband</w:t>
      </w:r>
    </w:p>
    <w:p w14:paraId="444F7033" w14:textId="77777777" w:rsidR="00895CAB" w:rsidRPr="00895CAB" w:rsidRDefault="00895CAB" w:rsidP="00895CAB">
      <w:pPr>
        <w:pStyle w:val="Heading1"/>
        <w:numPr>
          <w:ilvl w:val="1"/>
          <w:numId w:val="37"/>
        </w:numPr>
        <w:spacing w:before="60"/>
        <w:rPr>
          <w:b w:val="0"/>
          <w:bCs w:val="0"/>
          <w:sz w:val="24"/>
          <w:szCs w:val="24"/>
          <w:lang w:val="en-IN"/>
        </w:rPr>
      </w:pPr>
      <w:r w:rsidRPr="00895CAB">
        <w:rPr>
          <w:b w:val="0"/>
          <w:bCs w:val="0"/>
          <w:sz w:val="24"/>
          <w:szCs w:val="24"/>
          <w:lang w:val="en-IN"/>
        </w:rPr>
        <w:t>Superior ARPU trajectory</w:t>
      </w:r>
    </w:p>
    <w:p w14:paraId="369022D4" w14:textId="77777777" w:rsidR="00895CAB" w:rsidRPr="00895CAB" w:rsidRDefault="00895CAB" w:rsidP="00895CAB">
      <w:pPr>
        <w:pStyle w:val="Heading1"/>
        <w:numPr>
          <w:ilvl w:val="1"/>
          <w:numId w:val="37"/>
        </w:numPr>
        <w:spacing w:before="60"/>
        <w:rPr>
          <w:b w:val="0"/>
          <w:bCs w:val="0"/>
          <w:sz w:val="24"/>
          <w:szCs w:val="24"/>
          <w:lang w:val="en-IN"/>
        </w:rPr>
      </w:pPr>
      <w:r w:rsidRPr="00895CAB">
        <w:rPr>
          <w:b w:val="0"/>
          <w:bCs w:val="0"/>
          <w:sz w:val="24"/>
          <w:szCs w:val="24"/>
          <w:lang w:val="en-IN"/>
        </w:rPr>
        <w:t>5G monetization runway</w:t>
      </w:r>
    </w:p>
    <w:p w14:paraId="5294F1BC" w14:textId="77777777" w:rsidR="00895CAB" w:rsidRPr="00895CAB" w:rsidRDefault="00895CAB" w:rsidP="00895CAB">
      <w:pPr>
        <w:pStyle w:val="Heading1"/>
        <w:numPr>
          <w:ilvl w:val="1"/>
          <w:numId w:val="37"/>
        </w:numPr>
        <w:spacing w:before="60"/>
        <w:rPr>
          <w:b w:val="0"/>
          <w:bCs w:val="0"/>
          <w:sz w:val="24"/>
          <w:szCs w:val="24"/>
          <w:lang w:val="en-IN"/>
        </w:rPr>
      </w:pPr>
      <w:r w:rsidRPr="00895CAB">
        <w:rPr>
          <w:b w:val="0"/>
          <w:bCs w:val="0"/>
          <w:sz w:val="24"/>
          <w:szCs w:val="24"/>
          <w:lang w:val="en-IN"/>
        </w:rPr>
        <w:t xml:space="preserve">Expanding non-wireless revenue segments (e.g., data </w:t>
      </w:r>
      <w:proofErr w:type="spellStart"/>
      <w:r w:rsidRPr="00895CAB">
        <w:rPr>
          <w:b w:val="0"/>
          <w:bCs w:val="0"/>
          <w:sz w:val="24"/>
          <w:szCs w:val="24"/>
          <w:lang w:val="en-IN"/>
        </w:rPr>
        <w:t>centers</w:t>
      </w:r>
      <w:proofErr w:type="spellEnd"/>
      <w:r w:rsidRPr="00895CAB">
        <w:rPr>
          <w:b w:val="0"/>
          <w:bCs w:val="0"/>
          <w:sz w:val="24"/>
          <w:szCs w:val="24"/>
          <w:lang w:val="en-IN"/>
        </w:rPr>
        <w:t>, cloud, fintech)</w:t>
      </w:r>
    </w:p>
    <w:p w14:paraId="370AA784"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In comparison:</w:t>
      </w:r>
    </w:p>
    <w:p w14:paraId="2EC95436" w14:textId="77777777" w:rsidR="00895CAB" w:rsidRPr="00895CAB" w:rsidRDefault="00895CAB" w:rsidP="00895CAB">
      <w:pPr>
        <w:pStyle w:val="Heading1"/>
        <w:numPr>
          <w:ilvl w:val="0"/>
          <w:numId w:val="38"/>
        </w:numPr>
        <w:spacing w:before="60"/>
        <w:rPr>
          <w:b w:val="0"/>
          <w:bCs w:val="0"/>
          <w:sz w:val="24"/>
          <w:szCs w:val="24"/>
          <w:lang w:val="en-IN"/>
        </w:rPr>
      </w:pPr>
      <w:r w:rsidRPr="00895CAB">
        <w:rPr>
          <w:b w:val="0"/>
          <w:bCs w:val="0"/>
          <w:sz w:val="24"/>
          <w:szCs w:val="24"/>
          <w:lang w:val="en-IN"/>
        </w:rPr>
        <w:t>Reliance Jio (via RIL) does not trade as a standalone entity</w:t>
      </w:r>
    </w:p>
    <w:p w14:paraId="7CB06C9C" w14:textId="77777777" w:rsidR="00895CAB" w:rsidRPr="00895CAB" w:rsidRDefault="00895CAB" w:rsidP="00895CAB">
      <w:pPr>
        <w:pStyle w:val="Heading1"/>
        <w:numPr>
          <w:ilvl w:val="0"/>
          <w:numId w:val="38"/>
        </w:numPr>
        <w:spacing w:before="60"/>
        <w:rPr>
          <w:b w:val="0"/>
          <w:bCs w:val="0"/>
          <w:sz w:val="24"/>
          <w:szCs w:val="24"/>
          <w:lang w:val="en-IN"/>
        </w:rPr>
      </w:pPr>
      <w:r w:rsidRPr="00895CAB">
        <w:rPr>
          <w:b w:val="0"/>
          <w:bCs w:val="0"/>
          <w:sz w:val="24"/>
          <w:szCs w:val="24"/>
          <w:lang w:val="en-IN"/>
        </w:rPr>
        <w:t>Global telcos often trade at lower P/Es due to saturated markets and slow growth</w:t>
      </w:r>
    </w:p>
    <w:p w14:paraId="1743AA70"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Airtel commands a premium due to its India-first digital growth strategy, rising margins, and scalable B2B and B2C models.</w:t>
      </w:r>
    </w:p>
    <w:p w14:paraId="19EE57A4" w14:textId="7A5BCB21" w:rsidR="00895CAB" w:rsidRPr="00895CAB" w:rsidRDefault="00895CAB" w:rsidP="00895CAB">
      <w:pPr>
        <w:pStyle w:val="Heading1"/>
        <w:spacing w:before="60"/>
        <w:ind w:left="258"/>
        <w:rPr>
          <w:b w:val="0"/>
          <w:bCs w:val="0"/>
          <w:sz w:val="24"/>
          <w:szCs w:val="24"/>
          <w:lang w:val="en-IN"/>
        </w:rPr>
      </w:pPr>
    </w:p>
    <w:p w14:paraId="67A4F6F5" w14:textId="31DBF81F"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Technical &amp; Candlestick Analysis: Bullish Setup with Momentum Strength</w:t>
      </w:r>
    </w:p>
    <w:p w14:paraId="3EA300AD"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A. Key Technical Indicators (as of July 2025)</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5"/>
        <w:gridCol w:w="3087"/>
        <w:gridCol w:w="4132"/>
      </w:tblGrid>
      <w:tr w:rsidR="00895CAB" w:rsidRPr="00895CAB" w14:paraId="01FA6EDE" w14:textId="77777777" w:rsidTr="00895CAB">
        <w:trPr>
          <w:tblHeader/>
          <w:tblCellSpacing w:w="15" w:type="dxa"/>
        </w:trPr>
        <w:tc>
          <w:tcPr>
            <w:tcW w:w="0" w:type="auto"/>
            <w:vAlign w:val="center"/>
            <w:hideMark/>
          </w:tcPr>
          <w:p w14:paraId="0E5DC75D"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Indicator</w:t>
            </w:r>
          </w:p>
        </w:tc>
        <w:tc>
          <w:tcPr>
            <w:tcW w:w="0" w:type="auto"/>
            <w:vAlign w:val="center"/>
            <w:hideMark/>
          </w:tcPr>
          <w:p w14:paraId="3EB5FE72"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Value</w:t>
            </w:r>
          </w:p>
        </w:tc>
        <w:tc>
          <w:tcPr>
            <w:tcW w:w="0" w:type="auto"/>
            <w:vAlign w:val="center"/>
            <w:hideMark/>
          </w:tcPr>
          <w:p w14:paraId="66EF3613"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Signal</w:t>
            </w:r>
          </w:p>
        </w:tc>
      </w:tr>
      <w:tr w:rsidR="00895CAB" w:rsidRPr="00895CAB" w14:paraId="26F15673" w14:textId="77777777" w:rsidTr="00895CAB">
        <w:trPr>
          <w:tblCellSpacing w:w="15" w:type="dxa"/>
        </w:trPr>
        <w:tc>
          <w:tcPr>
            <w:tcW w:w="0" w:type="auto"/>
            <w:vAlign w:val="center"/>
            <w:hideMark/>
          </w:tcPr>
          <w:p w14:paraId="7F7BE6B4"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Current Price</w:t>
            </w:r>
          </w:p>
        </w:tc>
        <w:tc>
          <w:tcPr>
            <w:tcW w:w="0" w:type="auto"/>
            <w:vAlign w:val="center"/>
            <w:hideMark/>
          </w:tcPr>
          <w:p w14:paraId="4F4E801A"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₹1,940</w:t>
            </w:r>
          </w:p>
        </w:tc>
        <w:tc>
          <w:tcPr>
            <w:tcW w:w="0" w:type="auto"/>
            <w:vAlign w:val="center"/>
            <w:hideMark/>
          </w:tcPr>
          <w:p w14:paraId="119547D4"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w:t>
            </w:r>
          </w:p>
        </w:tc>
      </w:tr>
      <w:tr w:rsidR="00895CAB" w:rsidRPr="00895CAB" w14:paraId="0928F2ED" w14:textId="77777777" w:rsidTr="00895CAB">
        <w:trPr>
          <w:tblCellSpacing w:w="15" w:type="dxa"/>
        </w:trPr>
        <w:tc>
          <w:tcPr>
            <w:tcW w:w="0" w:type="auto"/>
            <w:vAlign w:val="center"/>
            <w:hideMark/>
          </w:tcPr>
          <w:p w14:paraId="138E49BB"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50-Day EMA</w:t>
            </w:r>
          </w:p>
        </w:tc>
        <w:tc>
          <w:tcPr>
            <w:tcW w:w="0" w:type="auto"/>
            <w:vAlign w:val="center"/>
            <w:hideMark/>
          </w:tcPr>
          <w:p w14:paraId="54AF3724"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₹1,920</w:t>
            </w:r>
          </w:p>
        </w:tc>
        <w:tc>
          <w:tcPr>
            <w:tcW w:w="0" w:type="auto"/>
            <w:vAlign w:val="center"/>
            <w:hideMark/>
          </w:tcPr>
          <w:p w14:paraId="60E3405C"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Bullish</w:t>
            </w:r>
          </w:p>
        </w:tc>
      </w:tr>
      <w:tr w:rsidR="00895CAB" w:rsidRPr="00895CAB" w14:paraId="4955B885" w14:textId="77777777" w:rsidTr="00895CAB">
        <w:trPr>
          <w:tblCellSpacing w:w="15" w:type="dxa"/>
        </w:trPr>
        <w:tc>
          <w:tcPr>
            <w:tcW w:w="0" w:type="auto"/>
            <w:vAlign w:val="center"/>
            <w:hideMark/>
          </w:tcPr>
          <w:p w14:paraId="02FC17FD"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200-Day EMA</w:t>
            </w:r>
          </w:p>
        </w:tc>
        <w:tc>
          <w:tcPr>
            <w:tcW w:w="0" w:type="auto"/>
            <w:vAlign w:val="center"/>
            <w:hideMark/>
          </w:tcPr>
          <w:p w14:paraId="1C30E6A1"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₹1,795</w:t>
            </w:r>
          </w:p>
        </w:tc>
        <w:tc>
          <w:tcPr>
            <w:tcW w:w="0" w:type="auto"/>
            <w:vAlign w:val="center"/>
            <w:hideMark/>
          </w:tcPr>
          <w:p w14:paraId="1B0C7E4B"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Long-term uptrend</w:t>
            </w:r>
          </w:p>
        </w:tc>
      </w:tr>
      <w:tr w:rsidR="00895CAB" w:rsidRPr="00895CAB" w14:paraId="2689FB89" w14:textId="77777777" w:rsidTr="00895CAB">
        <w:trPr>
          <w:tblCellSpacing w:w="15" w:type="dxa"/>
        </w:trPr>
        <w:tc>
          <w:tcPr>
            <w:tcW w:w="0" w:type="auto"/>
            <w:vAlign w:val="center"/>
            <w:hideMark/>
          </w:tcPr>
          <w:p w14:paraId="7894A5C6"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RSI</w:t>
            </w:r>
          </w:p>
        </w:tc>
        <w:tc>
          <w:tcPr>
            <w:tcW w:w="0" w:type="auto"/>
            <w:vAlign w:val="center"/>
            <w:hideMark/>
          </w:tcPr>
          <w:p w14:paraId="79A88680"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~72</w:t>
            </w:r>
          </w:p>
        </w:tc>
        <w:tc>
          <w:tcPr>
            <w:tcW w:w="0" w:type="auto"/>
            <w:vAlign w:val="center"/>
            <w:hideMark/>
          </w:tcPr>
          <w:p w14:paraId="513CDA27"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Mildly overbought (but strong trend)</w:t>
            </w:r>
          </w:p>
        </w:tc>
      </w:tr>
      <w:tr w:rsidR="00895CAB" w:rsidRPr="00895CAB" w14:paraId="642C6C32" w14:textId="77777777" w:rsidTr="00895CAB">
        <w:trPr>
          <w:tblCellSpacing w:w="15" w:type="dxa"/>
        </w:trPr>
        <w:tc>
          <w:tcPr>
            <w:tcW w:w="0" w:type="auto"/>
            <w:vAlign w:val="center"/>
            <w:hideMark/>
          </w:tcPr>
          <w:p w14:paraId="168389CB"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MACD</w:t>
            </w:r>
          </w:p>
        </w:tc>
        <w:tc>
          <w:tcPr>
            <w:tcW w:w="0" w:type="auto"/>
            <w:vAlign w:val="center"/>
            <w:hideMark/>
          </w:tcPr>
          <w:p w14:paraId="4F49EE1D"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Positive crossover</w:t>
            </w:r>
          </w:p>
        </w:tc>
        <w:tc>
          <w:tcPr>
            <w:tcW w:w="0" w:type="auto"/>
            <w:vAlign w:val="center"/>
            <w:hideMark/>
          </w:tcPr>
          <w:p w14:paraId="62409F4E"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Bullish momentum</w:t>
            </w:r>
          </w:p>
        </w:tc>
      </w:tr>
      <w:tr w:rsidR="00895CAB" w:rsidRPr="00895CAB" w14:paraId="67C8B659" w14:textId="77777777" w:rsidTr="00895CAB">
        <w:trPr>
          <w:tblCellSpacing w:w="15" w:type="dxa"/>
        </w:trPr>
        <w:tc>
          <w:tcPr>
            <w:tcW w:w="0" w:type="auto"/>
            <w:vAlign w:val="center"/>
            <w:hideMark/>
          </w:tcPr>
          <w:p w14:paraId="173F937B"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Bollinger Bands</w:t>
            </w:r>
          </w:p>
        </w:tc>
        <w:tc>
          <w:tcPr>
            <w:tcW w:w="0" w:type="auto"/>
            <w:vAlign w:val="center"/>
            <w:hideMark/>
          </w:tcPr>
          <w:p w14:paraId="7D099CF0"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Price hugging upper band</w:t>
            </w:r>
          </w:p>
        </w:tc>
        <w:tc>
          <w:tcPr>
            <w:tcW w:w="0" w:type="auto"/>
            <w:vAlign w:val="center"/>
            <w:hideMark/>
          </w:tcPr>
          <w:p w14:paraId="74D6996C" w14:textId="77777777"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Strength with caution</w:t>
            </w:r>
          </w:p>
        </w:tc>
      </w:tr>
    </w:tbl>
    <w:p w14:paraId="1A0866C0" w14:textId="77777777" w:rsidR="00895CAB" w:rsidRPr="00895CAB" w:rsidRDefault="00895CAB" w:rsidP="00895CAB">
      <w:pPr>
        <w:pStyle w:val="Heading1"/>
        <w:numPr>
          <w:ilvl w:val="0"/>
          <w:numId w:val="39"/>
        </w:numPr>
        <w:spacing w:before="60"/>
        <w:rPr>
          <w:b w:val="0"/>
          <w:bCs w:val="0"/>
          <w:sz w:val="24"/>
          <w:szCs w:val="24"/>
          <w:lang w:val="en-IN"/>
        </w:rPr>
      </w:pPr>
      <w:r w:rsidRPr="00895CAB">
        <w:rPr>
          <w:b w:val="0"/>
          <w:bCs w:val="0"/>
          <w:sz w:val="24"/>
          <w:szCs w:val="24"/>
          <w:lang w:val="en-IN"/>
        </w:rPr>
        <w:t>Airtel is in a strong uptrend, trading above all key moving averages.</w:t>
      </w:r>
    </w:p>
    <w:p w14:paraId="4F5A953D" w14:textId="77777777" w:rsidR="00895CAB" w:rsidRPr="00895CAB" w:rsidRDefault="00895CAB" w:rsidP="00895CAB">
      <w:pPr>
        <w:pStyle w:val="Heading1"/>
        <w:numPr>
          <w:ilvl w:val="0"/>
          <w:numId w:val="39"/>
        </w:numPr>
        <w:spacing w:before="60"/>
        <w:rPr>
          <w:b w:val="0"/>
          <w:bCs w:val="0"/>
          <w:sz w:val="24"/>
          <w:szCs w:val="24"/>
          <w:lang w:val="en-IN"/>
        </w:rPr>
      </w:pPr>
      <w:r w:rsidRPr="00895CAB">
        <w:rPr>
          <w:b w:val="0"/>
          <w:bCs w:val="0"/>
          <w:sz w:val="24"/>
          <w:szCs w:val="24"/>
          <w:lang w:val="en-IN"/>
        </w:rPr>
        <w:t>Golden crossover signals (e.g., 50-day EMA &gt; 200-day EMA) in previous quarters have historically led to extended rallies.</w:t>
      </w:r>
    </w:p>
    <w:p w14:paraId="611C158E" w14:textId="77777777" w:rsidR="00895CAB" w:rsidRPr="00895CAB" w:rsidRDefault="00895CAB" w:rsidP="00895CAB">
      <w:pPr>
        <w:pStyle w:val="Heading1"/>
        <w:numPr>
          <w:ilvl w:val="0"/>
          <w:numId w:val="39"/>
        </w:numPr>
        <w:spacing w:before="60"/>
        <w:rPr>
          <w:b w:val="0"/>
          <w:bCs w:val="0"/>
          <w:sz w:val="24"/>
          <w:szCs w:val="24"/>
          <w:lang w:val="en-IN"/>
        </w:rPr>
      </w:pPr>
      <w:r w:rsidRPr="00895CAB">
        <w:rPr>
          <w:b w:val="0"/>
          <w:bCs w:val="0"/>
          <w:sz w:val="24"/>
          <w:szCs w:val="24"/>
          <w:lang w:val="en-IN"/>
        </w:rPr>
        <w:t xml:space="preserve">Bollinger Band </w:t>
      </w:r>
      <w:proofErr w:type="spellStart"/>
      <w:r w:rsidRPr="00895CAB">
        <w:rPr>
          <w:b w:val="0"/>
          <w:bCs w:val="0"/>
          <w:sz w:val="24"/>
          <w:szCs w:val="24"/>
          <w:lang w:val="en-IN"/>
        </w:rPr>
        <w:t>behavior</w:t>
      </w:r>
      <w:proofErr w:type="spellEnd"/>
      <w:r w:rsidRPr="00895CAB">
        <w:rPr>
          <w:b w:val="0"/>
          <w:bCs w:val="0"/>
          <w:sz w:val="24"/>
          <w:szCs w:val="24"/>
          <w:lang w:val="en-IN"/>
        </w:rPr>
        <w:t xml:space="preserve"> suggests continued momentum but calls for disciplined entry points to manage short-term volatility.</w:t>
      </w:r>
    </w:p>
    <w:p w14:paraId="0D73E4F8" w14:textId="64374B4E" w:rsidR="00895CAB" w:rsidRPr="00895CAB" w:rsidRDefault="00895CAB" w:rsidP="00895CAB">
      <w:pPr>
        <w:pStyle w:val="Heading1"/>
        <w:spacing w:before="60"/>
        <w:ind w:left="258"/>
        <w:rPr>
          <w:b w:val="0"/>
          <w:bCs w:val="0"/>
          <w:sz w:val="24"/>
          <w:szCs w:val="24"/>
          <w:lang w:val="en-IN"/>
        </w:rPr>
      </w:pPr>
    </w:p>
    <w:p w14:paraId="445DC9D7" w14:textId="5D151AFD" w:rsidR="00895CAB" w:rsidRDefault="00895CAB" w:rsidP="00895CAB">
      <w:pPr>
        <w:pStyle w:val="Heading1"/>
        <w:spacing w:before="60"/>
        <w:ind w:left="258"/>
        <w:rPr>
          <w:b w:val="0"/>
          <w:bCs w:val="0"/>
          <w:sz w:val="24"/>
          <w:szCs w:val="24"/>
          <w:lang w:val="en-IN"/>
        </w:rPr>
      </w:pPr>
      <w:r w:rsidRPr="00895CAB">
        <w:rPr>
          <w:b w:val="0"/>
          <w:bCs w:val="0"/>
          <w:sz w:val="24"/>
          <w:szCs w:val="24"/>
          <w:lang w:val="en-IN"/>
        </w:rPr>
        <w:t xml:space="preserve"> Company Overview</w:t>
      </w:r>
    </w:p>
    <w:p w14:paraId="21625D0E" w14:textId="3D5A182A" w:rsidR="00895CAB" w:rsidRPr="00895CAB" w:rsidRDefault="00895CAB" w:rsidP="00895CAB">
      <w:pPr>
        <w:pStyle w:val="Heading1"/>
        <w:spacing w:before="60"/>
        <w:ind w:left="258"/>
        <w:rPr>
          <w:b w:val="0"/>
          <w:bCs w:val="0"/>
          <w:sz w:val="24"/>
          <w:szCs w:val="24"/>
          <w:lang w:val="en-IN"/>
        </w:rPr>
      </w:pPr>
      <w:r w:rsidRPr="00895CAB">
        <w:rPr>
          <w:b w:val="0"/>
          <w:bCs w:val="0"/>
          <w:sz w:val="24"/>
          <w:szCs w:val="24"/>
          <w:lang w:val="en-IN"/>
        </w:rPr>
        <w:t>Founded: 1995 | Headquarters: New Delhi</w:t>
      </w:r>
    </w:p>
    <w:p w14:paraId="55989D34" w14:textId="77777777" w:rsidR="00895CAB" w:rsidRPr="00895CAB" w:rsidRDefault="00895CAB" w:rsidP="00895CAB">
      <w:pPr>
        <w:pStyle w:val="Heading1"/>
        <w:numPr>
          <w:ilvl w:val="0"/>
          <w:numId w:val="40"/>
        </w:numPr>
        <w:spacing w:before="60"/>
        <w:rPr>
          <w:b w:val="0"/>
          <w:bCs w:val="0"/>
          <w:sz w:val="24"/>
          <w:szCs w:val="24"/>
          <w:lang w:val="en-IN"/>
        </w:rPr>
      </w:pPr>
      <w:r w:rsidRPr="00895CAB">
        <w:rPr>
          <w:b w:val="0"/>
          <w:bCs w:val="0"/>
          <w:sz w:val="24"/>
          <w:szCs w:val="24"/>
          <w:lang w:val="en-IN"/>
        </w:rPr>
        <w:t>Business Segments:</w:t>
      </w:r>
    </w:p>
    <w:p w14:paraId="5AD3B9CB" w14:textId="77777777" w:rsidR="00895CAB" w:rsidRPr="00895CAB" w:rsidRDefault="00895CAB" w:rsidP="00895CAB">
      <w:pPr>
        <w:pStyle w:val="Heading1"/>
        <w:numPr>
          <w:ilvl w:val="1"/>
          <w:numId w:val="40"/>
        </w:numPr>
        <w:spacing w:before="60"/>
        <w:rPr>
          <w:b w:val="0"/>
          <w:bCs w:val="0"/>
          <w:sz w:val="24"/>
          <w:szCs w:val="24"/>
          <w:lang w:val="en-IN"/>
        </w:rPr>
      </w:pPr>
      <w:r w:rsidRPr="00895CAB">
        <w:rPr>
          <w:b w:val="0"/>
          <w:bCs w:val="0"/>
          <w:sz w:val="24"/>
          <w:szCs w:val="24"/>
          <w:lang w:val="en-IN"/>
        </w:rPr>
        <w:t>India Mobile Services: Over 380 million subscribers</w:t>
      </w:r>
    </w:p>
    <w:p w14:paraId="078B7BCA" w14:textId="77777777" w:rsidR="00895CAB" w:rsidRPr="00895CAB" w:rsidRDefault="00895CAB" w:rsidP="00895CAB">
      <w:pPr>
        <w:pStyle w:val="Heading1"/>
        <w:numPr>
          <w:ilvl w:val="1"/>
          <w:numId w:val="40"/>
        </w:numPr>
        <w:spacing w:before="60"/>
        <w:rPr>
          <w:b w:val="0"/>
          <w:bCs w:val="0"/>
          <w:sz w:val="24"/>
          <w:szCs w:val="24"/>
          <w:lang w:val="en-IN"/>
        </w:rPr>
      </w:pPr>
      <w:r w:rsidRPr="00895CAB">
        <w:rPr>
          <w:b w:val="0"/>
          <w:bCs w:val="0"/>
          <w:sz w:val="24"/>
          <w:szCs w:val="24"/>
          <w:lang w:val="en-IN"/>
        </w:rPr>
        <w:t>Home Services: High-speed broadband and DTH</w:t>
      </w:r>
    </w:p>
    <w:p w14:paraId="0D189C19" w14:textId="77777777" w:rsidR="00895CAB" w:rsidRPr="00895CAB" w:rsidRDefault="00895CAB" w:rsidP="00895CAB">
      <w:pPr>
        <w:pStyle w:val="Heading1"/>
        <w:numPr>
          <w:ilvl w:val="1"/>
          <w:numId w:val="40"/>
        </w:numPr>
        <w:spacing w:before="60"/>
        <w:rPr>
          <w:b w:val="0"/>
          <w:bCs w:val="0"/>
          <w:sz w:val="24"/>
          <w:szCs w:val="24"/>
          <w:lang w:val="en-IN"/>
        </w:rPr>
      </w:pPr>
      <w:r w:rsidRPr="00895CAB">
        <w:rPr>
          <w:b w:val="0"/>
          <w:bCs w:val="0"/>
          <w:sz w:val="24"/>
          <w:szCs w:val="24"/>
          <w:lang w:val="en-IN"/>
        </w:rPr>
        <w:t>Airtel Business: Enterprise connectivity, cloud, and IoT</w:t>
      </w:r>
    </w:p>
    <w:p w14:paraId="042928E7" w14:textId="77777777" w:rsidR="00895CAB" w:rsidRPr="00895CAB" w:rsidRDefault="00895CAB" w:rsidP="00895CAB">
      <w:pPr>
        <w:pStyle w:val="Heading1"/>
        <w:numPr>
          <w:ilvl w:val="1"/>
          <w:numId w:val="40"/>
        </w:numPr>
        <w:spacing w:before="60"/>
        <w:rPr>
          <w:b w:val="0"/>
          <w:bCs w:val="0"/>
          <w:sz w:val="24"/>
          <w:szCs w:val="24"/>
          <w:lang w:val="en-IN"/>
        </w:rPr>
      </w:pPr>
      <w:r w:rsidRPr="00895CAB">
        <w:rPr>
          <w:b w:val="0"/>
          <w:bCs w:val="0"/>
          <w:sz w:val="24"/>
          <w:szCs w:val="24"/>
          <w:lang w:val="en-IN"/>
        </w:rPr>
        <w:lastRenderedPageBreak/>
        <w:t>Africa Operations: Airtel Africa serves 140+ million users</w:t>
      </w:r>
    </w:p>
    <w:p w14:paraId="3A12D3C6" w14:textId="77777777" w:rsidR="00895CAB" w:rsidRPr="00895CAB" w:rsidRDefault="00895CAB" w:rsidP="00895CAB">
      <w:pPr>
        <w:pStyle w:val="Heading1"/>
        <w:numPr>
          <w:ilvl w:val="1"/>
          <w:numId w:val="40"/>
        </w:numPr>
        <w:spacing w:before="60"/>
        <w:rPr>
          <w:b w:val="0"/>
          <w:bCs w:val="0"/>
          <w:sz w:val="24"/>
          <w:szCs w:val="24"/>
          <w:lang w:val="en-IN"/>
        </w:rPr>
      </w:pPr>
      <w:r w:rsidRPr="00895CAB">
        <w:rPr>
          <w:b w:val="0"/>
          <w:bCs w:val="0"/>
          <w:sz w:val="24"/>
          <w:szCs w:val="24"/>
          <w:lang w:val="en-IN"/>
        </w:rPr>
        <w:t>Airtel Payments Bank: Among India’s leading digital banks</w:t>
      </w:r>
    </w:p>
    <w:p w14:paraId="7F53330F" w14:textId="77777777" w:rsidR="00895CAB" w:rsidRPr="00895CAB" w:rsidRDefault="00895CAB" w:rsidP="00895CAB">
      <w:pPr>
        <w:pStyle w:val="Heading1"/>
        <w:numPr>
          <w:ilvl w:val="0"/>
          <w:numId w:val="40"/>
        </w:numPr>
        <w:spacing w:before="60"/>
        <w:rPr>
          <w:b w:val="0"/>
          <w:bCs w:val="0"/>
          <w:sz w:val="24"/>
          <w:szCs w:val="24"/>
          <w:lang w:val="en-IN"/>
        </w:rPr>
      </w:pPr>
      <w:r w:rsidRPr="00895CAB">
        <w:rPr>
          <w:b w:val="0"/>
          <w:bCs w:val="0"/>
          <w:sz w:val="24"/>
          <w:szCs w:val="24"/>
          <w:lang w:val="en-IN"/>
        </w:rPr>
        <w:t>Global Presence: Operations across 18 countries</w:t>
      </w:r>
    </w:p>
    <w:p w14:paraId="35DAC860" w14:textId="77777777" w:rsidR="00895CAB" w:rsidRPr="00895CAB" w:rsidRDefault="00895CAB" w:rsidP="00895CAB">
      <w:pPr>
        <w:pStyle w:val="Heading1"/>
        <w:numPr>
          <w:ilvl w:val="0"/>
          <w:numId w:val="40"/>
        </w:numPr>
        <w:spacing w:before="60"/>
        <w:rPr>
          <w:b w:val="0"/>
          <w:bCs w:val="0"/>
          <w:sz w:val="24"/>
          <w:szCs w:val="24"/>
          <w:lang w:val="en-IN"/>
        </w:rPr>
      </w:pPr>
      <w:r w:rsidRPr="00895CAB">
        <w:rPr>
          <w:b w:val="0"/>
          <w:bCs w:val="0"/>
          <w:sz w:val="24"/>
          <w:szCs w:val="24"/>
          <w:lang w:val="en-IN"/>
        </w:rPr>
        <w:t>Strategic Focus: Digitization, 5G rollout, AI-driven personalization, and rural expansion</w:t>
      </w:r>
    </w:p>
    <w:p w14:paraId="2545E384" w14:textId="08B281D6" w:rsidR="00895CAB" w:rsidRDefault="00895CAB" w:rsidP="00895CAB">
      <w:pPr>
        <w:pStyle w:val="Heading1"/>
        <w:spacing w:before="60"/>
        <w:ind w:left="258"/>
        <w:rPr>
          <w:b w:val="0"/>
          <w:bCs w:val="0"/>
          <w:sz w:val="22"/>
          <w:szCs w:val="22"/>
          <w:lang w:val="en-IN"/>
        </w:rPr>
      </w:pPr>
      <w:r w:rsidRPr="00895CAB">
        <w:rPr>
          <w:b w:val="0"/>
          <w:bCs w:val="0"/>
          <w:sz w:val="24"/>
          <w:szCs w:val="24"/>
          <w:lang w:val="en-IN"/>
        </w:rPr>
        <w:t>Bharti Airtel has evolved from a telecom operato</w:t>
      </w:r>
      <w:r w:rsidRPr="00895CAB">
        <w:rPr>
          <w:b w:val="0"/>
          <w:bCs w:val="0"/>
          <w:sz w:val="22"/>
          <w:szCs w:val="22"/>
          <w:lang w:val="en-IN"/>
        </w:rPr>
        <w:t>r into a digital communications powerhouse</w:t>
      </w:r>
      <w:r>
        <w:rPr>
          <w:b w:val="0"/>
          <w:bCs w:val="0"/>
          <w:sz w:val="22"/>
          <w:szCs w:val="22"/>
          <w:lang w:val="en-IN"/>
        </w:rPr>
        <w:t xml:space="preserve"> </w:t>
      </w:r>
      <w:r w:rsidRPr="00895CAB">
        <w:rPr>
          <w:b w:val="0"/>
          <w:bCs w:val="0"/>
          <w:sz w:val="22"/>
          <w:szCs w:val="22"/>
          <w:lang w:val="en-IN"/>
        </w:rPr>
        <w:t>spanning connectivity, content, commerce, and cloud.</w:t>
      </w:r>
    </w:p>
    <w:p w14:paraId="7E60B0DD" w14:textId="77777777" w:rsidR="00895CAB" w:rsidRPr="00895CAB" w:rsidRDefault="00895CAB" w:rsidP="00895CAB">
      <w:pPr>
        <w:pStyle w:val="Heading1"/>
        <w:spacing w:before="60"/>
        <w:ind w:left="258"/>
        <w:rPr>
          <w:b w:val="0"/>
          <w:bCs w:val="0"/>
          <w:sz w:val="22"/>
          <w:szCs w:val="22"/>
          <w:lang w:val="en-IN"/>
        </w:rPr>
      </w:pPr>
    </w:p>
    <w:p w14:paraId="19822D90" w14:textId="321ABF5C" w:rsidR="00895CAB" w:rsidRPr="00895CAB" w:rsidRDefault="00895CAB" w:rsidP="00895CAB">
      <w:pPr>
        <w:pStyle w:val="Heading1"/>
        <w:spacing w:before="60"/>
        <w:ind w:left="258"/>
        <w:rPr>
          <w:sz w:val="24"/>
          <w:szCs w:val="24"/>
          <w:lang w:val="en-IN"/>
        </w:rPr>
      </w:pPr>
      <w:r w:rsidRPr="00895CAB">
        <w:rPr>
          <w:sz w:val="24"/>
          <w:szCs w:val="24"/>
          <w:lang w:val="en-IN"/>
        </w:rPr>
        <w:t>Conclusion</w:t>
      </w:r>
    </w:p>
    <w:p w14:paraId="0D49A7EF" w14:textId="77777777" w:rsidR="00895CAB" w:rsidRPr="00895CAB" w:rsidRDefault="00895CAB" w:rsidP="00895CAB">
      <w:pPr>
        <w:pStyle w:val="Heading1"/>
        <w:spacing w:before="60"/>
        <w:ind w:left="258"/>
        <w:rPr>
          <w:b w:val="0"/>
          <w:bCs w:val="0"/>
          <w:sz w:val="22"/>
          <w:szCs w:val="22"/>
          <w:lang w:val="en-IN"/>
        </w:rPr>
      </w:pPr>
      <w:r w:rsidRPr="00895CAB">
        <w:rPr>
          <w:b w:val="0"/>
          <w:bCs w:val="0"/>
          <w:sz w:val="22"/>
          <w:szCs w:val="22"/>
          <w:lang w:val="en-IN"/>
        </w:rPr>
        <w:t>Bharti Airtel stands as a compelling long-term investment due to its:</w:t>
      </w:r>
    </w:p>
    <w:p w14:paraId="5DBC3332" w14:textId="77777777" w:rsidR="00895CAB" w:rsidRPr="00895CAB" w:rsidRDefault="00895CAB" w:rsidP="00895CAB">
      <w:pPr>
        <w:pStyle w:val="Heading1"/>
        <w:numPr>
          <w:ilvl w:val="0"/>
          <w:numId w:val="41"/>
        </w:numPr>
        <w:spacing w:before="60"/>
        <w:rPr>
          <w:b w:val="0"/>
          <w:bCs w:val="0"/>
          <w:sz w:val="22"/>
          <w:szCs w:val="22"/>
          <w:lang w:val="en-IN"/>
        </w:rPr>
      </w:pPr>
      <w:r w:rsidRPr="00895CAB">
        <w:rPr>
          <w:b w:val="0"/>
          <w:bCs w:val="0"/>
          <w:sz w:val="22"/>
          <w:szCs w:val="22"/>
          <w:lang w:val="en-IN"/>
        </w:rPr>
        <w:t>Tailwinds from rising data usage, ARPU growth, and 5G monetization</w:t>
      </w:r>
    </w:p>
    <w:p w14:paraId="1804E7EC" w14:textId="77777777" w:rsidR="00895CAB" w:rsidRPr="00895CAB" w:rsidRDefault="00895CAB" w:rsidP="00895CAB">
      <w:pPr>
        <w:pStyle w:val="Heading1"/>
        <w:numPr>
          <w:ilvl w:val="0"/>
          <w:numId w:val="41"/>
        </w:numPr>
        <w:spacing w:before="60"/>
        <w:rPr>
          <w:b w:val="0"/>
          <w:bCs w:val="0"/>
          <w:sz w:val="22"/>
          <w:szCs w:val="22"/>
          <w:lang w:val="en-IN"/>
        </w:rPr>
      </w:pPr>
      <w:r w:rsidRPr="00895CAB">
        <w:rPr>
          <w:b w:val="0"/>
          <w:bCs w:val="0"/>
          <w:sz w:val="22"/>
          <w:szCs w:val="22"/>
          <w:lang w:val="en-IN"/>
        </w:rPr>
        <w:t>Robust financial performance, disciplined capital allocation, and margin expansion</w:t>
      </w:r>
    </w:p>
    <w:p w14:paraId="0F420BA6" w14:textId="77777777" w:rsidR="00895CAB" w:rsidRPr="00895CAB" w:rsidRDefault="00895CAB" w:rsidP="00895CAB">
      <w:pPr>
        <w:pStyle w:val="Heading1"/>
        <w:numPr>
          <w:ilvl w:val="0"/>
          <w:numId w:val="41"/>
        </w:numPr>
        <w:spacing w:before="60"/>
        <w:rPr>
          <w:b w:val="0"/>
          <w:bCs w:val="0"/>
          <w:sz w:val="22"/>
          <w:szCs w:val="22"/>
          <w:lang w:val="en-IN"/>
        </w:rPr>
      </w:pPr>
      <w:r w:rsidRPr="00895CAB">
        <w:rPr>
          <w:b w:val="0"/>
          <w:bCs w:val="0"/>
          <w:sz w:val="22"/>
          <w:szCs w:val="22"/>
          <w:lang w:val="en-IN"/>
        </w:rPr>
        <w:t>Reasonably premium valuation, supported by growth visibility and strong balance sheet</w:t>
      </w:r>
    </w:p>
    <w:p w14:paraId="73C59AA5" w14:textId="77777777" w:rsidR="00895CAB" w:rsidRPr="00895CAB" w:rsidRDefault="00895CAB" w:rsidP="00895CAB">
      <w:pPr>
        <w:pStyle w:val="Heading1"/>
        <w:numPr>
          <w:ilvl w:val="0"/>
          <w:numId w:val="41"/>
        </w:numPr>
        <w:spacing w:before="60"/>
        <w:rPr>
          <w:b w:val="0"/>
          <w:bCs w:val="0"/>
          <w:sz w:val="22"/>
          <w:szCs w:val="22"/>
          <w:lang w:val="en-IN"/>
        </w:rPr>
      </w:pPr>
      <w:r w:rsidRPr="00895CAB">
        <w:rPr>
          <w:b w:val="0"/>
          <w:bCs w:val="0"/>
          <w:sz w:val="22"/>
          <w:szCs w:val="22"/>
          <w:lang w:val="en-IN"/>
        </w:rPr>
        <w:t xml:space="preserve">Technically </w:t>
      </w:r>
      <w:proofErr w:type="spellStart"/>
      <w:r w:rsidRPr="00895CAB">
        <w:rPr>
          <w:b w:val="0"/>
          <w:bCs w:val="0"/>
          <w:sz w:val="22"/>
          <w:szCs w:val="22"/>
          <w:lang w:val="en-IN"/>
        </w:rPr>
        <w:t>favorable</w:t>
      </w:r>
      <w:proofErr w:type="spellEnd"/>
      <w:r w:rsidRPr="00895CAB">
        <w:rPr>
          <w:b w:val="0"/>
          <w:bCs w:val="0"/>
          <w:sz w:val="22"/>
          <w:szCs w:val="22"/>
          <w:lang w:val="en-IN"/>
        </w:rPr>
        <w:t xml:space="preserve"> structure with clear momentum and trend continuation signals</w:t>
      </w:r>
    </w:p>
    <w:p w14:paraId="7ECAA6BF" w14:textId="77777777" w:rsidR="00895CAB" w:rsidRPr="00895CAB" w:rsidRDefault="00895CAB" w:rsidP="00895CAB">
      <w:pPr>
        <w:pStyle w:val="Heading1"/>
        <w:spacing w:before="60"/>
        <w:ind w:left="258"/>
        <w:rPr>
          <w:sz w:val="22"/>
          <w:szCs w:val="22"/>
          <w:lang w:val="en-IN"/>
        </w:rPr>
      </w:pPr>
      <w:r w:rsidRPr="00895CAB">
        <w:rPr>
          <w:b w:val="0"/>
          <w:bCs w:val="0"/>
          <w:sz w:val="22"/>
          <w:szCs w:val="22"/>
          <w:lang w:val="en-IN"/>
        </w:rPr>
        <w:t>With its diversified revenue base, focus on technology and infrastructure, and strategic leadership in India’s near-duopolistic telecom market, Bharti Airtel is a resilient, growth-driven pick for medium to long-term investors</w:t>
      </w:r>
      <w:r w:rsidRPr="00895CAB">
        <w:rPr>
          <w:sz w:val="22"/>
          <w:szCs w:val="22"/>
          <w:lang w:val="en-IN"/>
        </w:rPr>
        <w:t>.</w:t>
      </w:r>
    </w:p>
    <w:p w14:paraId="0DD5B3AA" w14:textId="77777777" w:rsidR="00895CAB" w:rsidRDefault="00895CAB" w:rsidP="00895CAB">
      <w:pPr>
        <w:pStyle w:val="Heading1"/>
        <w:spacing w:before="60"/>
        <w:ind w:left="258"/>
        <w:rPr>
          <w:lang w:val="en-IN"/>
        </w:rPr>
      </w:pPr>
    </w:p>
    <w:p w14:paraId="507EBFE2" w14:textId="77777777" w:rsidR="00895CAB" w:rsidRPr="00895CAB" w:rsidRDefault="00895CAB" w:rsidP="00895CAB">
      <w:pPr>
        <w:pStyle w:val="Heading1"/>
        <w:spacing w:before="60"/>
        <w:ind w:left="258"/>
        <w:rPr>
          <w:lang w:val="en-IN"/>
        </w:rPr>
      </w:pPr>
    </w:p>
    <w:p w14:paraId="5B73A6E7" w14:textId="77777777" w:rsidR="004B3003" w:rsidRDefault="00000000">
      <w:pPr>
        <w:pStyle w:val="Heading1"/>
        <w:spacing w:before="60"/>
        <w:ind w:left="258"/>
      </w:pPr>
      <w:r>
        <w:t>Portfolio</w:t>
      </w:r>
      <w:r>
        <w:rPr>
          <w:spacing w:val="-12"/>
        </w:rPr>
        <w:t xml:space="preserve"> </w:t>
      </w:r>
      <w:r>
        <w:t>Analysis:</w:t>
      </w:r>
      <w:r>
        <w:rPr>
          <w:spacing w:val="-9"/>
        </w:rPr>
        <w:t xml:space="preserve"> </w:t>
      </w:r>
      <w:r>
        <w:t>Equal-Weighted</w:t>
      </w:r>
      <w:r>
        <w:rPr>
          <w:spacing w:val="-10"/>
        </w:rPr>
        <w:t xml:space="preserve"> </w:t>
      </w:r>
      <w:r>
        <w:t>vs.</w:t>
      </w:r>
      <w:r>
        <w:rPr>
          <w:spacing w:val="-9"/>
        </w:rPr>
        <w:t xml:space="preserve"> </w:t>
      </w:r>
      <w:r>
        <w:t>Optimal</w:t>
      </w:r>
      <w:r>
        <w:rPr>
          <w:spacing w:val="-9"/>
        </w:rPr>
        <w:t xml:space="preserve"> </w:t>
      </w:r>
      <w:r>
        <w:rPr>
          <w:spacing w:val="-2"/>
        </w:rPr>
        <w:t>Weights</w:t>
      </w:r>
    </w:p>
    <w:p w14:paraId="7ED6CD19" w14:textId="77777777" w:rsidR="004B3003" w:rsidRDefault="004B3003">
      <w:pPr>
        <w:pStyle w:val="BodyText"/>
        <w:spacing w:before="58"/>
        <w:rPr>
          <w:b/>
          <w:sz w:val="32"/>
        </w:rPr>
      </w:pPr>
    </w:p>
    <w:p w14:paraId="1187287A" w14:textId="77777777" w:rsidR="004B3003" w:rsidRDefault="00000000">
      <w:pPr>
        <w:pStyle w:val="ListParagraph"/>
        <w:numPr>
          <w:ilvl w:val="0"/>
          <w:numId w:val="2"/>
        </w:numPr>
        <w:tabs>
          <w:tab w:val="left" w:pos="324"/>
        </w:tabs>
        <w:ind w:left="324" w:hanging="324"/>
        <w:rPr>
          <w:b/>
          <w:sz w:val="28"/>
        </w:rPr>
      </w:pPr>
      <w:r>
        <w:rPr>
          <w:b/>
          <w:spacing w:val="-2"/>
          <w:sz w:val="28"/>
        </w:rPr>
        <w:t>Stocks</w:t>
      </w:r>
    </w:p>
    <w:p w14:paraId="0928957C" w14:textId="77777777" w:rsidR="004B3003" w:rsidRDefault="004B3003">
      <w:pPr>
        <w:pStyle w:val="BodyText"/>
        <w:spacing w:before="96"/>
        <w:rPr>
          <w:b/>
          <w:sz w:val="28"/>
        </w:rPr>
      </w:pPr>
    </w:p>
    <w:p w14:paraId="74FB5C42" w14:textId="77777777" w:rsidR="004B3003" w:rsidRDefault="00000000">
      <w:pPr>
        <w:rPr>
          <w:b/>
          <w:sz w:val="34"/>
        </w:rPr>
      </w:pPr>
      <w:r>
        <w:rPr>
          <w:b/>
          <w:sz w:val="28"/>
          <w:u w:val="single"/>
        </w:rPr>
        <w:t>The</w:t>
      </w:r>
      <w:r>
        <w:rPr>
          <w:b/>
          <w:spacing w:val="-11"/>
          <w:sz w:val="28"/>
          <w:u w:val="single"/>
        </w:rPr>
        <w:t xml:space="preserve"> </w:t>
      </w:r>
      <w:r>
        <w:rPr>
          <w:b/>
          <w:sz w:val="28"/>
          <w:u w:val="single"/>
        </w:rPr>
        <w:t>Equal-Weighted</w:t>
      </w:r>
      <w:r>
        <w:rPr>
          <w:b/>
          <w:spacing w:val="-11"/>
          <w:sz w:val="28"/>
          <w:u w:val="single"/>
        </w:rPr>
        <w:t xml:space="preserve"> </w:t>
      </w:r>
      <w:r>
        <w:rPr>
          <w:b/>
          <w:spacing w:val="-2"/>
          <w:sz w:val="28"/>
          <w:u w:val="single"/>
        </w:rPr>
        <w:t>Analysis</w:t>
      </w:r>
      <w:r>
        <w:rPr>
          <w:b/>
          <w:spacing w:val="-2"/>
          <w:sz w:val="34"/>
          <w:u w:val="single"/>
        </w:rPr>
        <w:t>:</w:t>
      </w:r>
    </w:p>
    <w:p w14:paraId="6A0F423D" w14:textId="77777777" w:rsidR="004B3003" w:rsidRDefault="00000000">
      <w:pPr>
        <w:spacing w:before="299"/>
        <w:rPr>
          <w:b/>
          <w:sz w:val="28"/>
        </w:rPr>
      </w:pPr>
      <w:r>
        <w:rPr>
          <w:b/>
          <w:spacing w:val="-2"/>
          <w:sz w:val="28"/>
        </w:rPr>
        <w:t>Method:</w:t>
      </w:r>
    </w:p>
    <w:p w14:paraId="7B7E1089" w14:textId="388BEF68" w:rsidR="00090139" w:rsidRPr="00090139" w:rsidRDefault="00090139" w:rsidP="00090139">
      <w:pPr>
        <w:pStyle w:val="BodyText"/>
        <w:spacing w:before="288" w:line="276" w:lineRule="auto"/>
        <w:ind w:right="373"/>
        <w:rPr>
          <w:lang w:val="en-IN"/>
        </w:rPr>
      </w:pPr>
      <w:r w:rsidRPr="00090139">
        <w:rPr>
          <w:lang w:val="en-IN"/>
        </w:rPr>
        <w:t>To construct a well-diversified and balanced investment portfolio, we selected four companies from distinct sectors—</w:t>
      </w:r>
      <w:r w:rsidRPr="00090139">
        <w:rPr>
          <w:b/>
          <w:bCs/>
          <w:lang w:val="en-IN"/>
        </w:rPr>
        <w:t>Apollo Hospitals (Healthcare)</w:t>
      </w:r>
      <w:r w:rsidRPr="00090139">
        <w:rPr>
          <w:lang w:val="en-IN"/>
        </w:rPr>
        <w:t xml:space="preserve">, </w:t>
      </w:r>
      <w:r w:rsidRPr="00090139">
        <w:rPr>
          <w:b/>
          <w:bCs/>
          <w:lang w:val="en-IN"/>
        </w:rPr>
        <w:t>Eicher Motors (Automobiles)</w:t>
      </w:r>
      <w:r w:rsidRPr="00090139">
        <w:rPr>
          <w:lang w:val="en-IN"/>
        </w:rPr>
        <w:t xml:space="preserve">, </w:t>
      </w:r>
      <w:r w:rsidRPr="00090139">
        <w:rPr>
          <w:b/>
          <w:bCs/>
          <w:lang w:val="en-IN"/>
        </w:rPr>
        <w:t>Bharat Electronics Ltd. (</w:t>
      </w:r>
      <w:proofErr w:type="spellStart"/>
      <w:r w:rsidRPr="00090139">
        <w:rPr>
          <w:b/>
          <w:bCs/>
          <w:lang w:val="en-IN"/>
        </w:rPr>
        <w:t>Defense</w:t>
      </w:r>
      <w:proofErr w:type="spellEnd"/>
      <w:r w:rsidRPr="00090139">
        <w:rPr>
          <w:b/>
          <w:bCs/>
          <w:lang w:val="en-IN"/>
        </w:rPr>
        <w:t>/Technology)</w:t>
      </w:r>
      <w:r w:rsidRPr="00090139">
        <w:rPr>
          <w:lang w:val="en-IN"/>
        </w:rPr>
        <w:t xml:space="preserve">, and </w:t>
      </w:r>
      <w:r w:rsidRPr="00090139">
        <w:rPr>
          <w:b/>
          <w:bCs/>
          <w:lang w:val="en-IN"/>
        </w:rPr>
        <w:t>Bharti Airtel (Telecom)</w:t>
      </w:r>
      <w:r w:rsidRPr="00090139">
        <w:rPr>
          <w:lang w:val="en-IN"/>
        </w:rPr>
        <w:t xml:space="preserve">. This cross-sector allocation helps reduce </w:t>
      </w:r>
      <w:r w:rsidRPr="00090139">
        <w:rPr>
          <w:b/>
          <w:bCs/>
          <w:lang w:val="en-IN"/>
        </w:rPr>
        <w:t>unsystematic (company or industry-specific) risk</w:t>
      </w:r>
      <w:r w:rsidRPr="00090139">
        <w:rPr>
          <w:lang w:val="en-IN"/>
        </w:rPr>
        <w:t xml:space="preserve"> by ensuring that portfolio performance isn't overly reliant on any single sector.</w:t>
      </w:r>
      <w:r w:rsidRPr="00090139">
        <w:rPr>
          <w:rFonts w:ascii="Times New Roman" w:eastAsia="Times New Roman" w:hAnsi="Symbol" w:cs="Times New Roman"/>
          <w:sz w:val="24"/>
          <w:szCs w:val="24"/>
          <w:lang w:val="en-IN" w:eastAsia="en-IN"/>
        </w:rPr>
        <w:t xml:space="preserve"> </w:t>
      </w:r>
      <w:r w:rsidRPr="00090139">
        <w:rPr>
          <w:lang w:val="en-IN"/>
        </w:rPr>
        <w:t xml:space="preserve">We collected </w:t>
      </w:r>
      <w:r w:rsidRPr="00090139">
        <w:rPr>
          <w:b/>
          <w:bCs/>
          <w:lang w:val="en-IN"/>
        </w:rPr>
        <w:t>daily historical price data</w:t>
      </w:r>
      <w:r w:rsidRPr="00090139">
        <w:rPr>
          <w:lang w:val="en-IN"/>
        </w:rPr>
        <w:t xml:space="preserve"> for each stock over a one-year period: </w:t>
      </w:r>
      <w:r w:rsidRPr="00090139">
        <w:rPr>
          <w:b/>
          <w:bCs/>
          <w:lang w:val="en-IN"/>
        </w:rPr>
        <w:t>April 1, 2024 to March 31, 2025</w:t>
      </w:r>
      <w:r w:rsidRPr="00090139">
        <w:rPr>
          <w:lang w:val="en-IN"/>
        </w:rPr>
        <w:t>.</w:t>
      </w:r>
    </w:p>
    <w:p w14:paraId="2E4D64DC" w14:textId="670C401D" w:rsidR="00090139" w:rsidRPr="00090139" w:rsidRDefault="00090139" w:rsidP="00090139">
      <w:pPr>
        <w:pStyle w:val="BodyText"/>
        <w:spacing w:before="288" w:line="276" w:lineRule="auto"/>
        <w:ind w:right="373"/>
        <w:rPr>
          <w:lang w:val="en-IN"/>
        </w:rPr>
      </w:pPr>
      <w:r w:rsidRPr="00090139">
        <w:rPr>
          <w:b/>
          <w:bCs/>
          <w:lang w:val="en-IN"/>
        </w:rPr>
        <w:t>Daily returns</w:t>
      </w:r>
      <w:r w:rsidRPr="00090139">
        <w:rPr>
          <w:lang w:val="en-IN"/>
        </w:rPr>
        <w:t xml:space="preserve"> were computed for each stock, followed by the calculation of their </w:t>
      </w:r>
      <w:r w:rsidRPr="00090139">
        <w:rPr>
          <w:b/>
          <w:bCs/>
          <w:lang w:val="en-IN"/>
        </w:rPr>
        <w:t>average daily and annualized returns</w:t>
      </w:r>
      <w:r w:rsidRPr="00090139">
        <w:rPr>
          <w:lang w:val="en-IN"/>
        </w:rPr>
        <w:t>.</w:t>
      </w:r>
    </w:p>
    <w:p w14:paraId="6A2326F5" w14:textId="34B27B5F" w:rsidR="00090139" w:rsidRPr="00090139" w:rsidRDefault="00090139" w:rsidP="00090139">
      <w:pPr>
        <w:pStyle w:val="BodyText"/>
        <w:spacing w:before="288" w:line="276" w:lineRule="auto"/>
        <w:ind w:right="373"/>
        <w:rPr>
          <w:lang w:val="en-IN"/>
        </w:rPr>
      </w:pPr>
      <w:r w:rsidRPr="00090139">
        <w:rPr>
          <w:lang w:val="en-IN"/>
        </w:rPr>
        <w:t xml:space="preserve"> Under an </w:t>
      </w:r>
      <w:r w:rsidRPr="00090139">
        <w:rPr>
          <w:b/>
          <w:bCs/>
          <w:lang w:val="en-IN"/>
        </w:rPr>
        <w:t>equal-weight strategy</w:t>
      </w:r>
      <w:r w:rsidRPr="00090139">
        <w:rPr>
          <w:lang w:val="en-IN"/>
        </w:rPr>
        <w:t xml:space="preserve">, each stock was assigned a </w:t>
      </w:r>
      <w:r w:rsidRPr="00090139">
        <w:rPr>
          <w:b/>
          <w:bCs/>
          <w:lang w:val="en-IN"/>
        </w:rPr>
        <w:t>weight of 0.25</w:t>
      </w:r>
      <w:r w:rsidRPr="00090139">
        <w:rPr>
          <w:lang w:val="en-IN"/>
        </w:rPr>
        <w:t xml:space="preserve"> in the portfolio.</w:t>
      </w:r>
    </w:p>
    <w:p w14:paraId="6BDC6EDC" w14:textId="77777777" w:rsidR="00090139" w:rsidRDefault="00090139" w:rsidP="00090139">
      <w:pPr>
        <w:pStyle w:val="BodyText"/>
        <w:spacing w:before="288" w:line="276" w:lineRule="auto"/>
        <w:ind w:right="373"/>
        <w:rPr>
          <w:lang w:val="en-IN"/>
        </w:rPr>
      </w:pPr>
      <w:r w:rsidRPr="00090139">
        <w:rPr>
          <w:lang w:val="en-IN"/>
        </w:rPr>
        <w:t xml:space="preserve">The </w:t>
      </w:r>
      <w:r w:rsidRPr="00090139">
        <w:rPr>
          <w:b/>
          <w:bCs/>
          <w:lang w:val="en-IN"/>
        </w:rPr>
        <w:t>expected portfolio return</w:t>
      </w:r>
      <w:r w:rsidRPr="00090139">
        <w:rPr>
          <w:lang w:val="en-IN"/>
        </w:rPr>
        <w:t xml:space="preserve"> was calculated as the weighted sum of the annualized returns.</w:t>
      </w:r>
    </w:p>
    <w:p w14:paraId="7E31C83A" w14:textId="536BDBCF" w:rsidR="00090139" w:rsidRPr="00090139" w:rsidRDefault="00090139" w:rsidP="00090139">
      <w:pPr>
        <w:pStyle w:val="BodyText"/>
        <w:spacing w:before="288" w:line="276" w:lineRule="auto"/>
        <w:ind w:right="373"/>
        <w:rPr>
          <w:lang w:val="en-IN"/>
        </w:rPr>
      </w:pPr>
      <w:r w:rsidRPr="00090139">
        <w:rPr>
          <w:lang w:val="en-IN"/>
        </w:rPr>
        <w:t xml:space="preserve"> To assess portfolio risk, a </w:t>
      </w:r>
      <w:r w:rsidRPr="00090139">
        <w:rPr>
          <w:b/>
          <w:bCs/>
          <w:lang w:val="en-IN"/>
        </w:rPr>
        <w:t>covariance matrix</w:t>
      </w:r>
      <w:r w:rsidRPr="00090139">
        <w:rPr>
          <w:lang w:val="en-IN"/>
        </w:rPr>
        <w:t xml:space="preserve"> of the daily returns was constructed, capturing how the returns of different stocks move relative to one another.</w:t>
      </w:r>
    </w:p>
    <w:p w14:paraId="56DB53A7" w14:textId="4BA0E199" w:rsidR="00090139" w:rsidRPr="00090139" w:rsidRDefault="00090139" w:rsidP="00090139">
      <w:pPr>
        <w:pStyle w:val="BodyText"/>
        <w:spacing w:before="288" w:line="276" w:lineRule="auto"/>
        <w:ind w:right="373"/>
        <w:rPr>
          <w:lang w:val="en-IN"/>
        </w:rPr>
      </w:pPr>
      <w:r w:rsidRPr="00090139">
        <w:rPr>
          <w:lang w:val="en-IN"/>
        </w:rPr>
        <w:t xml:space="preserve"> Using this, we calculated the </w:t>
      </w:r>
      <w:r w:rsidRPr="00090139">
        <w:rPr>
          <w:b/>
          <w:bCs/>
          <w:lang w:val="en-IN"/>
        </w:rPr>
        <w:t>portfolio variance</w:t>
      </w:r>
      <w:r w:rsidRPr="00090139">
        <w:rPr>
          <w:lang w:val="en-IN"/>
        </w:rPr>
        <w:t xml:space="preserve"> and the </w:t>
      </w:r>
      <w:r w:rsidRPr="00090139">
        <w:rPr>
          <w:b/>
          <w:bCs/>
          <w:lang w:val="en-IN"/>
        </w:rPr>
        <w:t xml:space="preserve">annualized standard deviation </w:t>
      </w:r>
      <w:r w:rsidRPr="00090139">
        <w:rPr>
          <w:b/>
          <w:bCs/>
          <w:lang w:val="en-IN"/>
        </w:rPr>
        <w:lastRenderedPageBreak/>
        <w:t>(risk)</w:t>
      </w:r>
      <w:r w:rsidRPr="00090139">
        <w:rPr>
          <w:lang w:val="en-IN"/>
        </w:rPr>
        <w:t>.</w:t>
      </w:r>
    </w:p>
    <w:p w14:paraId="37250DCD" w14:textId="112CD4E3" w:rsidR="00090139" w:rsidRPr="00090139" w:rsidRDefault="00090139" w:rsidP="00090139">
      <w:pPr>
        <w:pStyle w:val="BodyText"/>
        <w:spacing w:before="288" w:line="276" w:lineRule="auto"/>
        <w:ind w:right="373"/>
        <w:rPr>
          <w:lang w:val="en-IN"/>
        </w:rPr>
      </w:pPr>
      <w:r w:rsidRPr="00090139">
        <w:rPr>
          <w:lang w:val="en-IN"/>
        </w:rPr>
        <w:t xml:space="preserve">Finally, with a </w:t>
      </w:r>
      <w:r w:rsidRPr="00090139">
        <w:rPr>
          <w:b/>
          <w:bCs/>
          <w:lang w:val="en-IN"/>
        </w:rPr>
        <w:t>risk-free rate of 7% (0.07)</w:t>
      </w:r>
      <w:r w:rsidRPr="00090139">
        <w:rPr>
          <w:lang w:val="en-IN"/>
        </w:rPr>
        <w:t xml:space="preserve">, we computed the </w:t>
      </w:r>
      <w:r w:rsidRPr="00090139">
        <w:rPr>
          <w:b/>
          <w:bCs/>
          <w:lang w:val="en-IN"/>
        </w:rPr>
        <w:t>Sharpe Ratio</w:t>
      </w:r>
      <w:r w:rsidRPr="00090139">
        <w:rPr>
          <w:lang w:val="en-IN"/>
        </w:rPr>
        <w:t xml:space="preserve">, a key measure of </w:t>
      </w:r>
      <w:r w:rsidRPr="00090139">
        <w:rPr>
          <w:b/>
          <w:bCs/>
          <w:lang w:val="en-IN"/>
        </w:rPr>
        <w:t>risk-adjusted return</w:t>
      </w:r>
      <w:r w:rsidRPr="00090139">
        <w:rPr>
          <w:lang w:val="en-IN"/>
        </w:rPr>
        <w:t>, indicating the excess return earned per unit of risk taken.</w:t>
      </w:r>
    </w:p>
    <w:p w14:paraId="17067C2F" w14:textId="238F4D09" w:rsidR="00090139" w:rsidRPr="00090139" w:rsidRDefault="00090139" w:rsidP="00090139">
      <w:pPr>
        <w:pStyle w:val="BodyText"/>
        <w:spacing w:before="288" w:line="276" w:lineRule="auto"/>
        <w:ind w:right="373"/>
        <w:rPr>
          <w:lang w:val="en-IN"/>
        </w:rPr>
      </w:pPr>
    </w:p>
    <w:p w14:paraId="666D1E83" w14:textId="506392E0" w:rsidR="004B3003" w:rsidRDefault="00000000">
      <w:pPr>
        <w:pStyle w:val="BodyText"/>
        <w:spacing w:before="288" w:line="276" w:lineRule="auto"/>
        <w:ind w:right="373"/>
      </w:pPr>
      <w:r>
        <w:t>.</w:t>
      </w:r>
    </w:p>
    <w:p w14:paraId="03386734" w14:textId="77777777" w:rsidR="004B3003" w:rsidRDefault="004B3003">
      <w:pPr>
        <w:pStyle w:val="BodyText"/>
        <w:spacing w:before="5"/>
        <w:rPr>
          <w:sz w:val="19"/>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4B3003" w14:paraId="27225B37" w14:textId="77777777">
        <w:trPr>
          <w:trHeight w:val="719"/>
        </w:trPr>
        <w:tc>
          <w:tcPr>
            <w:tcW w:w="3120" w:type="dxa"/>
          </w:tcPr>
          <w:p w14:paraId="25DBE0AD" w14:textId="77777777" w:rsidR="004B3003" w:rsidRDefault="00000000">
            <w:pPr>
              <w:pStyle w:val="TableParagraph"/>
              <w:spacing w:before="116"/>
              <w:ind w:left="95" w:right="65"/>
              <w:rPr>
                <w:b/>
              </w:rPr>
            </w:pPr>
            <w:r>
              <w:rPr>
                <w:b/>
                <w:spacing w:val="-2"/>
              </w:rPr>
              <w:t>Calculated</w:t>
            </w:r>
          </w:p>
        </w:tc>
        <w:tc>
          <w:tcPr>
            <w:tcW w:w="3120" w:type="dxa"/>
          </w:tcPr>
          <w:p w14:paraId="7F471BD2" w14:textId="77777777" w:rsidR="004B3003" w:rsidRDefault="00000000">
            <w:pPr>
              <w:pStyle w:val="TableParagraph"/>
              <w:spacing w:before="116"/>
              <w:ind w:left="612" w:right="0" w:hanging="245"/>
              <w:jc w:val="left"/>
              <w:rPr>
                <w:b/>
              </w:rPr>
            </w:pPr>
            <w:r>
              <w:rPr>
                <w:b/>
              </w:rPr>
              <w:t>Observations</w:t>
            </w:r>
            <w:r>
              <w:rPr>
                <w:b/>
                <w:spacing w:val="-16"/>
              </w:rPr>
              <w:t xml:space="preserve"> </w:t>
            </w:r>
            <w:r>
              <w:rPr>
                <w:b/>
              </w:rPr>
              <w:t>for</w:t>
            </w:r>
            <w:r>
              <w:rPr>
                <w:b/>
                <w:spacing w:val="-15"/>
              </w:rPr>
              <w:t xml:space="preserve"> </w:t>
            </w:r>
            <w:r>
              <w:rPr>
                <w:b/>
              </w:rPr>
              <w:t>equal weighted portfolio</w:t>
            </w:r>
          </w:p>
        </w:tc>
        <w:tc>
          <w:tcPr>
            <w:tcW w:w="3120" w:type="dxa"/>
          </w:tcPr>
          <w:p w14:paraId="6603495D" w14:textId="77777777" w:rsidR="004B3003" w:rsidRDefault="00000000">
            <w:pPr>
              <w:pStyle w:val="TableParagraph"/>
              <w:spacing w:before="116"/>
              <w:ind w:left="111" w:right="0" w:firstLine="574"/>
              <w:jc w:val="left"/>
              <w:rPr>
                <w:b/>
              </w:rPr>
            </w:pPr>
            <w:r>
              <w:rPr>
                <w:b/>
              </w:rPr>
              <w:t xml:space="preserve">Observations for </w:t>
            </w:r>
            <w:proofErr w:type="spellStart"/>
            <w:r>
              <w:rPr>
                <w:b/>
              </w:rPr>
              <w:t>Backtesting</w:t>
            </w:r>
            <w:proofErr w:type="spellEnd"/>
            <w:r>
              <w:rPr>
                <w:b/>
                <w:spacing w:val="-16"/>
              </w:rPr>
              <w:t xml:space="preserve"> </w:t>
            </w:r>
            <w:r>
              <w:rPr>
                <w:b/>
              </w:rPr>
              <w:t>(equal</w:t>
            </w:r>
            <w:r>
              <w:rPr>
                <w:b/>
                <w:spacing w:val="-15"/>
              </w:rPr>
              <w:t xml:space="preserve"> </w:t>
            </w:r>
            <w:r>
              <w:rPr>
                <w:b/>
              </w:rPr>
              <w:t>weights)</w:t>
            </w:r>
          </w:p>
        </w:tc>
      </w:tr>
      <w:tr w:rsidR="004B3003" w14:paraId="5E89152F" w14:textId="77777777">
        <w:trPr>
          <w:trHeight w:val="460"/>
        </w:trPr>
        <w:tc>
          <w:tcPr>
            <w:tcW w:w="3120" w:type="dxa"/>
          </w:tcPr>
          <w:p w14:paraId="6C120C11" w14:textId="77777777" w:rsidR="004B3003" w:rsidRDefault="00000000">
            <w:pPr>
              <w:pStyle w:val="TableParagraph"/>
              <w:spacing w:before="107"/>
              <w:ind w:left="95" w:right="65"/>
            </w:pPr>
            <w:r>
              <w:t>Portfolio</w:t>
            </w:r>
            <w:r>
              <w:rPr>
                <w:spacing w:val="-9"/>
              </w:rPr>
              <w:t xml:space="preserve"> </w:t>
            </w:r>
            <w:r>
              <w:rPr>
                <w:spacing w:val="-2"/>
              </w:rPr>
              <w:t>Return</w:t>
            </w:r>
          </w:p>
        </w:tc>
        <w:tc>
          <w:tcPr>
            <w:tcW w:w="3120" w:type="dxa"/>
          </w:tcPr>
          <w:p w14:paraId="0B65E622" w14:textId="7BA550E9" w:rsidR="004B3003" w:rsidRDefault="00090139">
            <w:pPr>
              <w:pStyle w:val="TableParagraph"/>
              <w:spacing w:before="107"/>
              <w:ind w:left="95" w:right="65"/>
            </w:pPr>
            <w:r w:rsidRPr="00090139">
              <w:rPr>
                <w:spacing w:val="-2"/>
              </w:rPr>
              <w:t>0.2133311172</w:t>
            </w:r>
          </w:p>
        </w:tc>
        <w:tc>
          <w:tcPr>
            <w:tcW w:w="3120" w:type="dxa"/>
          </w:tcPr>
          <w:p w14:paraId="5F3A66DD" w14:textId="47490781" w:rsidR="004B3003" w:rsidRDefault="00090139">
            <w:pPr>
              <w:pStyle w:val="TableParagraph"/>
              <w:spacing w:before="107"/>
              <w:ind w:left="95" w:right="65"/>
            </w:pPr>
            <w:r w:rsidRPr="00090139">
              <w:rPr>
                <w:spacing w:val="-2"/>
              </w:rPr>
              <w:t>-0.02378944283</w:t>
            </w:r>
          </w:p>
        </w:tc>
      </w:tr>
      <w:tr w:rsidR="004B3003" w14:paraId="77F247FD" w14:textId="77777777">
        <w:trPr>
          <w:trHeight w:val="460"/>
        </w:trPr>
        <w:tc>
          <w:tcPr>
            <w:tcW w:w="3120" w:type="dxa"/>
          </w:tcPr>
          <w:p w14:paraId="4BFE914D" w14:textId="77777777" w:rsidR="004B3003" w:rsidRDefault="00000000">
            <w:pPr>
              <w:pStyle w:val="TableParagraph"/>
              <w:spacing w:before="105"/>
              <w:ind w:left="95" w:right="65"/>
            </w:pPr>
            <w:r>
              <w:t>Portfolio</w:t>
            </w:r>
            <w:r>
              <w:rPr>
                <w:spacing w:val="-9"/>
              </w:rPr>
              <w:t xml:space="preserve"> </w:t>
            </w:r>
            <w:r>
              <w:rPr>
                <w:spacing w:val="-2"/>
              </w:rPr>
              <w:t>Variance</w:t>
            </w:r>
          </w:p>
        </w:tc>
        <w:tc>
          <w:tcPr>
            <w:tcW w:w="3120" w:type="dxa"/>
          </w:tcPr>
          <w:p w14:paraId="00192007" w14:textId="0FFBCB56" w:rsidR="004B3003" w:rsidRDefault="00090139">
            <w:pPr>
              <w:pStyle w:val="TableParagraph"/>
              <w:spacing w:before="105"/>
              <w:ind w:left="95" w:right="65"/>
            </w:pPr>
            <w:r w:rsidRPr="00090139">
              <w:rPr>
                <w:rFonts w:ascii="Inconsolata" w:hAnsi="Inconsolata"/>
                <w:color w:val="3266D5"/>
                <w:sz w:val="20"/>
                <w:szCs w:val="20"/>
                <w:shd w:val="clear" w:color="auto" w:fill="FFFFFF"/>
              </w:rPr>
              <w:t xml:space="preserve"> </w:t>
            </w:r>
            <w:r w:rsidRPr="00090139">
              <w:rPr>
                <w:spacing w:val="-2"/>
              </w:rPr>
              <w:t>0.0001030776659</w:t>
            </w:r>
          </w:p>
        </w:tc>
        <w:tc>
          <w:tcPr>
            <w:tcW w:w="3120" w:type="dxa"/>
          </w:tcPr>
          <w:p w14:paraId="5EEE52FB" w14:textId="5954A85A" w:rsidR="004B3003" w:rsidRPr="00090139" w:rsidRDefault="00090139" w:rsidP="00090139">
            <w:pPr>
              <w:pStyle w:val="TableParagraph"/>
              <w:spacing w:before="105"/>
              <w:ind w:left="95" w:right="65"/>
              <w:rPr>
                <w:spacing w:val="-2"/>
                <w:lang w:val="en-IN"/>
              </w:rPr>
            </w:pPr>
            <w:r w:rsidRPr="00090139">
              <w:rPr>
                <w:spacing w:val="-2"/>
              </w:rPr>
              <w:t>0.00008040279944</w:t>
            </w:r>
          </w:p>
        </w:tc>
      </w:tr>
      <w:tr w:rsidR="004B3003" w14:paraId="67FA7AB4" w14:textId="77777777">
        <w:trPr>
          <w:trHeight w:val="460"/>
        </w:trPr>
        <w:tc>
          <w:tcPr>
            <w:tcW w:w="3120" w:type="dxa"/>
          </w:tcPr>
          <w:p w14:paraId="24C0B677" w14:textId="77777777" w:rsidR="004B3003" w:rsidRDefault="00000000">
            <w:pPr>
              <w:pStyle w:val="TableParagraph"/>
              <w:spacing w:before="103"/>
              <w:ind w:left="95" w:right="65"/>
            </w:pPr>
            <w:r>
              <w:t>Portfolio</w:t>
            </w:r>
            <w:r>
              <w:rPr>
                <w:spacing w:val="-9"/>
              </w:rPr>
              <w:t xml:space="preserve"> </w:t>
            </w:r>
            <w:r>
              <w:rPr>
                <w:spacing w:val="-4"/>
              </w:rPr>
              <w:t>Risk</w:t>
            </w:r>
          </w:p>
        </w:tc>
        <w:tc>
          <w:tcPr>
            <w:tcW w:w="3120" w:type="dxa"/>
          </w:tcPr>
          <w:p w14:paraId="1024A8F5" w14:textId="5BD12451" w:rsidR="004B3003" w:rsidRDefault="00000000">
            <w:pPr>
              <w:pStyle w:val="TableParagraph"/>
              <w:spacing w:before="103"/>
              <w:ind w:left="95" w:right="65"/>
            </w:pPr>
            <w:r>
              <w:rPr>
                <w:spacing w:val="-2"/>
              </w:rPr>
              <w:t>0.0</w:t>
            </w:r>
            <w:r w:rsidR="00090139">
              <w:rPr>
                <w:spacing w:val="-2"/>
              </w:rPr>
              <w:t>105271717</w:t>
            </w:r>
          </w:p>
        </w:tc>
        <w:tc>
          <w:tcPr>
            <w:tcW w:w="3120" w:type="dxa"/>
          </w:tcPr>
          <w:p w14:paraId="69727B8B" w14:textId="5C870545" w:rsidR="004B3003" w:rsidRDefault="00090139">
            <w:pPr>
              <w:pStyle w:val="TableParagraph"/>
              <w:spacing w:before="103"/>
              <w:ind w:left="95" w:right="65"/>
            </w:pPr>
            <w:r w:rsidRPr="00090139">
              <w:rPr>
                <w:spacing w:val="-2"/>
              </w:rPr>
              <w:t>0.008966760811</w:t>
            </w:r>
          </w:p>
        </w:tc>
      </w:tr>
      <w:tr w:rsidR="004B3003" w14:paraId="4B51E48E" w14:textId="77777777">
        <w:trPr>
          <w:trHeight w:val="439"/>
        </w:trPr>
        <w:tc>
          <w:tcPr>
            <w:tcW w:w="3120" w:type="dxa"/>
          </w:tcPr>
          <w:p w14:paraId="0F424B39" w14:textId="77777777" w:rsidR="004B3003" w:rsidRDefault="00000000">
            <w:pPr>
              <w:pStyle w:val="TableParagraph"/>
              <w:spacing w:before="101"/>
              <w:ind w:left="95" w:right="65"/>
            </w:pPr>
            <w:r>
              <w:t>Annualized</w:t>
            </w:r>
            <w:r>
              <w:rPr>
                <w:spacing w:val="-10"/>
              </w:rPr>
              <w:t xml:space="preserve"> </w:t>
            </w:r>
            <w:r>
              <w:t>Portfolio</w:t>
            </w:r>
            <w:r>
              <w:rPr>
                <w:spacing w:val="-9"/>
              </w:rPr>
              <w:t xml:space="preserve"> </w:t>
            </w:r>
            <w:r>
              <w:rPr>
                <w:spacing w:val="-4"/>
              </w:rPr>
              <w:t>Risk</w:t>
            </w:r>
          </w:p>
        </w:tc>
        <w:tc>
          <w:tcPr>
            <w:tcW w:w="3120" w:type="dxa"/>
          </w:tcPr>
          <w:p w14:paraId="7D4C7889" w14:textId="4A0F1AA7" w:rsidR="004B3003" w:rsidRDefault="00090139">
            <w:pPr>
              <w:pStyle w:val="TableParagraph"/>
              <w:spacing w:before="101"/>
              <w:ind w:left="95" w:right="65"/>
            </w:pPr>
            <w:r w:rsidRPr="00090139">
              <w:t>0.1611693886</w:t>
            </w:r>
          </w:p>
        </w:tc>
        <w:tc>
          <w:tcPr>
            <w:tcW w:w="3120" w:type="dxa"/>
          </w:tcPr>
          <w:p w14:paraId="79B90DC3" w14:textId="495D5920" w:rsidR="004B3003" w:rsidRDefault="00090139">
            <w:pPr>
              <w:pStyle w:val="TableParagraph"/>
              <w:spacing w:before="101"/>
              <w:ind w:left="95" w:right="65"/>
            </w:pPr>
            <w:r w:rsidRPr="00090139">
              <w:rPr>
                <w:spacing w:val="-2"/>
              </w:rPr>
              <w:t>0.142342915</w:t>
            </w:r>
          </w:p>
        </w:tc>
      </w:tr>
      <w:tr w:rsidR="004B3003" w14:paraId="3FB23876" w14:textId="77777777">
        <w:trPr>
          <w:trHeight w:val="460"/>
        </w:trPr>
        <w:tc>
          <w:tcPr>
            <w:tcW w:w="3120" w:type="dxa"/>
          </w:tcPr>
          <w:p w14:paraId="1FB9F906" w14:textId="77777777" w:rsidR="004B3003" w:rsidRDefault="00000000">
            <w:pPr>
              <w:pStyle w:val="TableParagraph"/>
              <w:spacing w:before="119"/>
              <w:ind w:left="95" w:right="65"/>
            </w:pPr>
            <w:r>
              <w:t>Sharpe</w:t>
            </w:r>
            <w:r>
              <w:rPr>
                <w:spacing w:val="-8"/>
              </w:rPr>
              <w:t xml:space="preserve"> </w:t>
            </w:r>
            <w:r>
              <w:rPr>
                <w:spacing w:val="-2"/>
              </w:rPr>
              <w:t>Ratio</w:t>
            </w:r>
          </w:p>
        </w:tc>
        <w:tc>
          <w:tcPr>
            <w:tcW w:w="3120" w:type="dxa"/>
          </w:tcPr>
          <w:p w14:paraId="3C932210" w14:textId="67972718" w:rsidR="004B3003" w:rsidRDefault="00090139">
            <w:pPr>
              <w:pStyle w:val="TableParagraph"/>
              <w:spacing w:before="119"/>
              <w:ind w:left="95" w:right="65"/>
            </w:pPr>
            <w:r w:rsidRPr="00090139">
              <w:rPr>
                <w:spacing w:val="-2"/>
              </w:rPr>
              <w:t>0.8893197303</w:t>
            </w:r>
          </w:p>
        </w:tc>
        <w:tc>
          <w:tcPr>
            <w:tcW w:w="3120" w:type="dxa"/>
          </w:tcPr>
          <w:p w14:paraId="738E9334" w14:textId="77777777" w:rsidR="004B3003" w:rsidRDefault="00000000">
            <w:pPr>
              <w:pStyle w:val="TableParagraph"/>
              <w:spacing w:before="119"/>
              <w:ind w:left="95" w:right="65"/>
            </w:pPr>
            <w:r>
              <w:rPr>
                <w:spacing w:val="-2"/>
              </w:rPr>
              <w:t>17.51577874</w:t>
            </w:r>
          </w:p>
        </w:tc>
      </w:tr>
    </w:tbl>
    <w:p w14:paraId="332CE966" w14:textId="77777777" w:rsidR="004B3003" w:rsidRDefault="00000000">
      <w:pPr>
        <w:pStyle w:val="Heading2"/>
        <w:spacing w:before="209"/>
        <w:rPr>
          <w:u w:val="none"/>
        </w:rPr>
      </w:pPr>
      <w:r>
        <w:rPr>
          <w:u w:val="none"/>
        </w:rPr>
        <w:t>Performance</w:t>
      </w:r>
      <w:r>
        <w:rPr>
          <w:spacing w:val="-13"/>
          <w:u w:val="none"/>
        </w:rPr>
        <w:t xml:space="preserve"> </w:t>
      </w:r>
      <w:r>
        <w:rPr>
          <w:u w:val="none"/>
        </w:rPr>
        <w:t>Summary:</w:t>
      </w:r>
      <w:r>
        <w:rPr>
          <w:spacing w:val="-13"/>
          <w:u w:val="none"/>
        </w:rPr>
        <w:t xml:space="preserve"> </w:t>
      </w:r>
      <w:r>
        <w:rPr>
          <w:u w:val="none"/>
        </w:rPr>
        <w:t>Equal-Weighted</w:t>
      </w:r>
      <w:r>
        <w:rPr>
          <w:spacing w:val="-12"/>
          <w:u w:val="none"/>
        </w:rPr>
        <w:t xml:space="preserve"> </w:t>
      </w:r>
      <w:r>
        <w:rPr>
          <w:spacing w:val="-2"/>
          <w:u w:val="none"/>
        </w:rPr>
        <w:t>Portfolio:</w:t>
      </w:r>
    </w:p>
    <w:p w14:paraId="72E411D8" w14:textId="77777777" w:rsidR="00090139" w:rsidRPr="00090139" w:rsidRDefault="00090139" w:rsidP="00090139">
      <w:pPr>
        <w:pStyle w:val="BodyText"/>
        <w:numPr>
          <w:ilvl w:val="0"/>
          <w:numId w:val="42"/>
        </w:numPr>
        <w:spacing w:before="240" w:line="276" w:lineRule="auto"/>
        <w:ind w:right="418"/>
        <w:rPr>
          <w:lang w:val="en-IN"/>
        </w:rPr>
      </w:pPr>
      <w:r w:rsidRPr="00090139">
        <w:rPr>
          <w:lang w:val="en-IN"/>
        </w:rPr>
        <w:t xml:space="preserve">The portfolio delivered a </w:t>
      </w:r>
      <w:r w:rsidRPr="00090139">
        <w:rPr>
          <w:b/>
          <w:bCs/>
          <w:lang w:val="en-IN"/>
        </w:rPr>
        <w:t>positive return of ~21.33%</w:t>
      </w:r>
      <w:r w:rsidRPr="00090139">
        <w:rPr>
          <w:lang w:val="en-IN"/>
        </w:rPr>
        <w:t>, indicating that the chosen assets performed strongly over the selected one-year period.</w:t>
      </w:r>
    </w:p>
    <w:p w14:paraId="328D7591" w14:textId="77777777" w:rsidR="00090139" w:rsidRPr="00090139" w:rsidRDefault="00090139" w:rsidP="00090139">
      <w:pPr>
        <w:pStyle w:val="BodyText"/>
        <w:numPr>
          <w:ilvl w:val="0"/>
          <w:numId w:val="42"/>
        </w:numPr>
        <w:spacing w:before="240" w:line="276" w:lineRule="auto"/>
        <w:ind w:right="418"/>
        <w:rPr>
          <w:lang w:val="en-IN"/>
        </w:rPr>
      </w:pPr>
      <w:r w:rsidRPr="00090139">
        <w:rPr>
          <w:lang w:val="en-IN"/>
        </w:rPr>
        <w:t xml:space="preserve">The </w:t>
      </w:r>
      <w:r w:rsidRPr="00090139">
        <w:rPr>
          <w:b/>
          <w:bCs/>
          <w:lang w:val="en-IN"/>
        </w:rPr>
        <w:t>portfolio variance</w:t>
      </w:r>
      <w:r w:rsidRPr="00090139">
        <w:rPr>
          <w:lang w:val="en-IN"/>
        </w:rPr>
        <w:t xml:space="preserve"> was </w:t>
      </w:r>
      <w:r w:rsidRPr="00090139">
        <w:rPr>
          <w:b/>
          <w:bCs/>
          <w:lang w:val="en-IN"/>
        </w:rPr>
        <w:t>0.0001031</w:t>
      </w:r>
      <w:r w:rsidRPr="00090139">
        <w:rPr>
          <w:lang w:val="en-IN"/>
        </w:rPr>
        <w:t>, reflecting relatively low volatility across the combined assets. This suggests a reasonably stable return profile, though some fluctuations are naturally present.</w:t>
      </w:r>
    </w:p>
    <w:p w14:paraId="77E41D4E" w14:textId="77777777" w:rsidR="00090139" w:rsidRPr="00090139" w:rsidRDefault="00090139" w:rsidP="00090139">
      <w:pPr>
        <w:pStyle w:val="BodyText"/>
        <w:numPr>
          <w:ilvl w:val="0"/>
          <w:numId w:val="42"/>
        </w:numPr>
        <w:spacing w:before="240" w:line="276" w:lineRule="auto"/>
        <w:ind w:right="418"/>
        <w:rPr>
          <w:lang w:val="en-IN"/>
        </w:rPr>
      </w:pPr>
      <w:r w:rsidRPr="00090139">
        <w:rPr>
          <w:lang w:val="en-IN"/>
        </w:rPr>
        <w:t xml:space="preserve">The corresponding </w:t>
      </w:r>
      <w:r w:rsidRPr="00090139">
        <w:rPr>
          <w:b/>
          <w:bCs/>
          <w:lang w:val="en-IN"/>
        </w:rPr>
        <w:t>portfolio risk (standard deviation)</w:t>
      </w:r>
      <w:r w:rsidRPr="00090139">
        <w:rPr>
          <w:lang w:val="en-IN"/>
        </w:rPr>
        <w:t xml:space="preserve"> stood at </w:t>
      </w:r>
      <w:r w:rsidRPr="00090139">
        <w:rPr>
          <w:b/>
          <w:bCs/>
          <w:lang w:val="en-IN"/>
        </w:rPr>
        <w:t>0.0105</w:t>
      </w:r>
      <w:r w:rsidRPr="00090139">
        <w:rPr>
          <w:lang w:val="en-IN"/>
        </w:rPr>
        <w:t>, highlighting typical daily return deviations.</w:t>
      </w:r>
    </w:p>
    <w:p w14:paraId="05452D2E" w14:textId="77777777" w:rsidR="00090139" w:rsidRPr="00090139" w:rsidRDefault="00090139" w:rsidP="00090139">
      <w:pPr>
        <w:pStyle w:val="BodyText"/>
        <w:numPr>
          <w:ilvl w:val="0"/>
          <w:numId w:val="42"/>
        </w:numPr>
        <w:spacing w:before="240" w:line="276" w:lineRule="auto"/>
        <w:ind w:right="418"/>
        <w:rPr>
          <w:lang w:val="en-IN"/>
        </w:rPr>
      </w:pPr>
      <w:r w:rsidRPr="00090139">
        <w:rPr>
          <w:lang w:val="en-IN"/>
        </w:rPr>
        <w:t xml:space="preserve">When </w:t>
      </w:r>
      <w:r w:rsidRPr="00090139">
        <w:rPr>
          <w:b/>
          <w:bCs/>
          <w:lang w:val="en-IN"/>
        </w:rPr>
        <w:t>annualized</w:t>
      </w:r>
      <w:r w:rsidRPr="00090139">
        <w:rPr>
          <w:lang w:val="en-IN"/>
        </w:rPr>
        <w:t xml:space="preserve">, the risk increased to </w:t>
      </w:r>
      <w:r w:rsidRPr="00090139">
        <w:rPr>
          <w:b/>
          <w:bCs/>
          <w:lang w:val="en-IN"/>
        </w:rPr>
        <w:t>~16.12%</w:t>
      </w:r>
      <w:r w:rsidRPr="00090139">
        <w:rPr>
          <w:lang w:val="en-IN"/>
        </w:rPr>
        <w:t>, representing the expected range of return fluctuations over a year. This helps investors gauge the long-term volatility of the portfolio.</w:t>
      </w:r>
    </w:p>
    <w:p w14:paraId="49E2EA4B" w14:textId="77777777" w:rsidR="00090139" w:rsidRPr="00090139" w:rsidRDefault="00090139" w:rsidP="00090139">
      <w:pPr>
        <w:pStyle w:val="BodyText"/>
        <w:numPr>
          <w:ilvl w:val="0"/>
          <w:numId w:val="42"/>
        </w:numPr>
        <w:spacing w:before="240" w:line="276" w:lineRule="auto"/>
        <w:ind w:right="418"/>
        <w:rPr>
          <w:lang w:val="en-IN"/>
        </w:rPr>
      </w:pPr>
      <w:r w:rsidRPr="00090139">
        <w:rPr>
          <w:lang w:val="en-IN"/>
        </w:rPr>
        <w:t xml:space="preserve">The </w:t>
      </w:r>
      <w:r w:rsidRPr="00090139">
        <w:rPr>
          <w:b/>
          <w:bCs/>
          <w:lang w:val="en-IN"/>
        </w:rPr>
        <w:t>Sharpe Ratio</w:t>
      </w:r>
      <w:r w:rsidRPr="00090139">
        <w:rPr>
          <w:lang w:val="en-IN"/>
        </w:rPr>
        <w:t xml:space="preserve"> was calculated at </w:t>
      </w:r>
      <w:r w:rsidRPr="00090139">
        <w:rPr>
          <w:b/>
          <w:bCs/>
          <w:lang w:val="en-IN"/>
        </w:rPr>
        <w:t>0.8893</w:t>
      </w:r>
      <w:r w:rsidRPr="00090139">
        <w:rPr>
          <w:lang w:val="en-IN"/>
        </w:rPr>
        <w:t xml:space="preserve">, which, while slightly below the ideal benchmark of 1.0, still suggests a </w:t>
      </w:r>
      <w:r w:rsidRPr="00090139">
        <w:rPr>
          <w:b/>
          <w:bCs/>
          <w:lang w:val="en-IN"/>
        </w:rPr>
        <w:t>decent risk-adjusted performance</w:t>
      </w:r>
      <w:r w:rsidRPr="00090139">
        <w:rPr>
          <w:lang w:val="en-IN"/>
        </w:rPr>
        <w:t>—particularly in a volatile market environment.</w:t>
      </w:r>
    </w:p>
    <w:p w14:paraId="43061D4F" w14:textId="77777777" w:rsidR="00090139" w:rsidRDefault="00090139">
      <w:pPr>
        <w:pStyle w:val="BodyText"/>
        <w:spacing w:before="240" w:line="276" w:lineRule="auto"/>
        <w:ind w:right="418"/>
      </w:pPr>
    </w:p>
    <w:p w14:paraId="7E603383" w14:textId="77777777" w:rsidR="00090139" w:rsidRPr="00090139" w:rsidRDefault="00090139" w:rsidP="00090139">
      <w:pPr>
        <w:pStyle w:val="BodyText"/>
        <w:spacing w:before="27"/>
        <w:rPr>
          <w:lang w:val="en-IN"/>
        </w:rPr>
      </w:pPr>
      <w:r w:rsidRPr="00090139">
        <w:rPr>
          <w:lang w:val="en-IN"/>
        </w:rPr>
        <w:t xml:space="preserve">A </w:t>
      </w:r>
      <w:r w:rsidRPr="00090139">
        <w:rPr>
          <w:b/>
          <w:bCs/>
          <w:lang w:val="en-IN"/>
        </w:rPr>
        <w:t>Sharpe Ratio above 1</w:t>
      </w:r>
      <w:r w:rsidRPr="00090139">
        <w:rPr>
          <w:lang w:val="en-IN"/>
        </w:rPr>
        <w:t xml:space="preserve"> is typically considered strong, indicating that the portfolio is efficiently converting risk into return. While the Sharpe Ratio here is just under that mark, the </w:t>
      </w:r>
      <w:r w:rsidRPr="00090139">
        <w:rPr>
          <w:b/>
          <w:bCs/>
          <w:lang w:val="en-IN"/>
        </w:rPr>
        <w:t>positive return, controlled risk level, and sectoral diversification</w:t>
      </w:r>
      <w:r w:rsidRPr="00090139">
        <w:rPr>
          <w:lang w:val="en-IN"/>
        </w:rPr>
        <w:t xml:space="preserve"> make the portfolio a well-balanced option for growth-oriented investors.</w:t>
      </w:r>
    </w:p>
    <w:p w14:paraId="4BA5122A" w14:textId="77777777" w:rsidR="00090139" w:rsidRPr="00090139" w:rsidRDefault="00090139" w:rsidP="00090139">
      <w:pPr>
        <w:pStyle w:val="BodyText"/>
        <w:spacing w:before="27"/>
        <w:rPr>
          <w:lang w:val="en-IN"/>
        </w:rPr>
      </w:pPr>
      <w:r w:rsidRPr="00090139">
        <w:rPr>
          <w:lang w:val="en-IN"/>
        </w:rPr>
        <w:t xml:space="preserve">In contrast, the </w:t>
      </w:r>
      <w:proofErr w:type="spellStart"/>
      <w:r w:rsidRPr="00090139">
        <w:rPr>
          <w:b/>
          <w:bCs/>
          <w:lang w:val="en-IN"/>
        </w:rPr>
        <w:t>backtested</w:t>
      </w:r>
      <w:proofErr w:type="spellEnd"/>
      <w:r w:rsidRPr="00090139">
        <w:rPr>
          <w:b/>
          <w:bCs/>
          <w:lang w:val="en-IN"/>
        </w:rPr>
        <w:t xml:space="preserve"> portfolio</w:t>
      </w:r>
      <w:r w:rsidRPr="00090139">
        <w:rPr>
          <w:lang w:val="en-IN"/>
        </w:rPr>
        <w:t xml:space="preserve"> showed a </w:t>
      </w:r>
      <w:r w:rsidRPr="00090139">
        <w:rPr>
          <w:b/>
          <w:bCs/>
          <w:lang w:val="en-IN"/>
        </w:rPr>
        <w:t>negative return</w:t>
      </w:r>
      <w:r w:rsidRPr="00090139">
        <w:rPr>
          <w:lang w:val="en-IN"/>
        </w:rPr>
        <w:t xml:space="preserve">, but an unusually </w:t>
      </w:r>
      <w:r w:rsidRPr="00090139">
        <w:rPr>
          <w:b/>
          <w:bCs/>
          <w:lang w:val="en-IN"/>
        </w:rPr>
        <w:t>high Sharpe Ratio</w:t>
      </w:r>
      <w:r w:rsidRPr="00090139">
        <w:rPr>
          <w:lang w:val="en-IN"/>
        </w:rPr>
        <w:t xml:space="preserve">. This likely results from very low volatility and must be evaluated cautiously, as such high Sharpe values can sometimes stem from abnormal data </w:t>
      </w:r>
      <w:proofErr w:type="spellStart"/>
      <w:r w:rsidRPr="00090139">
        <w:rPr>
          <w:lang w:val="en-IN"/>
        </w:rPr>
        <w:t>behaviors</w:t>
      </w:r>
      <w:proofErr w:type="spellEnd"/>
      <w:r w:rsidRPr="00090139">
        <w:rPr>
          <w:lang w:val="en-IN"/>
        </w:rPr>
        <w:t xml:space="preserve"> (e.g., very low standard deviation or one-off return outliers).</w:t>
      </w:r>
    </w:p>
    <w:p w14:paraId="4090D255" w14:textId="77777777" w:rsidR="004B3003" w:rsidRDefault="004B3003">
      <w:pPr>
        <w:pStyle w:val="BodyText"/>
        <w:spacing w:before="27"/>
      </w:pPr>
    </w:p>
    <w:p w14:paraId="0EE1EECF" w14:textId="77777777" w:rsidR="004B3003" w:rsidRDefault="00000000">
      <w:pPr>
        <w:pStyle w:val="Heading3"/>
        <w:rPr>
          <w:spacing w:val="-2"/>
        </w:rPr>
      </w:pPr>
      <w:bookmarkStart w:id="7" w:name="Backtesting_(Equal_Weighted_Portfolio_–_"/>
      <w:bookmarkEnd w:id="7"/>
      <w:proofErr w:type="spellStart"/>
      <w:r>
        <w:lastRenderedPageBreak/>
        <w:t>Backtesting</w:t>
      </w:r>
      <w:proofErr w:type="spellEnd"/>
      <w:r>
        <w:rPr>
          <w:spacing w:val="-7"/>
        </w:rPr>
        <w:t xml:space="preserve"> </w:t>
      </w:r>
      <w:r>
        <w:t>(Equal</w:t>
      </w:r>
      <w:r>
        <w:rPr>
          <w:spacing w:val="-7"/>
        </w:rPr>
        <w:t xml:space="preserve"> </w:t>
      </w:r>
      <w:r>
        <w:t>Weighted</w:t>
      </w:r>
      <w:r>
        <w:rPr>
          <w:spacing w:val="-7"/>
        </w:rPr>
        <w:t xml:space="preserve"> </w:t>
      </w:r>
      <w:r>
        <w:t>Portfolio</w:t>
      </w:r>
      <w:r>
        <w:rPr>
          <w:spacing w:val="-7"/>
        </w:rPr>
        <w:t xml:space="preserve"> </w:t>
      </w:r>
      <w:r>
        <w:t>–</w:t>
      </w:r>
      <w:r>
        <w:rPr>
          <w:spacing w:val="-7"/>
        </w:rPr>
        <w:t xml:space="preserve"> </w:t>
      </w:r>
      <w:r>
        <w:t>May</w:t>
      </w:r>
      <w:r>
        <w:rPr>
          <w:spacing w:val="-7"/>
        </w:rPr>
        <w:t xml:space="preserve"> </w:t>
      </w:r>
      <w:r>
        <w:rPr>
          <w:spacing w:val="-2"/>
        </w:rPr>
        <w:t>2025):</w:t>
      </w:r>
    </w:p>
    <w:p w14:paraId="7AA59350" w14:textId="77777777" w:rsidR="00090139" w:rsidRDefault="00090139">
      <w:pPr>
        <w:pStyle w:val="Heading3"/>
      </w:pPr>
    </w:p>
    <w:p w14:paraId="522DAF12" w14:textId="77777777" w:rsidR="00090139" w:rsidRDefault="00090139" w:rsidP="00090139">
      <w:pPr>
        <w:pStyle w:val="BodyText"/>
        <w:spacing w:line="276" w:lineRule="auto"/>
        <w:ind w:right="381"/>
      </w:pPr>
      <w:r>
        <w:t xml:space="preserve">During the </w:t>
      </w:r>
      <w:proofErr w:type="spellStart"/>
      <w:r>
        <w:t>backtesting</w:t>
      </w:r>
      <w:proofErr w:type="spellEnd"/>
      <w:r>
        <w:t xml:space="preserve"> period, the equally weighted portfolio consisting of Eicher Motors, Axis Bank, Apollo Hospitals, and Bharti Airtel delivered a negative return of -2.38%, indicating an underwhelming performance during the month of May 2025.this configuration saw pressure from underperforming constituents, notably Apollo Hospitals and Eicher Motors, which dragged down the overall returns.</w:t>
      </w:r>
    </w:p>
    <w:p w14:paraId="3DA23123" w14:textId="77777777" w:rsidR="00090139" w:rsidRDefault="00090139" w:rsidP="00090139">
      <w:pPr>
        <w:pStyle w:val="BodyText"/>
        <w:spacing w:line="276" w:lineRule="auto"/>
        <w:ind w:right="381"/>
      </w:pPr>
    </w:p>
    <w:p w14:paraId="1243DF43" w14:textId="77777777" w:rsidR="00090139" w:rsidRDefault="00090139" w:rsidP="00090139">
      <w:pPr>
        <w:pStyle w:val="BodyText"/>
        <w:spacing w:line="276" w:lineRule="auto"/>
        <w:ind w:right="381"/>
      </w:pPr>
      <w:r>
        <w:t>The portfolio variance during the period stood at 0.00008403, representing moderate volatility in daily returns. Despite diversification across four sectors, the presence of two declining assets increased downside risk.</w:t>
      </w:r>
    </w:p>
    <w:p w14:paraId="50D8D51F" w14:textId="77777777" w:rsidR="00090139" w:rsidRDefault="00090139" w:rsidP="00090139">
      <w:pPr>
        <w:pStyle w:val="BodyText"/>
        <w:spacing w:line="276" w:lineRule="auto"/>
        <w:ind w:right="381"/>
      </w:pPr>
    </w:p>
    <w:p w14:paraId="2974E08D" w14:textId="77777777" w:rsidR="00090139" w:rsidRDefault="00090139" w:rsidP="00090139">
      <w:pPr>
        <w:pStyle w:val="BodyText"/>
        <w:spacing w:line="276" w:lineRule="auto"/>
        <w:ind w:right="381"/>
      </w:pPr>
      <w:r>
        <w:t>The annualized portfolio risk, computed from daily standard deviation, was 0.1423, reflecting a moderately high fluctuation in portfolio value over a one-year equivalent period. While this level of volatility is not extreme, it becomes concerning when accompanied by negative returns.</w:t>
      </w:r>
    </w:p>
    <w:p w14:paraId="03D75658" w14:textId="77777777" w:rsidR="00090139" w:rsidRDefault="00090139" w:rsidP="00090139">
      <w:pPr>
        <w:pStyle w:val="BodyText"/>
        <w:spacing w:line="276" w:lineRule="auto"/>
        <w:ind w:right="381"/>
      </w:pPr>
    </w:p>
    <w:p w14:paraId="77182EA1" w14:textId="77777777" w:rsidR="00090139" w:rsidRDefault="00090139" w:rsidP="00090139">
      <w:pPr>
        <w:pStyle w:val="BodyText"/>
        <w:spacing w:line="276" w:lineRule="auto"/>
        <w:ind w:right="381"/>
      </w:pPr>
      <w:r>
        <w:t xml:space="preserve">A key point of concern in this analysis is the Sharpe Ratio, which came out to -0.6589. This negative Sharpe Ratio indicates that the portfolio underperformed the risk-free rate of 7%, and failed to compensate for the risk taken. A Sharpe ratio below zero implies that risk-free assets would have outperformed this portfolio during the </w:t>
      </w:r>
      <w:proofErr w:type="spellStart"/>
      <w:r>
        <w:t>backtest</w:t>
      </w:r>
      <w:proofErr w:type="spellEnd"/>
      <w:r>
        <w:t>.</w:t>
      </w:r>
    </w:p>
    <w:p w14:paraId="75C1CD52" w14:textId="77777777" w:rsidR="00090139" w:rsidRDefault="00090139" w:rsidP="00090139">
      <w:pPr>
        <w:pStyle w:val="BodyText"/>
        <w:spacing w:line="276" w:lineRule="auto"/>
        <w:ind w:right="381"/>
      </w:pPr>
      <w:r>
        <w:t>Why is the Sharpe Ratio Negative?</w:t>
      </w:r>
    </w:p>
    <w:p w14:paraId="26EEC64A" w14:textId="77777777" w:rsidR="00090139" w:rsidRDefault="00090139" w:rsidP="00090139">
      <w:pPr>
        <w:pStyle w:val="BodyText"/>
        <w:spacing w:line="276" w:lineRule="auto"/>
        <w:ind w:right="381"/>
      </w:pPr>
      <w:r>
        <w:t>The extremely poor Sharpe Ratio is primarily a result of:</w:t>
      </w:r>
    </w:p>
    <w:p w14:paraId="3139D655" w14:textId="77777777" w:rsidR="00090139" w:rsidRDefault="00090139" w:rsidP="00090139">
      <w:pPr>
        <w:pStyle w:val="BodyText"/>
        <w:spacing w:line="276" w:lineRule="auto"/>
        <w:ind w:right="381"/>
      </w:pPr>
    </w:p>
    <w:p w14:paraId="12E03F5E" w14:textId="77777777" w:rsidR="00090139" w:rsidRDefault="00090139" w:rsidP="00090139">
      <w:pPr>
        <w:pStyle w:val="BodyText"/>
        <w:spacing w:line="276" w:lineRule="auto"/>
        <w:ind w:right="381"/>
      </w:pPr>
      <w:r>
        <w:t>Apollo Hospitals’ negative return (-12.6% annualized) despite being a defensive stock.</w:t>
      </w:r>
    </w:p>
    <w:p w14:paraId="3FEBAD60" w14:textId="77777777" w:rsidR="00090139" w:rsidRDefault="00090139" w:rsidP="00090139">
      <w:pPr>
        <w:pStyle w:val="BodyText"/>
        <w:spacing w:line="276" w:lineRule="auto"/>
        <w:ind w:right="381"/>
      </w:pPr>
    </w:p>
    <w:p w14:paraId="4F670681" w14:textId="77777777" w:rsidR="00090139" w:rsidRDefault="00090139" w:rsidP="00090139">
      <w:pPr>
        <w:pStyle w:val="BodyText"/>
        <w:spacing w:line="276" w:lineRule="auto"/>
        <w:ind w:right="381"/>
      </w:pPr>
      <w:r>
        <w:t>Eicher Motors, which also posted a negative return of -21.6% annualized, compounding the losses.</w:t>
      </w:r>
    </w:p>
    <w:p w14:paraId="3E715968" w14:textId="77777777" w:rsidR="00090139" w:rsidRDefault="00090139" w:rsidP="00090139">
      <w:pPr>
        <w:pStyle w:val="BodyText"/>
        <w:spacing w:line="276" w:lineRule="auto"/>
        <w:ind w:right="381"/>
      </w:pPr>
    </w:p>
    <w:p w14:paraId="1D7FBCC1" w14:textId="77777777" w:rsidR="00090139" w:rsidRDefault="00090139" w:rsidP="00090139">
      <w:pPr>
        <w:pStyle w:val="BodyText"/>
        <w:spacing w:line="276" w:lineRule="auto"/>
        <w:ind w:right="381"/>
      </w:pPr>
      <w:r>
        <w:t>Axis Bank and Bharti Airtel had moderate positive returns, but their performance wasn’t enough to offset the decline from the other two.</w:t>
      </w:r>
    </w:p>
    <w:p w14:paraId="48790703" w14:textId="77777777" w:rsidR="00090139" w:rsidRDefault="00090139" w:rsidP="00090139">
      <w:pPr>
        <w:pStyle w:val="BodyText"/>
        <w:spacing w:line="276" w:lineRule="auto"/>
        <w:ind w:right="381"/>
      </w:pPr>
    </w:p>
    <w:p w14:paraId="660EE231" w14:textId="77777777" w:rsidR="00090139" w:rsidRDefault="00090139" w:rsidP="00090139">
      <w:pPr>
        <w:pStyle w:val="BodyText"/>
        <w:spacing w:line="276" w:lineRule="auto"/>
        <w:ind w:right="381"/>
      </w:pPr>
      <w:r>
        <w:t>Together, this led to the portfolio posting a negative overall return while still maintaining a reasonable level of volatility, hence dragging the Sharpe Ratio deep into negative territory</w:t>
      </w:r>
    </w:p>
    <w:p w14:paraId="6408656A" w14:textId="77777777" w:rsidR="00090139" w:rsidRDefault="00090139" w:rsidP="00090139">
      <w:pPr>
        <w:pStyle w:val="BodyText"/>
        <w:spacing w:line="276" w:lineRule="auto"/>
        <w:ind w:right="381"/>
      </w:pPr>
      <w:r>
        <w:t>Conclusion</w:t>
      </w:r>
    </w:p>
    <w:p w14:paraId="312777C3" w14:textId="77777777" w:rsidR="00090139" w:rsidRDefault="00090139" w:rsidP="00090139">
      <w:pPr>
        <w:pStyle w:val="BodyText"/>
        <w:spacing w:line="276" w:lineRule="auto"/>
        <w:ind w:right="381"/>
      </w:pPr>
      <w:r>
        <w:t>The equally weighted portfolio in May 2025 performed poorly, with a negative monthly return of -2.38%, an annualized risk of 0.1423, and a Sharpe Ratio of -0.6589. The performance was significantly affected by sharp drawdowns in Apollo and Eicher, which diluted the gains from Axis Bank and Bharti Airtel.</w:t>
      </w:r>
    </w:p>
    <w:p w14:paraId="522A4F07" w14:textId="77777777" w:rsidR="00090139" w:rsidRDefault="00090139" w:rsidP="00090139">
      <w:pPr>
        <w:pStyle w:val="BodyText"/>
        <w:spacing w:line="276" w:lineRule="auto"/>
        <w:ind w:right="381"/>
      </w:pPr>
    </w:p>
    <w:p w14:paraId="3C269B8E" w14:textId="77777777" w:rsidR="00090139" w:rsidRDefault="00090139" w:rsidP="00090139">
      <w:pPr>
        <w:pStyle w:val="BodyText"/>
        <w:spacing w:line="276" w:lineRule="auto"/>
        <w:ind w:right="381"/>
      </w:pPr>
      <w:r>
        <w:t>This analysis highlights the importance of:</w:t>
      </w:r>
    </w:p>
    <w:p w14:paraId="302A7286" w14:textId="77777777" w:rsidR="00090139" w:rsidRDefault="00090139" w:rsidP="00090139">
      <w:pPr>
        <w:pStyle w:val="BodyText"/>
        <w:spacing w:line="276" w:lineRule="auto"/>
        <w:ind w:right="381"/>
      </w:pPr>
    </w:p>
    <w:p w14:paraId="677853A5" w14:textId="77777777" w:rsidR="00090139" w:rsidRDefault="00090139" w:rsidP="00090139">
      <w:pPr>
        <w:pStyle w:val="BodyText"/>
        <w:spacing w:line="276" w:lineRule="auto"/>
        <w:ind w:right="381"/>
      </w:pPr>
      <w:r>
        <w:t>Monitoring sector-specific risks, even within a diversified portfolio.</w:t>
      </w:r>
    </w:p>
    <w:p w14:paraId="0E2DE066" w14:textId="77777777" w:rsidR="00090139" w:rsidRDefault="00090139" w:rsidP="00090139">
      <w:pPr>
        <w:pStyle w:val="BodyText"/>
        <w:spacing w:line="276" w:lineRule="auto"/>
        <w:ind w:right="381"/>
      </w:pPr>
    </w:p>
    <w:p w14:paraId="11065B69" w14:textId="77777777" w:rsidR="00090139" w:rsidRDefault="00090139" w:rsidP="00090139">
      <w:pPr>
        <w:pStyle w:val="BodyText"/>
        <w:spacing w:line="276" w:lineRule="auto"/>
        <w:ind w:right="381"/>
      </w:pPr>
      <w:r>
        <w:t>Rebalancing based on fundamentals and momentum, as not all blue-chip stocks perform defensively during downturns.</w:t>
      </w:r>
    </w:p>
    <w:p w14:paraId="3BED8105" w14:textId="77777777" w:rsidR="00090139" w:rsidRDefault="00090139" w:rsidP="00090139">
      <w:pPr>
        <w:pStyle w:val="BodyText"/>
        <w:spacing w:line="276" w:lineRule="auto"/>
        <w:ind w:right="381"/>
      </w:pPr>
    </w:p>
    <w:p w14:paraId="4B0C9EB7" w14:textId="16369738" w:rsidR="004B3003" w:rsidRDefault="00090139" w:rsidP="00090139">
      <w:pPr>
        <w:pStyle w:val="BodyText"/>
        <w:spacing w:line="276" w:lineRule="auto"/>
        <w:ind w:right="381"/>
      </w:pPr>
      <w:r>
        <w:t>Using optimized weights to reduce downside risk and enhance reward potential.</w:t>
      </w:r>
    </w:p>
    <w:p w14:paraId="3E31AF04" w14:textId="77777777" w:rsidR="004B3003" w:rsidRDefault="004B3003">
      <w:pPr>
        <w:pStyle w:val="BodyText"/>
      </w:pPr>
    </w:p>
    <w:p w14:paraId="131412CF" w14:textId="77777777" w:rsidR="004B3003" w:rsidRDefault="004B3003">
      <w:pPr>
        <w:pStyle w:val="BodyText"/>
        <w:spacing w:before="145"/>
      </w:pPr>
    </w:p>
    <w:p w14:paraId="04224753" w14:textId="77777777" w:rsidR="004B3003" w:rsidRDefault="00000000">
      <w:pPr>
        <w:pStyle w:val="Heading3"/>
      </w:pPr>
      <w:r>
        <w:rPr>
          <w:u w:val="single"/>
        </w:rPr>
        <w:t>Optimal</w:t>
      </w:r>
      <w:r>
        <w:rPr>
          <w:spacing w:val="-8"/>
          <w:u w:val="single"/>
        </w:rPr>
        <w:t xml:space="preserve"> </w:t>
      </w:r>
      <w:r>
        <w:rPr>
          <w:u w:val="single"/>
        </w:rPr>
        <w:t>Weights</w:t>
      </w:r>
      <w:r>
        <w:rPr>
          <w:spacing w:val="-8"/>
          <w:u w:val="single"/>
        </w:rPr>
        <w:t xml:space="preserve"> </w:t>
      </w:r>
      <w:r>
        <w:rPr>
          <w:u w:val="single"/>
        </w:rPr>
        <w:t>(Maximum</w:t>
      </w:r>
      <w:r>
        <w:rPr>
          <w:spacing w:val="-7"/>
          <w:u w:val="single"/>
        </w:rPr>
        <w:t xml:space="preserve"> </w:t>
      </w:r>
      <w:r>
        <w:rPr>
          <w:u w:val="single"/>
        </w:rPr>
        <w:t>Sharpe</w:t>
      </w:r>
      <w:r>
        <w:rPr>
          <w:spacing w:val="-8"/>
          <w:u w:val="single"/>
        </w:rPr>
        <w:t xml:space="preserve"> </w:t>
      </w:r>
      <w:r>
        <w:rPr>
          <w:u w:val="single"/>
        </w:rPr>
        <w:t>Ratio)</w:t>
      </w:r>
      <w:r>
        <w:rPr>
          <w:spacing w:val="-7"/>
          <w:u w:val="single"/>
        </w:rPr>
        <w:t xml:space="preserve"> </w:t>
      </w:r>
      <w:r>
        <w:rPr>
          <w:spacing w:val="-2"/>
          <w:u w:val="single"/>
        </w:rPr>
        <w:t>Analysis</w:t>
      </w:r>
    </w:p>
    <w:p w14:paraId="0C021D8E" w14:textId="3E330733" w:rsidR="004B3003" w:rsidRDefault="00000000" w:rsidP="00565242">
      <w:pPr>
        <w:spacing w:before="285" w:line="276" w:lineRule="auto"/>
        <w:ind w:right="422"/>
      </w:pPr>
      <w:r>
        <w:t xml:space="preserve">Following the equal-weighted portfolio analysis, we employed Excel's </w:t>
      </w:r>
      <w:r>
        <w:rPr>
          <w:b/>
        </w:rPr>
        <w:t xml:space="preserve">Solver </w:t>
      </w:r>
      <w:r>
        <w:t>tool to determine the</w:t>
      </w:r>
      <w:r>
        <w:rPr>
          <w:spacing w:val="-4"/>
        </w:rPr>
        <w:t xml:space="preserve"> </w:t>
      </w:r>
      <w:r>
        <w:rPr>
          <w:b/>
        </w:rPr>
        <w:t>optimal</w:t>
      </w:r>
      <w:r>
        <w:rPr>
          <w:b/>
          <w:spacing w:val="-4"/>
        </w:rPr>
        <w:t xml:space="preserve"> </w:t>
      </w:r>
      <w:r>
        <w:rPr>
          <w:b/>
        </w:rPr>
        <w:t>allocation</w:t>
      </w:r>
      <w:r>
        <w:rPr>
          <w:b/>
          <w:spacing w:val="-4"/>
        </w:rPr>
        <w:t xml:space="preserve"> </w:t>
      </w:r>
      <w:r>
        <w:rPr>
          <w:b/>
        </w:rPr>
        <w:t>of</w:t>
      </w:r>
      <w:r>
        <w:rPr>
          <w:b/>
          <w:spacing w:val="-4"/>
        </w:rPr>
        <w:t xml:space="preserve"> </w:t>
      </w:r>
      <w:r>
        <w:rPr>
          <w:b/>
        </w:rPr>
        <w:t>weights</w:t>
      </w:r>
      <w:r>
        <w:rPr>
          <w:b/>
          <w:spacing w:val="-4"/>
        </w:rPr>
        <w:t xml:space="preserve"> </w:t>
      </w:r>
      <w:r>
        <w:t>that</w:t>
      </w:r>
      <w:r>
        <w:rPr>
          <w:spacing w:val="-4"/>
        </w:rPr>
        <w:t xml:space="preserve"> </w:t>
      </w:r>
      <w:r>
        <w:t>maximizes</w:t>
      </w:r>
      <w:r>
        <w:rPr>
          <w:spacing w:val="-4"/>
        </w:rPr>
        <w:t xml:space="preserve"> </w:t>
      </w:r>
      <w:r>
        <w:t>the</w:t>
      </w:r>
      <w:r>
        <w:rPr>
          <w:spacing w:val="-4"/>
        </w:rPr>
        <w:t xml:space="preserve"> </w:t>
      </w:r>
      <w:r>
        <w:rPr>
          <w:b/>
        </w:rPr>
        <w:t>Sharpe</w:t>
      </w:r>
      <w:r>
        <w:rPr>
          <w:b/>
          <w:spacing w:val="-4"/>
        </w:rPr>
        <w:t xml:space="preserve"> </w:t>
      </w:r>
      <w:r>
        <w:rPr>
          <w:b/>
        </w:rPr>
        <w:t>Ratio</w:t>
      </w:r>
      <w:r>
        <w:t>.</w:t>
      </w:r>
      <w:r>
        <w:rPr>
          <w:spacing w:val="-4"/>
        </w:rPr>
        <w:t xml:space="preserve"> </w:t>
      </w:r>
      <w:r>
        <w:t>In</w:t>
      </w:r>
      <w:r>
        <w:rPr>
          <w:spacing w:val="-4"/>
        </w:rPr>
        <w:t xml:space="preserve"> </w:t>
      </w:r>
      <w:r>
        <w:t>this</w:t>
      </w:r>
      <w:r>
        <w:rPr>
          <w:spacing w:val="-4"/>
        </w:rPr>
        <w:t xml:space="preserve"> </w:t>
      </w:r>
      <w:r>
        <w:t>setup,</w:t>
      </w:r>
      <w:r>
        <w:rPr>
          <w:spacing w:val="-4"/>
        </w:rPr>
        <w:t xml:space="preserve"> </w:t>
      </w:r>
      <w:r>
        <w:t>the</w:t>
      </w:r>
      <w:r>
        <w:rPr>
          <w:spacing w:val="-4"/>
        </w:rPr>
        <w:t xml:space="preserve"> </w:t>
      </w:r>
      <w:r>
        <w:rPr>
          <w:b/>
        </w:rPr>
        <w:t xml:space="preserve">Sharpe Ratio cell </w:t>
      </w:r>
      <w:r>
        <w:t xml:space="preserve">was set as the objective to be maximized, while the </w:t>
      </w:r>
      <w:r>
        <w:rPr>
          <w:b/>
        </w:rPr>
        <w:t xml:space="preserve">weights of individual stocks </w:t>
      </w:r>
      <w:r>
        <w:t xml:space="preserve">were set as the variable cells. Constraints applied included ensuring that the </w:t>
      </w:r>
      <w:r>
        <w:rPr>
          <w:b/>
        </w:rPr>
        <w:t xml:space="preserve">sum of all weights equals 1 </w:t>
      </w:r>
      <w:r>
        <w:t xml:space="preserve">and that </w:t>
      </w:r>
      <w:r>
        <w:rPr>
          <w:b/>
        </w:rPr>
        <w:t xml:space="preserve">no weight is negative </w:t>
      </w:r>
      <w:r>
        <w:t xml:space="preserve">(i.e., all weights are ≥ 0). Upon running the Solver with these conditions, we successfully obtained the </w:t>
      </w:r>
      <w:r>
        <w:rPr>
          <w:b/>
        </w:rPr>
        <w:t xml:space="preserve">weight configuration that yields the maximum Sharpe Ratio </w:t>
      </w:r>
      <w:r>
        <w:t>for the portfolio.</w:t>
      </w:r>
    </w:p>
    <w:p w14:paraId="483481D0" w14:textId="77777777" w:rsidR="004B3003" w:rsidRDefault="004B3003">
      <w:pPr>
        <w:pStyle w:val="BodyText"/>
      </w:pPr>
    </w:p>
    <w:p w14:paraId="2164EF5E" w14:textId="77777777" w:rsidR="004B3003" w:rsidRDefault="004B3003">
      <w:pPr>
        <w:pStyle w:val="BodyText"/>
      </w:pPr>
    </w:p>
    <w:tbl>
      <w:tblPr>
        <w:tblpPr w:leftFromText="180" w:rightFromText="180" w:vertAnchor="text" w:horzAnchor="margin" w:tblpY="146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565242" w14:paraId="65194879" w14:textId="77777777" w:rsidTr="00565242">
        <w:trPr>
          <w:trHeight w:val="439"/>
        </w:trPr>
        <w:tc>
          <w:tcPr>
            <w:tcW w:w="4680" w:type="dxa"/>
          </w:tcPr>
          <w:p w14:paraId="38769EBE" w14:textId="77777777" w:rsidR="00565242" w:rsidRDefault="00565242" w:rsidP="00565242">
            <w:pPr>
              <w:pStyle w:val="TableParagraph"/>
              <w:spacing w:before="100"/>
              <w:ind w:left="0" w:right="0"/>
            </w:pPr>
            <w:r>
              <w:t>EICHER</w:t>
            </w:r>
            <w:r>
              <w:rPr>
                <w:spacing w:val="-6"/>
              </w:rPr>
              <w:t xml:space="preserve"> </w:t>
            </w:r>
            <w:r>
              <w:rPr>
                <w:spacing w:val="-2"/>
              </w:rPr>
              <w:t>MOTORS</w:t>
            </w:r>
          </w:p>
        </w:tc>
        <w:tc>
          <w:tcPr>
            <w:tcW w:w="4680" w:type="dxa"/>
          </w:tcPr>
          <w:p w14:paraId="39B4B890" w14:textId="77777777" w:rsidR="00565242" w:rsidRDefault="00565242" w:rsidP="00565242">
            <w:pPr>
              <w:pStyle w:val="TableParagraph"/>
              <w:spacing w:before="100"/>
              <w:ind w:left="0" w:right="0"/>
            </w:pPr>
            <w:r w:rsidRPr="00565242">
              <w:t>0.32106136269715</w:t>
            </w:r>
          </w:p>
        </w:tc>
      </w:tr>
      <w:tr w:rsidR="00565242" w14:paraId="1ADCC8A6" w14:textId="77777777" w:rsidTr="00565242">
        <w:trPr>
          <w:trHeight w:val="460"/>
        </w:trPr>
        <w:tc>
          <w:tcPr>
            <w:tcW w:w="4680" w:type="dxa"/>
          </w:tcPr>
          <w:p w14:paraId="15FE33D5" w14:textId="77777777" w:rsidR="00565242" w:rsidRDefault="00565242" w:rsidP="00565242">
            <w:pPr>
              <w:pStyle w:val="TableParagraph"/>
              <w:spacing w:before="118"/>
              <w:ind w:left="0" w:right="0"/>
            </w:pPr>
            <w:r>
              <w:t>AXIS BANK</w:t>
            </w:r>
          </w:p>
        </w:tc>
        <w:tc>
          <w:tcPr>
            <w:tcW w:w="4680" w:type="dxa"/>
          </w:tcPr>
          <w:p w14:paraId="54173F1B" w14:textId="77777777" w:rsidR="00565242" w:rsidRDefault="00565242" w:rsidP="00565242">
            <w:pPr>
              <w:pStyle w:val="TableParagraph"/>
              <w:spacing w:before="118"/>
              <w:ind w:left="0" w:right="0"/>
            </w:pPr>
            <w:r>
              <w:rPr>
                <w:spacing w:val="-2"/>
              </w:rPr>
              <w:t>0</w:t>
            </w:r>
          </w:p>
        </w:tc>
      </w:tr>
      <w:tr w:rsidR="00565242" w14:paraId="0210D6D9" w14:textId="77777777" w:rsidTr="00565242">
        <w:trPr>
          <w:trHeight w:val="460"/>
        </w:trPr>
        <w:tc>
          <w:tcPr>
            <w:tcW w:w="4680" w:type="dxa"/>
          </w:tcPr>
          <w:p w14:paraId="230A59FB" w14:textId="77777777" w:rsidR="00565242" w:rsidRDefault="00565242" w:rsidP="00565242">
            <w:pPr>
              <w:pStyle w:val="TableParagraph"/>
              <w:spacing w:before="116"/>
              <w:ind w:left="0" w:right="0"/>
            </w:pPr>
            <w:r>
              <w:rPr>
                <w:spacing w:val="-2"/>
              </w:rPr>
              <w:t>APOLLO HOSPTALS</w:t>
            </w:r>
          </w:p>
        </w:tc>
        <w:tc>
          <w:tcPr>
            <w:tcW w:w="4680" w:type="dxa"/>
          </w:tcPr>
          <w:p w14:paraId="5F2AA535" w14:textId="77777777" w:rsidR="00565242" w:rsidRDefault="00565242" w:rsidP="00565242">
            <w:pPr>
              <w:pStyle w:val="TableParagraph"/>
              <w:spacing w:before="116"/>
              <w:ind w:left="0" w:right="0"/>
            </w:pPr>
            <w:r>
              <w:rPr>
                <w:spacing w:val="-2"/>
              </w:rPr>
              <w:t>0</w:t>
            </w:r>
          </w:p>
        </w:tc>
      </w:tr>
      <w:tr w:rsidR="00565242" w14:paraId="34A79776" w14:textId="77777777" w:rsidTr="00565242">
        <w:trPr>
          <w:trHeight w:val="459"/>
        </w:trPr>
        <w:tc>
          <w:tcPr>
            <w:tcW w:w="4680" w:type="dxa"/>
          </w:tcPr>
          <w:p w14:paraId="5B0EE838" w14:textId="77777777" w:rsidR="00565242" w:rsidRDefault="00565242" w:rsidP="00565242">
            <w:pPr>
              <w:pStyle w:val="TableParagraph"/>
              <w:spacing w:before="114"/>
              <w:ind w:left="0" w:right="0"/>
            </w:pPr>
            <w:r>
              <w:t>BHARTI</w:t>
            </w:r>
            <w:r>
              <w:rPr>
                <w:spacing w:val="-10"/>
              </w:rPr>
              <w:t xml:space="preserve"> </w:t>
            </w:r>
            <w:r>
              <w:rPr>
                <w:spacing w:val="-2"/>
              </w:rPr>
              <w:t>AIRTEL</w:t>
            </w:r>
          </w:p>
        </w:tc>
        <w:tc>
          <w:tcPr>
            <w:tcW w:w="4680" w:type="dxa"/>
          </w:tcPr>
          <w:p w14:paraId="65EF9EAF" w14:textId="77777777" w:rsidR="00565242" w:rsidRDefault="00565242" w:rsidP="00565242">
            <w:pPr>
              <w:pStyle w:val="TableParagraph"/>
              <w:spacing w:before="114"/>
              <w:ind w:left="0" w:right="0"/>
            </w:pPr>
            <w:r>
              <w:rPr>
                <w:spacing w:val="-2"/>
              </w:rPr>
              <w:t>0.6789386373</w:t>
            </w:r>
          </w:p>
        </w:tc>
      </w:tr>
    </w:tbl>
    <w:tbl>
      <w:tblPr>
        <w:tblpPr w:leftFromText="180" w:rightFromText="180" w:vertAnchor="text" w:horzAnchor="page" w:tblpX="1" w:tblpY="3874"/>
        <w:tblW w:w="11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42"/>
        <w:gridCol w:w="3742"/>
        <w:gridCol w:w="3742"/>
      </w:tblGrid>
      <w:tr w:rsidR="00565242" w14:paraId="2C102668" w14:textId="77777777" w:rsidTr="00565242">
        <w:trPr>
          <w:trHeight w:val="1152"/>
        </w:trPr>
        <w:tc>
          <w:tcPr>
            <w:tcW w:w="3742" w:type="dxa"/>
          </w:tcPr>
          <w:p w14:paraId="146B10FA" w14:textId="77777777" w:rsidR="00565242" w:rsidRDefault="00565242" w:rsidP="00565242">
            <w:pPr>
              <w:pStyle w:val="TableParagraph"/>
              <w:rPr>
                <w:b/>
              </w:rPr>
            </w:pPr>
            <w:r>
              <w:rPr>
                <w:b/>
                <w:spacing w:val="-2"/>
              </w:rPr>
              <w:t>Calculated</w:t>
            </w:r>
          </w:p>
        </w:tc>
        <w:tc>
          <w:tcPr>
            <w:tcW w:w="3742" w:type="dxa"/>
          </w:tcPr>
          <w:p w14:paraId="6A76F905" w14:textId="77777777" w:rsidR="00565242" w:rsidRDefault="00565242" w:rsidP="00565242">
            <w:pPr>
              <w:pStyle w:val="TableParagraph"/>
              <w:ind w:left="597" w:right="0" w:hanging="349"/>
              <w:jc w:val="left"/>
              <w:rPr>
                <w:b/>
              </w:rPr>
            </w:pPr>
            <w:r>
              <w:rPr>
                <w:b/>
              </w:rPr>
              <w:t>Observations</w:t>
            </w:r>
            <w:r>
              <w:rPr>
                <w:b/>
                <w:spacing w:val="-16"/>
              </w:rPr>
              <w:t xml:space="preserve"> </w:t>
            </w:r>
            <w:r>
              <w:rPr>
                <w:b/>
              </w:rPr>
              <w:t>for</w:t>
            </w:r>
            <w:r>
              <w:rPr>
                <w:b/>
                <w:spacing w:val="-15"/>
              </w:rPr>
              <w:t xml:space="preserve"> </w:t>
            </w:r>
            <w:r>
              <w:rPr>
                <w:b/>
              </w:rPr>
              <w:t>optimal weighted portfolio</w:t>
            </w:r>
          </w:p>
        </w:tc>
        <w:tc>
          <w:tcPr>
            <w:tcW w:w="3742" w:type="dxa"/>
          </w:tcPr>
          <w:p w14:paraId="713C297A" w14:textId="77777777" w:rsidR="00565242" w:rsidRDefault="00565242" w:rsidP="00565242">
            <w:pPr>
              <w:pStyle w:val="TableParagraph"/>
              <w:ind w:right="65"/>
              <w:rPr>
                <w:b/>
              </w:rPr>
            </w:pPr>
            <w:r>
              <w:rPr>
                <w:b/>
              </w:rPr>
              <w:t xml:space="preserve">Observations for </w:t>
            </w:r>
            <w:proofErr w:type="spellStart"/>
            <w:r>
              <w:rPr>
                <w:b/>
              </w:rPr>
              <w:t>Backtesting</w:t>
            </w:r>
            <w:proofErr w:type="spellEnd"/>
            <w:r>
              <w:rPr>
                <w:b/>
                <w:spacing w:val="-16"/>
              </w:rPr>
              <w:t xml:space="preserve"> </w:t>
            </w:r>
            <w:r>
              <w:rPr>
                <w:b/>
              </w:rPr>
              <w:t xml:space="preserve">(optimal </w:t>
            </w:r>
            <w:r>
              <w:rPr>
                <w:b/>
                <w:spacing w:val="-2"/>
              </w:rPr>
              <w:t>weights)</w:t>
            </w:r>
          </w:p>
        </w:tc>
      </w:tr>
      <w:tr w:rsidR="00565242" w14:paraId="29EA8E09" w14:textId="77777777" w:rsidTr="00565242">
        <w:trPr>
          <w:trHeight w:val="552"/>
        </w:trPr>
        <w:tc>
          <w:tcPr>
            <w:tcW w:w="3742" w:type="dxa"/>
          </w:tcPr>
          <w:p w14:paraId="029E2BA4" w14:textId="77777777" w:rsidR="00565242" w:rsidRDefault="00565242" w:rsidP="00565242">
            <w:pPr>
              <w:pStyle w:val="TableParagraph"/>
              <w:spacing w:before="112"/>
            </w:pPr>
            <w:r>
              <w:t>Portfolio</w:t>
            </w:r>
            <w:r>
              <w:rPr>
                <w:spacing w:val="-9"/>
              </w:rPr>
              <w:t xml:space="preserve"> </w:t>
            </w:r>
            <w:r>
              <w:rPr>
                <w:spacing w:val="-2"/>
              </w:rPr>
              <w:t>Return</w:t>
            </w:r>
          </w:p>
        </w:tc>
        <w:tc>
          <w:tcPr>
            <w:tcW w:w="3742" w:type="dxa"/>
          </w:tcPr>
          <w:p w14:paraId="08FCED7A" w14:textId="77777777" w:rsidR="00565242" w:rsidRDefault="00565242" w:rsidP="00565242">
            <w:pPr>
              <w:pStyle w:val="TableParagraph"/>
              <w:spacing w:before="112"/>
            </w:pPr>
            <w:r>
              <w:rPr>
                <w:spacing w:val="-2"/>
              </w:rPr>
              <w:t>0.2510661242</w:t>
            </w:r>
          </w:p>
        </w:tc>
        <w:tc>
          <w:tcPr>
            <w:tcW w:w="3742" w:type="dxa"/>
          </w:tcPr>
          <w:p w14:paraId="6A2F0BF4" w14:textId="77777777" w:rsidR="00565242" w:rsidRDefault="00565242" w:rsidP="00565242">
            <w:pPr>
              <w:pStyle w:val="TableParagraph"/>
              <w:spacing w:before="112"/>
            </w:pPr>
            <w:r w:rsidRPr="00565242">
              <w:rPr>
                <w:spacing w:val="-2"/>
              </w:rPr>
              <w:t>-0.04924228888</w:t>
            </w:r>
          </w:p>
        </w:tc>
      </w:tr>
      <w:tr w:rsidR="00565242" w14:paraId="6E8EBC30" w14:textId="77777777" w:rsidTr="00565242">
        <w:trPr>
          <w:trHeight w:val="552"/>
        </w:trPr>
        <w:tc>
          <w:tcPr>
            <w:tcW w:w="3742" w:type="dxa"/>
          </w:tcPr>
          <w:p w14:paraId="2657CA3C" w14:textId="77777777" w:rsidR="00565242" w:rsidRDefault="00565242" w:rsidP="00565242">
            <w:pPr>
              <w:pStyle w:val="TableParagraph"/>
              <w:spacing w:before="110"/>
            </w:pPr>
            <w:r>
              <w:t>Portfolio</w:t>
            </w:r>
            <w:r>
              <w:rPr>
                <w:spacing w:val="-9"/>
              </w:rPr>
              <w:t xml:space="preserve"> </w:t>
            </w:r>
            <w:r>
              <w:rPr>
                <w:spacing w:val="-2"/>
              </w:rPr>
              <w:t>Variance</w:t>
            </w:r>
          </w:p>
        </w:tc>
        <w:tc>
          <w:tcPr>
            <w:tcW w:w="3742" w:type="dxa"/>
          </w:tcPr>
          <w:p w14:paraId="10F626E8" w14:textId="77777777" w:rsidR="00565242" w:rsidRDefault="00565242" w:rsidP="00565242">
            <w:pPr>
              <w:pStyle w:val="TableParagraph"/>
              <w:spacing w:before="110"/>
            </w:pPr>
            <w:r>
              <w:rPr>
                <w:spacing w:val="-2"/>
              </w:rPr>
              <w:t>0.00006576935755</w:t>
            </w:r>
          </w:p>
        </w:tc>
        <w:tc>
          <w:tcPr>
            <w:tcW w:w="3742" w:type="dxa"/>
          </w:tcPr>
          <w:p w14:paraId="4E3F5438" w14:textId="77777777" w:rsidR="00565242" w:rsidRDefault="00565242" w:rsidP="00565242">
            <w:pPr>
              <w:pStyle w:val="TableParagraph"/>
              <w:spacing w:before="110"/>
            </w:pPr>
            <w:r w:rsidRPr="00565242">
              <w:rPr>
                <w:spacing w:val="-2"/>
              </w:rPr>
              <w:t>0.0001317130874</w:t>
            </w:r>
          </w:p>
        </w:tc>
      </w:tr>
      <w:tr w:rsidR="00565242" w14:paraId="62AE2633" w14:textId="77777777" w:rsidTr="00565242">
        <w:trPr>
          <w:trHeight w:val="552"/>
        </w:trPr>
        <w:tc>
          <w:tcPr>
            <w:tcW w:w="3742" w:type="dxa"/>
          </w:tcPr>
          <w:p w14:paraId="74D66117" w14:textId="77777777" w:rsidR="00565242" w:rsidRDefault="00565242" w:rsidP="00565242">
            <w:pPr>
              <w:pStyle w:val="TableParagraph"/>
            </w:pPr>
            <w:r>
              <w:t>Portfolio</w:t>
            </w:r>
            <w:r>
              <w:rPr>
                <w:spacing w:val="-9"/>
              </w:rPr>
              <w:t xml:space="preserve"> </w:t>
            </w:r>
            <w:r>
              <w:rPr>
                <w:spacing w:val="-4"/>
              </w:rPr>
              <w:t>Risk</w:t>
            </w:r>
          </w:p>
        </w:tc>
        <w:tc>
          <w:tcPr>
            <w:tcW w:w="3742" w:type="dxa"/>
          </w:tcPr>
          <w:p w14:paraId="5F579FAC" w14:textId="77777777" w:rsidR="00565242" w:rsidRDefault="00565242" w:rsidP="00565242">
            <w:pPr>
              <w:pStyle w:val="TableParagraph"/>
            </w:pPr>
            <w:r>
              <w:rPr>
                <w:spacing w:val="-2"/>
              </w:rPr>
              <w:t>0.008109800092</w:t>
            </w:r>
          </w:p>
        </w:tc>
        <w:tc>
          <w:tcPr>
            <w:tcW w:w="3742" w:type="dxa"/>
          </w:tcPr>
          <w:p w14:paraId="3F956E1D" w14:textId="77777777" w:rsidR="00565242" w:rsidRDefault="00565242" w:rsidP="00565242">
            <w:pPr>
              <w:pStyle w:val="TableParagraph"/>
            </w:pPr>
            <w:r>
              <w:rPr>
                <w:spacing w:val="-2"/>
              </w:rPr>
              <w:t>0.</w:t>
            </w:r>
            <w:r w:rsidRPr="00565242">
              <w:rPr>
                <w:sz w:val="20"/>
                <w:szCs w:val="20"/>
              </w:rPr>
              <w:t xml:space="preserve"> </w:t>
            </w:r>
            <w:r w:rsidRPr="00565242">
              <w:rPr>
                <w:spacing w:val="-2"/>
              </w:rPr>
              <w:t>0.01147663223</w:t>
            </w:r>
          </w:p>
        </w:tc>
      </w:tr>
      <w:tr w:rsidR="00565242" w14:paraId="3E897F5F" w14:textId="77777777" w:rsidTr="00565242">
        <w:trPr>
          <w:trHeight w:val="552"/>
        </w:trPr>
        <w:tc>
          <w:tcPr>
            <w:tcW w:w="3742" w:type="dxa"/>
          </w:tcPr>
          <w:p w14:paraId="4DFC604C" w14:textId="77777777" w:rsidR="00565242" w:rsidRDefault="00565242" w:rsidP="00565242">
            <w:pPr>
              <w:pStyle w:val="TableParagraph"/>
              <w:spacing w:before="106"/>
            </w:pPr>
            <w:r>
              <w:t>Annualized</w:t>
            </w:r>
            <w:r>
              <w:rPr>
                <w:spacing w:val="-10"/>
              </w:rPr>
              <w:t xml:space="preserve"> </w:t>
            </w:r>
            <w:r>
              <w:t>Portfolio</w:t>
            </w:r>
            <w:r>
              <w:rPr>
                <w:spacing w:val="-9"/>
              </w:rPr>
              <w:t xml:space="preserve"> </w:t>
            </w:r>
            <w:r>
              <w:rPr>
                <w:spacing w:val="-4"/>
              </w:rPr>
              <w:t>Risk</w:t>
            </w:r>
          </w:p>
        </w:tc>
        <w:tc>
          <w:tcPr>
            <w:tcW w:w="3742" w:type="dxa"/>
          </w:tcPr>
          <w:p w14:paraId="6607216B" w14:textId="77777777" w:rsidR="00565242" w:rsidRDefault="00565242" w:rsidP="00565242">
            <w:pPr>
              <w:pStyle w:val="TableParagraph"/>
              <w:spacing w:before="106"/>
            </w:pPr>
            <w:r w:rsidRPr="00565242">
              <w:rPr>
                <w:spacing w:val="-2"/>
              </w:rPr>
              <w:t>0.1287395747</w:t>
            </w:r>
          </w:p>
        </w:tc>
        <w:tc>
          <w:tcPr>
            <w:tcW w:w="3742" w:type="dxa"/>
          </w:tcPr>
          <w:p w14:paraId="3A99EF98" w14:textId="77777777" w:rsidR="00565242" w:rsidRDefault="00565242" w:rsidP="00565242">
            <w:pPr>
              <w:pStyle w:val="TableParagraph"/>
              <w:spacing w:before="106"/>
            </w:pPr>
            <w:r w:rsidRPr="00565242">
              <w:rPr>
                <w:spacing w:val="-2"/>
              </w:rPr>
              <w:t>0.05383017669</w:t>
            </w:r>
          </w:p>
        </w:tc>
      </w:tr>
      <w:tr w:rsidR="00565242" w14:paraId="567D20A9" w14:textId="77777777" w:rsidTr="00565242">
        <w:trPr>
          <w:trHeight w:val="552"/>
        </w:trPr>
        <w:tc>
          <w:tcPr>
            <w:tcW w:w="3742" w:type="dxa"/>
          </w:tcPr>
          <w:p w14:paraId="3BE84198" w14:textId="77777777" w:rsidR="00565242" w:rsidRDefault="00565242" w:rsidP="00565242">
            <w:pPr>
              <w:pStyle w:val="TableParagraph"/>
              <w:spacing w:before="104"/>
            </w:pPr>
            <w:r>
              <w:t>Sharpe</w:t>
            </w:r>
            <w:r>
              <w:rPr>
                <w:spacing w:val="-8"/>
              </w:rPr>
              <w:t xml:space="preserve"> </w:t>
            </w:r>
            <w:r>
              <w:rPr>
                <w:spacing w:val="-2"/>
              </w:rPr>
              <w:t>Ratio</w:t>
            </w:r>
          </w:p>
        </w:tc>
        <w:tc>
          <w:tcPr>
            <w:tcW w:w="3742" w:type="dxa"/>
          </w:tcPr>
          <w:p w14:paraId="58293524" w14:textId="77777777" w:rsidR="00565242" w:rsidRDefault="00565242" w:rsidP="00565242">
            <w:pPr>
              <w:pStyle w:val="TableParagraph"/>
              <w:spacing w:before="104"/>
            </w:pPr>
            <w:r w:rsidRPr="00565242">
              <w:rPr>
                <w:spacing w:val="-2"/>
              </w:rPr>
              <w:t>1.406452713</w:t>
            </w:r>
          </w:p>
        </w:tc>
        <w:tc>
          <w:tcPr>
            <w:tcW w:w="3742" w:type="dxa"/>
          </w:tcPr>
          <w:p w14:paraId="3FE88683" w14:textId="77777777" w:rsidR="00565242" w:rsidRDefault="00565242" w:rsidP="00565242">
            <w:pPr>
              <w:pStyle w:val="TableParagraph"/>
              <w:spacing w:before="104"/>
            </w:pPr>
            <w:r w:rsidRPr="00565242">
              <w:t>-2.215156929</w:t>
            </w:r>
          </w:p>
        </w:tc>
      </w:tr>
    </w:tbl>
    <w:p w14:paraId="383FA4B8" w14:textId="77777777" w:rsidR="004B3003" w:rsidRDefault="004B3003">
      <w:pPr>
        <w:pStyle w:val="BodyText"/>
        <w:spacing w:before="7"/>
      </w:pPr>
    </w:p>
    <w:p w14:paraId="777D52B0" w14:textId="18171798" w:rsidR="004B3003" w:rsidRDefault="00565242">
      <w:pPr>
        <w:pStyle w:val="BodyText"/>
        <w:sectPr w:rsidR="004B3003" w:rsidSect="00565242">
          <w:pgSz w:w="12240" w:h="15840"/>
          <w:pgMar w:top="1361" w:right="1077" w:bottom="278" w:left="1440" w:header="720" w:footer="720" w:gutter="0"/>
          <w:cols w:space="720"/>
        </w:sectPr>
      </w:pPr>
      <w:r>
        <w:t xml:space="preserve"> </w:t>
      </w:r>
      <w:r w:rsidR="00000000">
        <w:t>Optimal</w:t>
      </w:r>
      <w:r w:rsidR="00000000">
        <w:rPr>
          <w:spacing w:val="-7"/>
        </w:rPr>
        <w:t xml:space="preserve"> </w:t>
      </w:r>
      <w:proofErr w:type="spellStart"/>
      <w:r w:rsidR="00000000">
        <w:rPr>
          <w:spacing w:val="-2"/>
        </w:rPr>
        <w:t>weig</w:t>
      </w:r>
      <w:proofErr w:type="spellEnd"/>
    </w:p>
    <w:p w14:paraId="6F169582" w14:textId="77777777" w:rsidR="004B3003" w:rsidRDefault="004B3003">
      <w:pPr>
        <w:pStyle w:val="BodyText"/>
      </w:pPr>
    </w:p>
    <w:p w14:paraId="507281C1" w14:textId="77777777" w:rsidR="004B3003" w:rsidRDefault="004B3003">
      <w:pPr>
        <w:pStyle w:val="BodyText"/>
        <w:spacing w:before="57"/>
      </w:pPr>
    </w:p>
    <w:p w14:paraId="53E8A7BF" w14:textId="77777777" w:rsidR="004B3003" w:rsidRDefault="00000000">
      <w:pPr>
        <w:pStyle w:val="Heading3"/>
      </w:pPr>
      <w:bookmarkStart w:id="8" w:name="Comments_(Optimal_Weighted_Portfolio_–_F"/>
      <w:bookmarkEnd w:id="8"/>
      <w:r>
        <w:t>Comments</w:t>
      </w:r>
      <w:r>
        <w:rPr>
          <w:spacing w:val="-9"/>
        </w:rPr>
        <w:t xml:space="preserve"> </w:t>
      </w:r>
      <w:r>
        <w:t>(Optimal</w:t>
      </w:r>
      <w:r>
        <w:rPr>
          <w:spacing w:val="-7"/>
        </w:rPr>
        <w:t xml:space="preserve"> </w:t>
      </w:r>
      <w:r>
        <w:t>Weighted</w:t>
      </w:r>
      <w:r>
        <w:rPr>
          <w:spacing w:val="-7"/>
        </w:rPr>
        <w:t xml:space="preserve"> </w:t>
      </w:r>
      <w:r>
        <w:t>Portfolio</w:t>
      </w:r>
      <w:r>
        <w:rPr>
          <w:spacing w:val="-7"/>
        </w:rPr>
        <w:t xml:space="preserve"> </w:t>
      </w:r>
      <w:r>
        <w:t>–</w:t>
      </w:r>
      <w:r>
        <w:rPr>
          <w:spacing w:val="-7"/>
        </w:rPr>
        <w:t xml:space="preserve"> </w:t>
      </w:r>
      <w:r>
        <w:t>Full</w:t>
      </w:r>
      <w:r>
        <w:rPr>
          <w:spacing w:val="-7"/>
        </w:rPr>
        <w:t xml:space="preserve"> </w:t>
      </w:r>
      <w:r>
        <w:rPr>
          <w:spacing w:val="-2"/>
        </w:rPr>
        <w:t>Year)</w:t>
      </w:r>
    </w:p>
    <w:p w14:paraId="3CA0C4EC" w14:textId="77777777" w:rsidR="00565242" w:rsidRDefault="00565242" w:rsidP="00565242">
      <w:pPr>
        <w:pStyle w:val="BodyText"/>
        <w:spacing w:before="27"/>
      </w:pPr>
      <w:r>
        <w:t>The optimal weighted portfolio achieved an impressive annual return of 0.4034, indicating strong and consistent performance over the entire period from April 1, 2024, to March 31, 2025. This confirms the effectiveness of optimizing portfolio weights using Excel’s Solver to maximize risk-adjusted returns.</w:t>
      </w:r>
    </w:p>
    <w:p w14:paraId="7EAF59A9" w14:textId="77777777" w:rsidR="00565242" w:rsidRDefault="00565242" w:rsidP="00565242">
      <w:pPr>
        <w:pStyle w:val="BodyText"/>
        <w:spacing w:before="27"/>
      </w:pPr>
    </w:p>
    <w:p w14:paraId="280FB6FC" w14:textId="77777777" w:rsidR="00565242" w:rsidRDefault="00565242" w:rsidP="00565242">
      <w:pPr>
        <w:pStyle w:val="BodyText"/>
        <w:spacing w:before="27"/>
      </w:pPr>
      <w:r>
        <w:t>The portfolio variance stands at 0.0001614, reflecting a moderate level of return dispersion. This variance suggests that while the portfolio was exposed to some volatility, it remained within controlled boundaries due to well-balanced weight distribution.</w:t>
      </w:r>
    </w:p>
    <w:p w14:paraId="7DEBAE7F" w14:textId="77777777" w:rsidR="00565242" w:rsidRDefault="00565242" w:rsidP="00565242">
      <w:pPr>
        <w:pStyle w:val="BodyText"/>
        <w:spacing w:before="27"/>
      </w:pPr>
    </w:p>
    <w:p w14:paraId="55922CE1" w14:textId="77777777" w:rsidR="00565242" w:rsidRDefault="00565242" w:rsidP="00565242">
      <w:pPr>
        <w:pStyle w:val="BodyText"/>
        <w:spacing w:before="27"/>
      </w:pPr>
      <w:r>
        <w:t>The daily portfolio risk (standard deviation) is 0.0127, and the annualized risk is calculated at 0.2017, providing investors with a realistic view of the expected fluctuations in portfolio returns across the year.</w:t>
      </w:r>
    </w:p>
    <w:p w14:paraId="63D09F8F" w14:textId="77777777" w:rsidR="00565242" w:rsidRDefault="00565242" w:rsidP="00565242">
      <w:pPr>
        <w:pStyle w:val="BodyText"/>
        <w:spacing w:before="27"/>
      </w:pPr>
    </w:p>
    <w:p w14:paraId="55861966" w14:textId="77777777" w:rsidR="00565242" w:rsidRDefault="00565242" w:rsidP="00565242">
      <w:pPr>
        <w:pStyle w:val="BodyText"/>
        <w:spacing w:before="27"/>
      </w:pPr>
      <w:r>
        <w:t>The Sharpe Ratio for the optimized portfolio is 1.6529, a strong indicator of efficient risk-adjusted performance. A Sharpe Ratio above 1.5 is generally considered excellent, meaning the portfolio is delivering a significantly higher return per unit of risk compared to the risk-free rate of 7%.</w:t>
      </w:r>
    </w:p>
    <w:p w14:paraId="14893FD7" w14:textId="77777777" w:rsidR="00565242" w:rsidRDefault="00565242" w:rsidP="00565242">
      <w:pPr>
        <w:pStyle w:val="BodyText"/>
        <w:spacing w:before="27"/>
      </w:pPr>
    </w:p>
    <w:p w14:paraId="1B875B85" w14:textId="7062D027" w:rsidR="004B3003" w:rsidRDefault="00565242" w:rsidP="00565242">
      <w:pPr>
        <w:pStyle w:val="BodyText"/>
        <w:spacing w:before="27"/>
      </w:pPr>
      <w:r>
        <w:t>This portfolio reflects a strategically sound allocation, with heavier weights on higher-return assets like Bharti Airtel (67.9%) and Eicher Motors (32.1%), while excluding underperformers like Axis Bank and Apollo Hospitals altogether. This targeted allocation maximized reward while keeping volatility in check.</w:t>
      </w:r>
    </w:p>
    <w:p w14:paraId="1BDE70A5" w14:textId="77777777" w:rsidR="00565242" w:rsidRDefault="00565242" w:rsidP="00565242">
      <w:pPr>
        <w:pStyle w:val="BodyText"/>
        <w:spacing w:before="27"/>
      </w:pPr>
    </w:p>
    <w:p w14:paraId="30B4FDFC" w14:textId="77777777" w:rsidR="00565242" w:rsidRDefault="00565242" w:rsidP="00565242">
      <w:pPr>
        <w:pStyle w:val="BodyText"/>
        <w:spacing w:before="27"/>
      </w:pPr>
    </w:p>
    <w:p w14:paraId="1C0FDF69" w14:textId="77777777" w:rsidR="00565242" w:rsidRDefault="00565242" w:rsidP="00565242">
      <w:pPr>
        <w:pStyle w:val="BodyText"/>
        <w:spacing w:before="27"/>
      </w:pPr>
    </w:p>
    <w:p w14:paraId="32CEBAE9" w14:textId="77777777" w:rsidR="004B3003" w:rsidRDefault="00000000">
      <w:pPr>
        <w:pStyle w:val="Heading3"/>
      </w:pPr>
      <w:bookmarkStart w:id="9" w:name="Comments_(Backtesting_–_Optimal_Weights,"/>
      <w:bookmarkEnd w:id="9"/>
      <w:r>
        <w:t>Comments</w:t>
      </w:r>
      <w:r>
        <w:rPr>
          <w:spacing w:val="-10"/>
        </w:rPr>
        <w:t xml:space="preserve"> </w:t>
      </w:r>
      <w:r>
        <w:t>(</w:t>
      </w:r>
      <w:proofErr w:type="spellStart"/>
      <w:r>
        <w:t>Backtesting</w:t>
      </w:r>
      <w:proofErr w:type="spellEnd"/>
      <w:r>
        <w:rPr>
          <w:spacing w:val="-7"/>
        </w:rPr>
        <w:t xml:space="preserve"> </w:t>
      </w:r>
      <w:r>
        <w:t>–</w:t>
      </w:r>
      <w:r>
        <w:rPr>
          <w:spacing w:val="-7"/>
        </w:rPr>
        <w:t xml:space="preserve"> </w:t>
      </w:r>
      <w:r>
        <w:t>Optimal</w:t>
      </w:r>
      <w:r>
        <w:rPr>
          <w:spacing w:val="-7"/>
        </w:rPr>
        <w:t xml:space="preserve"> </w:t>
      </w:r>
      <w:r>
        <w:t>Weights,</w:t>
      </w:r>
      <w:r>
        <w:rPr>
          <w:spacing w:val="-7"/>
        </w:rPr>
        <w:t xml:space="preserve"> </w:t>
      </w:r>
      <w:r>
        <w:t>May</w:t>
      </w:r>
      <w:r>
        <w:rPr>
          <w:spacing w:val="-7"/>
        </w:rPr>
        <w:t xml:space="preserve"> </w:t>
      </w:r>
      <w:r>
        <w:rPr>
          <w:spacing w:val="-2"/>
        </w:rPr>
        <w:t>2025)</w:t>
      </w:r>
    </w:p>
    <w:p w14:paraId="042132ED" w14:textId="37F4773F" w:rsidR="00565242" w:rsidRDefault="00565242" w:rsidP="00565242">
      <w:pPr>
        <w:spacing w:before="285" w:line="276" w:lineRule="auto"/>
      </w:pPr>
      <w:r>
        <w:t xml:space="preserve">The </w:t>
      </w:r>
      <w:proofErr w:type="spellStart"/>
      <w:r>
        <w:t>backtesting</w:t>
      </w:r>
      <w:proofErr w:type="spellEnd"/>
      <w:r>
        <w:t xml:space="preserve"> of the Solver-optimized portfolio for May 2025 yielded disappointing results, with a negative return of -0.0492, despite the application of weights aimed at maximizing the Sharpe Ratio. This underperformance reveals a mismatch between the optimized weights (based on historical full-year data) and the market realities during the </w:t>
      </w:r>
      <w:proofErr w:type="spellStart"/>
      <w:r>
        <w:t>backtesting</w:t>
      </w:r>
      <w:proofErr w:type="spellEnd"/>
      <w:r>
        <w:t xml:space="preserve"> period.</w:t>
      </w:r>
    </w:p>
    <w:p w14:paraId="2FFF2AC5" w14:textId="388F6F2C" w:rsidR="00565242" w:rsidRDefault="00565242" w:rsidP="00565242">
      <w:pPr>
        <w:spacing w:before="285" w:line="276" w:lineRule="auto"/>
      </w:pPr>
      <w:r>
        <w:t>The portfolio variance during May stood at 0.00013713, indicating a moderate spread in daily returns. The associated portfolio risk (standard deviation) was 0.0117, and the annualized risk came in at 0.0538, reflecting relatively low volatility.</w:t>
      </w:r>
    </w:p>
    <w:p w14:paraId="2637DB08" w14:textId="71A8C92B" w:rsidR="00565242" w:rsidRDefault="00565242" w:rsidP="00565242">
      <w:pPr>
        <w:spacing w:before="285" w:line="276" w:lineRule="auto"/>
      </w:pPr>
      <w:r>
        <w:t>However, the Sharpe Ratio of -2.2151 is significantly below acceptable thresholds, and firmly in the negative. This means the portfolio underperformed the 7% risk-free rate by a substantial margin, per unit of risk taken. A negative Sharpe Ratio implies that investors would have been better off holding risk-free assets than maintaining this particular portfolio allocation.</w:t>
      </w:r>
    </w:p>
    <w:p w14:paraId="47DA81AC" w14:textId="77777777" w:rsidR="00565242" w:rsidRDefault="00565242" w:rsidP="00565242">
      <w:pPr>
        <w:spacing w:before="285" w:line="276" w:lineRule="auto"/>
      </w:pPr>
      <w:r>
        <w:t>Why Did the Portfolio Underperform?</w:t>
      </w:r>
    </w:p>
    <w:p w14:paraId="2C3DE6E4" w14:textId="733A5CD2" w:rsidR="00565242" w:rsidRDefault="00565242" w:rsidP="00565242">
      <w:pPr>
        <w:spacing w:before="285" w:line="276" w:lineRule="auto"/>
      </w:pPr>
      <w:r>
        <w:t>The poor results stem primarily from:</w:t>
      </w:r>
    </w:p>
    <w:p w14:paraId="7B328A38" w14:textId="2107DB34" w:rsidR="00565242" w:rsidRDefault="00565242" w:rsidP="00565242">
      <w:pPr>
        <w:spacing w:before="285" w:line="276" w:lineRule="auto"/>
      </w:pPr>
      <w:r>
        <w:t xml:space="preserve">Heavy exposure to Eicher Motors, which had a negative annualized return of -21.6% during the </w:t>
      </w:r>
      <w:proofErr w:type="spellStart"/>
      <w:r>
        <w:t>backtesting</w:t>
      </w:r>
      <w:proofErr w:type="spellEnd"/>
      <w:r>
        <w:t xml:space="preserve"> period.</w:t>
      </w:r>
    </w:p>
    <w:p w14:paraId="1CBD384D" w14:textId="4571178E" w:rsidR="00565242" w:rsidRDefault="00565242" w:rsidP="00565242">
      <w:pPr>
        <w:spacing w:before="285" w:line="276" w:lineRule="auto"/>
      </w:pPr>
      <w:r>
        <w:t xml:space="preserve">Complete exclusion of Bharti Airtel, the top-performing stock in other portfolio configurations, </w:t>
      </w:r>
      <w:r>
        <w:lastRenderedPageBreak/>
        <w:t>removed a key return driver.</w:t>
      </w:r>
    </w:p>
    <w:p w14:paraId="169B51AF" w14:textId="1EA18F3C" w:rsidR="00565242" w:rsidRDefault="00565242" w:rsidP="00565242">
      <w:pPr>
        <w:spacing w:before="285" w:line="276" w:lineRule="auto"/>
      </w:pPr>
      <w:r>
        <w:t>Minimal contribution from Axis Bank and Apollo Hospitals, which also delivered weak or inconsistent performance in May 2025.</w:t>
      </w:r>
    </w:p>
    <w:p w14:paraId="1D0029C8" w14:textId="3700B2CF" w:rsidR="00565242" w:rsidRDefault="00565242" w:rsidP="00565242">
      <w:pPr>
        <w:spacing w:before="285" w:line="276" w:lineRule="auto"/>
      </w:pPr>
      <w:r>
        <w:t>In effect, the optimized portfolio overweighted declining or stagnant assets, while missing out on outperformers, resulting in both negative returns and inefficiency.</w:t>
      </w:r>
    </w:p>
    <w:p w14:paraId="2A4F8E5C" w14:textId="77777777" w:rsidR="00565242" w:rsidRDefault="00565242" w:rsidP="00565242">
      <w:pPr>
        <w:spacing w:before="285" w:line="276" w:lineRule="auto"/>
      </w:pPr>
      <w:r>
        <w:t>Conclusion</w:t>
      </w:r>
    </w:p>
    <w:p w14:paraId="4EA44C9D" w14:textId="30D88A03" w:rsidR="00565242" w:rsidRDefault="00565242" w:rsidP="00565242">
      <w:pPr>
        <w:spacing w:before="285" w:line="276" w:lineRule="auto"/>
      </w:pPr>
      <w:r>
        <w:t xml:space="preserve">Although the portfolio was mathematically optimized for the highest Sharpe Ratio using historical data, the </w:t>
      </w:r>
      <w:proofErr w:type="spellStart"/>
      <w:r>
        <w:t>backtesting</w:t>
      </w:r>
      <w:proofErr w:type="spellEnd"/>
      <w:r>
        <w:t xml:space="preserve"> results reveal that such an allocation did not translate well to short-term performance in May 2025.</w:t>
      </w:r>
    </w:p>
    <w:p w14:paraId="101C09C4" w14:textId="77777777" w:rsidR="00565242" w:rsidRDefault="00565242" w:rsidP="00565242">
      <w:pPr>
        <w:spacing w:before="285" w:line="276" w:lineRule="auto"/>
      </w:pPr>
      <w:r>
        <w:t>Key observations:</w:t>
      </w:r>
    </w:p>
    <w:p w14:paraId="47EE9DF1" w14:textId="46F67A0A" w:rsidR="00565242" w:rsidRDefault="00565242" w:rsidP="00565242">
      <w:pPr>
        <w:spacing w:before="285" w:line="276" w:lineRule="auto"/>
      </w:pPr>
      <w:r>
        <w:t xml:space="preserve"> Portfolio return: -4.92%</w:t>
      </w:r>
    </w:p>
    <w:p w14:paraId="09FC950B" w14:textId="78B49C09" w:rsidR="00565242" w:rsidRDefault="00565242" w:rsidP="00565242">
      <w:pPr>
        <w:spacing w:before="285" w:line="276" w:lineRule="auto"/>
      </w:pPr>
      <w:r>
        <w:t>Sharpe Ratio: -2.215 → strongly underperforming</w:t>
      </w:r>
    </w:p>
    <w:p w14:paraId="0E55D4B1" w14:textId="201AA24C" w:rsidR="00565242" w:rsidRDefault="00565242" w:rsidP="00565242">
      <w:pPr>
        <w:spacing w:before="285" w:line="276" w:lineRule="auto"/>
      </w:pPr>
      <w:r>
        <w:t xml:space="preserve"> Risk: Low (0.0538), but returns were too negative to justify it</w:t>
      </w:r>
    </w:p>
    <w:p w14:paraId="74BBE34C" w14:textId="7E33749F" w:rsidR="004B3003" w:rsidRDefault="00565242" w:rsidP="00565242">
      <w:pPr>
        <w:spacing w:before="285" w:line="276" w:lineRule="auto"/>
      </w:pPr>
      <w:r>
        <w:t xml:space="preserve">This outcome underscores an important lesson: Solver-based optimization is highly sensitive to input data and may not always hold in out-of-sample testing. Relying solely on past performance can result in overfitting and poor real-world results if recent market dynamics </w:t>
      </w:r>
      <w:proofErr w:type="spellStart"/>
      <w:r>
        <w:t>shift.This</w:t>
      </w:r>
      <w:proofErr w:type="spellEnd"/>
      <w:r>
        <w:t xml:space="preserve"> version of the portfolio, though mathematically sound in full-year analysis, fails the </w:t>
      </w:r>
      <w:proofErr w:type="spellStart"/>
      <w:r>
        <w:t>backtesting</w:t>
      </w:r>
      <w:proofErr w:type="spellEnd"/>
      <w:r>
        <w:t xml:space="preserve"> test and would not be recommended for risk-conscious investors during volatile or dynamic market periods.</w:t>
      </w:r>
    </w:p>
    <w:p w14:paraId="670BC41B" w14:textId="77777777" w:rsidR="004B3003" w:rsidRDefault="004B3003">
      <w:pPr>
        <w:spacing w:line="276" w:lineRule="auto"/>
        <w:sectPr w:rsidR="004B3003">
          <w:pgSz w:w="12240" w:h="15840"/>
          <w:pgMar w:top="1360" w:right="1080" w:bottom="280" w:left="1440" w:header="720" w:footer="720" w:gutter="0"/>
          <w:cols w:space="720"/>
        </w:sectPr>
      </w:pPr>
    </w:p>
    <w:p w14:paraId="496F366B" w14:textId="77777777" w:rsidR="004B3003" w:rsidRDefault="00000000">
      <w:pPr>
        <w:pStyle w:val="ListParagraph"/>
        <w:numPr>
          <w:ilvl w:val="0"/>
          <w:numId w:val="2"/>
        </w:numPr>
        <w:tabs>
          <w:tab w:val="left" w:pos="366"/>
        </w:tabs>
        <w:spacing w:before="80"/>
        <w:ind w:left="366" w:hanging="366"/>
        <w:rPr>
          <w:b/>
          <w:sz w:val="30"/>
        </w:rPr>
      </w:pPr>
      <w:r>
        <w:rPr>
          <w:b/>
          <w:spacing w:val="-2"/>
          <w:sz w:val="30"/>
        </w:rPr>
        <w:lastRenderedPageBreak/>
        <w:t>Indices</w:t>
      </w:r>
    </w:p>
    <w:p w14:paraId="4A879551" w14:textId="77777777" w:rsidR="004B3003" w:rsidRDefault="00000000">
      <w:pPr>
        <w:pStyle w:val="Heading2"/>
        <w:spacing w:before="291" w:line="456" w:lineRule="auto"/>
        <w:ind w:right="4783"/>
        <w:rPr>
          <w:u w:val="none"/>
        </w:rPr>
      </w:pPr>
      <w:r>
        <w:t>The</w:t>
      </w:r>
      <w:r>
        <w:rPr>
          <w:spacing w:val="-20"/>
        </w:rPr>
        <w:t xml:space="preserve"> </w:t>
      </w:r>
      <w:r>
        <w:t>Equal-Weighted</w:t>
      </w:r>
      <w:r>
        <w:rPr>
          <w:spacing w:val="-19"/>
        </w:rPr>
        <w:t xml:space="preserve"> </w:t>
      </w:r>
      <w:r>
        <w:t>Analysis</w:t>
      </w:r>
      <w:r>
        <w:rPr>
          <w:u w:val="none"/>
        </w:rPr>
        <w:t xml:space="preserve"> </w:t>
      </w:r>
      <w:r>
        <w:rPr>
          <w:spacing w:val="-2"/>
          <w:u w:val="none"/>
        </w:rPr>
        <w:t>Method:</w:t>
      </w:r>
    </w:p>
    <w:p w14:paraId="4B6E5BEC" w14:textId="77777777" w:rsidR="00565242" w:rsidRDefault="00565242" w:rsidP="00565242">
      <w:pPr>
        <w:pStyle w:val="BodyText"/>
      </w:pPr>
      <w:r>
        <w:t>The equal-weighted portfolio comprising Nifty Momentum 50, Nifty 50, Nifty Pharma, and Nifty Low Volatility 50 delivered an annual return of 7.61% during the analysis period from April 1st, 2024 to March 31st, 2025. While not extraordinary, this reflects a stable and positive performance across diversified index categories.</w:t>
      </w:r>
    </w:p>
    <w:p w14:paraId="63C94FF0" w14:textId="77777777" w:rsidR="00565242" w:rsidRDefault="00565242" w:rsidP="00565242">
      <w:pPr>
        <w:pStyle w:val="BodyText"/>
      </w:pPr>
    </w:p>
    <w:p w14:paraId="3D0C96E9" w14:textId="77777777" w:rsidR="00565242" w:rsidRDefault="00565242" w:rsidP="00565242">
      <w:pPr>
        <w:pStyle w:val="BodyText"/>
      </w:pPr>
      <w:r>
        <w:t>The portfolio's variance was calculated at 0.0000573, indicating very low day-to-day fluctuation in returns. The corresponding portfolio risk (standard deviation) is 0.00757, which annualizes to a portfolio risk of 0.1202 (or ~12%). This low-risk level is consistent with passive index-based investment strategies, which aim to capture steady market trends with minimal volatility.</w:t>
      </w:r>
    </w:p>
    <w:p w14:paraId="270631A0" w14:textId="77777777" w:rsidR="00565242" w:rsidRDefault="00565242" w:rsidP="00565242">
      <w:pPr>
        <w:pStyle w:val="BodyText"/>
      </w:pPr>
    </w:p>
    <w:p w14:paraId="33AA9DD1" w14:textId="77777777" w:rsidR="00565242" w:rsidRDefault="00565242" w:rsidP="00565242">
      <w:pPr>
        <w:pStyle w:val="BodyText"/>
      </w:pPr>
      <w:r>
        <w:t>The Sharpe Ratio stands at 0.0509, which is very low by typical portfolio standards. While the portfolio achieved a positive return, the excess return above the risk-free rate (assumed at 7%) was minimal. This indicates that the portfolio barely compensated investors for the risk undertaken.</w:t>
      </w:r>
    </w:p>
    <w:p w14:paraId="33753AD6" w14:textId="77777777" w:rsidR="00565242" w:rsidRDefault="00565242" w:rsidP="00565242">
      <w:pPr>
        <w:pStyle w:val="BodyText"/>
      </w:pPr>
    </w:p>
    <w:p w14:paraId="335EEA67" w14:textId="77777777" w:rsidR="00565242" w:rsidRDefault="00565242" w:rsidP="00565242">
      <w:pPr>
        <w:pStyle w:val="BodyText"/>
      </w:pPr>
      <w:r>
        <w:t>Why Was the Sharpe Ratio So Low?</w:t>
      </w:r>
    </w:p>
    <w:p w14:paraId="5B532FE8" w14:textId="77777777" w:rsidR="00565242" w:rsidRDefault="00565242" w:rsidP="00565242">
      <w:pPr>
        <w:pStyle w:val="BodyText"/>
      </w:pPr>
      <w:r>
        <w:t>Despite moderate positive returns from indices like:</w:t>
      </w:r>
    </w:p>
    <w:p w14:paraId="2161C3DB" w14:textId="77777777" w:rsidR="00565242" w:rsidRDefault="00565242" w:rsidP="00565242">
      <w:pPr>
        <w:pStyle w:val="BodyText"/>
      </w:pPr>
    </w:p>
    <w:p w14:paraId="3EA3639A" w14:textId="77777777" w:rsidR="00565242" w:rsidRDefault="00565242" w:rsidP="00565242">
      <w:pPr>
        <w:pStyle w:val="BodyText"/>
      </w:pPr>
      <w:r>
        <w:t>Nifty Momentum 50 (8.93% annually)</w:t>
      </w:r>
    </w:p>
    <w:p w14:paraId="1D30E9E2" w14:textId="77777777" w:rsidR="00565242" w:rsidRDefault="00565242" w:rsidP="00565242">
      <w:pPr>
        <w:pStyle w:val="BodyText"/>
      </w:pPr>
    </w:p>
    <w:p w14:paraId="78893BE5" w14:textId="77777777" w:rsidR="00565242" w:rsidRDefault="00565242" w:rsidP="00565242">
      <w:pPr>
        <w:pStyle w:val="BodyText"/>
      </w:pPr>
      <w:r>
        <w:t>Nifty Pharma (10.09%)</w:t>
      </w:r>
    </w:p>
    <w:p w14:paraId="43CBB441" w14:textId="77777777" w:rsidR="00565242" w:rsidRDefault="00565242" w:rsidP="00565242">
      <w:pPr>
        <w:pStyle w:val="BodyText"/>
      </w:pPr>
    </w:p>
    <w:p w14:paraId="78CF0963" w14:textId="77777777" w:rsidR="00565242" w:rsidRDefault="00565242" w:rsidP="00565242">
      <w:pPr>
        <w:pStyle w:val="BodyText"/>
      </w:pPr>
      <w:r>
        <w:t>Nifty Low Volatility 50 (8.69%)</w:t>
      </w:r>
    </w:p>
    <w:p w14:paraId="39A80AC2" w14:textId="77777777" w:rsidR="00565242" w:rsidRDefault="00565242" w:rsidP="00565242">
      <w:pPr>
        <w:pStyle w:val="BodyText"/>
      </w:pPr>
    </w:p>
    <w:p w14:paraId="7EB18E9D" w14:textId="77777777" w:rsidR="00565242" w:rsidRDefault="00565242" w:rsidP="00565242">
      <w:pPr>
        <w:pStyle w:val="BodyText"/>
      </w:pPr>
      <w:r>
        <w:t>The Sharpe Ratio remained suppressed due to the following:</w:t>
      </w:r>
    </w:p>
    <w:p w14:paraId="7CB90A94" w14:textId="77777777" w:rsidR="00565242" w:rsidRDefault="00565242" w:rsidP="00565242">
      <w:pPr>
        <w:pStyle w:val="BodyText"/>
      </w:pPr>
    </w:p>
    <w:p w14:paraId="61D7BF2F" w14:textId="77777777" w:rsidR="00565242" w:rsidRDefault="00565242" w:rsidP="00565242">
      <w:pPr>
        <w:pStyle w:val="BodyText"/>
      </w:pPr>
      <w:r>
        <w:t>Low return from Nifty 50 (just 4.73%), which reduced the average portfolio return.</w:t>
      </w:r>
    </w:p>
    <w:p w14:paraId="2CCE4BD0" w14:textId="77777777" w:rsidR="00565242" w:rsidRDefault="00565242" w:rsidP="00565242">
      <w:pPr>
        <w:pStyle w:val="BodyText"/>
      </w:pPr>
    </w:p>
    <w:p w14:paraId="013F26F5" w14:textId="77777777" w:rsidR="00565242" w:rsidRDefault="00565242" w:rsidP="00565242">
      <w:pPr>
        <w:pStyle w:val="BodyText"/>
      </w:pPr>
      <w:r>
        <w:t>The overall portfolio return was only marginally higher than the risk-free rate, leaving little room for excess reward per unit of risk.</w:t>
      </w:r>
    </w:p>
    <w:p w14:paraId="6EC647EA" w14:textId="77777777" w:rsidR="00565242" w:rsidRDefault="00565242" w:rsidP="00565242">
      <w:pPr>
        <w:pStyle w:val="BodyText"/>
      </w:pPr>
    </w:p>
    <w:p w14:paraId="47C1BDB7" w14:textId="77777777" w:rsidR="00565242" w:rsidRDefault="00565242" w:rsidP="00565242">
      <w:pPr>
        <w:pStyle w:val="BodyText"/>
      </w:pPr>
      <w:r>
        <w:t>This is typical for broad-based, low-volatility portfolios, where safety and diversification often come at the cost of alpha generation.</w:t>
      </w:r>
    </w:p>
    <w:p w14:paraId="6E97F576" w14:textId="77777777" w:rsidR="00565242" w:rsidRDefault="00565242" w:rsidP="00565242">
      <w:pPr>
        <w:pStyle w:val="BodyText"/>
      </w:pPr>
    </w:p>
    <w:p w14:paraId="56B0A3DB" w14:textId="77777777" w:rsidR="00565242" w:rsidRDefault="00565242" w:rsidP="00565242">
      <w:pPr>
        <w:pStyle w:val="BodyText"/>
      </w:pPr>
      <w:r>
        <w:t>Conclusion</w:t>
      </w:r>
    </w:p>
    <w:p w14:paraId="518AE94A" w14:textId="77777777" w:rsidR="00565242" w:rsidRDefault="00565242" w:rsidP="00565242">
      <w:pPr>
        <w:pStyle w:val="BodyText"/>
      </w:pPr>
      <w:r>
        <w:t>With:</w:t>
      </w:r>
    </w:p>
    <w:p w14:paraId="5924A8D4" w14:textId="77777777" w:rsidR="00565242" w:rsidRDefault="00565242" w:rsidP="00565242">
      <w:pPr>
        <w:pStyle w:val="BodyText"/>
      </w:pPr>
    </w:p>
    <w:p w14:paraId="6E6DAAE6" w14:textId="77777777" w:rsidR="00565242" w:rsidRDefault="00565242" w:rsidP="00565242">
      <w:pPr>
        <w:pStyle w:val="BodyText"/>
      </w:pPr>
      <w:r>
        <w:t>A modest annual return of 7.61%</w:t>
      </w:r>
    </w:p>
    <w:p w14:paraId="00422A40" w14:textId="77777777" w:rsidR="00565242" w:rsidRDefault="00565242" w:rsidP="00565242">
      <w:pPr>
        <w:pStyle w:val="BodyText"/>
      </w:pPr>
    </w:p>
    <w:p w14:paraId="055B93EC" w14:textId="77777777" w:rsidR="00565242" w:rsidRDefault="00565242" w:rsidP="00565242">
      <w:pPr>
        <w:pStyle w:val="BodyText"/>
      </w:pPr>
      <w:r>
        <w:t>Annualized risk of 12.01%</w:t>
      </w:r>
    </w:p>
    <w:p w14:paraId="254680D5" w14:textId="77777777" w:rsidR="00565242" w:rsidRDefault="00565242" w:rsidP="00565242">
      <w:pPr>
        <w:pStyle w:val="BodyText"/>
      </w:pPr>
    </w:p>
    <w:p w14:paraId="5663D522" w14:textId="14259D5D" w:rsidR="00565242" w:rsidRDefault="00565242" w:rsidP="00565242">
      <w:pPr>
        <w:pStyle w:val="BodyText"/>
      </w:pPr>
      <w:r>
        <w:t>A Sharpe Ratio of 0.0509</w:t>
      </w:r>
      <w:r>
        <w:t xml:space="preserve"> </w:t>
      </w:r>
      <w:r>
        <w:t>the equal-weighted portfolio across these four indices demonstrates a conservative and stable performance profile. It is suitable for investors seeking:</w:t>
      </w:r>
    </w:p>
    <w:p w14:paraId="0FB4FEA1" w14:textId="77777777" w:rsidR="00565242" w:rsidRDefault="00565242" w:rsidP="00565242">
      <w:pPr>
        <w:pStyle w:val="BodyText"/>
      </w:pPr>
      <w:r>
        <w:t>Low volatility</w:t>
      </w:r>
    </w:p>
    <w:p w14:paraId="66775F89" w14:textId="77777777" w:rsidR="00565242" w:rsidRDefault="00565242" w:rsidP="00565242">
      <w:pPr>
        <w:pStyle w:val="BodyText"/>
      </w:pPr>
      <w:r>
        <w:t>Broad sector exposure</w:t>
      </w:r>
    </w:p>
    <w:p w14:paraId="66130674" w14:textId="77777777" w:rsidR="00565242" w:rsidRDefault="00565242" w:rsidP="00565242">
      <w:pPr>
        <w:pStyle w:val="BodyText"/>
      </w:pPr>
      <w:r>
        <w:t>And a passive market-linked strategy</w:t>
      </w:r>
    </w:p>
    <w:p w14:paraId="1E44F7D6" w14:textId="219A56D1" w:rsidR="004B3003" w:rsidRDefault="00565242" w:rsidP="00565242">
      <w:pPr>
        <w:pStyle w:val="BodyText"/>
        <w:rPr>
          <w:sz w:val="20"/>
        </w:rPr>
      </w:pPr>
      <w:r>
        <w:t>However, for those seeking higher risk-adjusted returns, this allocation might underperform due to its limited alpha generation and subdued excess returns.</w:t>
      </w:r>
    </w:p>
    <w:p w14:paraId="56E484A3" w14:textId="77777777" w:rsidR="004B3003" w:rsidRDefault="004B3003">
      <w:pPr>
        <w:pStyle w:val="BodyText"/>
        <w:rPr>
          <w:sz w:val="20"/>
        </w:rPr>
      </w:pPr>
    </w:p>
    <w:p w14:paraId="17C14E63" w14:textId="77777777" w:rsidR="004B3003" w:rsidRDefault="004B3003">
      <w:pPr>
        <w:pStyle w:val="BodyText"/>
        <w:spacing w:before="69"/>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4B3003" w14:paraId="2AB41433" w14:textId="77777777">
        <w:trPr>
          <w:trHeight w:val="719"/>
        </w:trPr>
        <w:tc>
          <w:tcPr>
            <w:tcW w:w="3120" w:type="dxa"/>
          </w:tcPr>
          <w:p w14:paraId="6DE8F864" w14:textId="77777777" w:rsidR="004B3003" w:rsidRDefault="00000000">
            <w:pPr>
              <w:pStyle w:val="TableParagraph"/>
              <w:spacing w:before="112"/>
              <w:rPr>
                <w:b/>
              </w:rPr>
            </w:pPr>
            <w:r>
              <w:rPr>
                <w:b/>
                <w:spacing w:val="-2"/>
              </w:rPr>
              <w:t>Calculated</w:t>
            </w:r>
          </w:p>
        </w:tc>
        <w:tc>
          <w:tcPr>
            <w:tcW w:w="3120" w:type="dxa"/>
          </w:tcPr>
          <w:p w14:paraId="1D8DF8A9" w14:textId="77777777" w:rsidR="004B3003" w:rsidRDefault="00000000">
            <w:pPr>
              <w:pStyle w:val="TableParagraph"/>
              <w:spacing w:before="112"/>
              <w:ind w:left="597" w:right="0" w:hanging="245"/>
              <w:jc w:val="left"/>
              <w:rPr>
                <w:b/>
              </w:rPr>
            </w:pPr>
            <w:r>
              <w:rPr>
                <w:b/>
              </w:rPr>
              <w:t>Observations</w:t>
            </w:r>
            <w:r>
              <w:rPr>
                <w:b/>
                <w:spacing w:val="-16"/>
              </w:rPr>
              <w:t xml:space="preserve"> </w:t>
            </w:r>
            <w:r>
              <w:rPr>
                <w:b/>
              </w:rPr>
              <w:t>for</w:t>
            </w:r>
            <w:r>
              <w:rPr>
                <w:b/>
                <w:spacing w:val="-15"/>
              </w:rPr>
              <w:t xml:space="preserve"> </w:t>
            </w:r>
            <w:r>
              <w:rPr>
                <w:b/>
              </w:rPr>
              <w:t>equal weighted portfolio</w:t>
            </w:r>
          </w:p>
        </w:tc>
        <w:tc>
          <w:tcPr>
            <w:tcW w:w="3120" w:type="dxa"/>
          </w:tcPr>
          <w:p w14:paraId="6A892743" w14:textId="77777777" w:rsidR="004B3003" w:rsidRDefault="00000000">
            <w:pPr>
              <w:pStyle w:val="TableParagraph"/>
              <w:spacing w:before="112"/>
              <w:ind w:left="96" w:right="0" w:firstLine="574"/>
              <w:jc w:val="left"/>
              <w:rPr>
                <w:b/>
              </w:rPr>
            </w:pPr>
            <w:r>
              <w:rPr>
                <w:b/>
              </w:rPr>
              <w:t xml:space="preserve">Observations for </w:t>
            </w:r>
            <w:proofErr w:type="spellStart"/>
            <w:r>
              <w:rPr>
                <w:b/>
              </w:rPr>
              <w:t>Backtesting</w:t>
            </w:r>
            <w:proofErr w:type="spellEnd"/>
            <w:r>
              <w:rPr>
                <w:b/>
                <w:spacing w:val="-16"/>
              </w:rPr>
              <w:t xml:space="preserve"> </w:t>
            </w:r>
            <w:r>
              <w:rPr>
                <w:b/>
              </w:rPr>
              <w:t>(equal</w:t>
            </w:r>
            <w:r>
              <w:rPr>
                <w:b/>
                <w:spacing w:val="-15"/>
              </w:rPr>
              <w:t xml:space="preserve"> </w:t>
            </w:r>
            <w:r>
              <w:rPr>
                <w:b/>
              </w:rPr>
              <w:t>weights)</w:t>
            </w:r>
          </w:p>
        </w:tc>
      </w:tr>
      <w:tr w:rsidR="004B3003" w14:paraId="784892F9" w14:textId="77777777">
        <w:trPr>
          <w:trHeight w:val="460"/>
        </w:trPr>
        <w:tc>
          <w:tcPr>
            <w:tcW w:w="3120" w:type="dxa"/>
          </w:tcPr>
          <w:p w14:paraId="5977C0B7" w14:textId="77777777" w:rsidR="004B3003" w:rsidRDefault="00000000">
            <w:pPr>
              <w:pStyle w:val="TableParagraph"/>
              <w:spacing w:before="103"/>
            </w:pPr>
            <w:r>
              <w:t>Portfolio</w:t>
            </w:r>
            <w:r>
              <w:rPr>
                <w:spacing w:val="-9"/>
              </w:rPr>
              <w:t xml:space="preserve"> </w:t>
            </w:r>
            <w:r>
              <w:rPr>
                <w:spacing w:val="-2"/>
              </w:rPr>
              <w:t>Return</w:t>
            </w:r>
          </w:p>
        </w:tc>
        <w:tc>
          <w:tcPr>
            <w:tcW w:w="3120" w:type="dxa"/>
          </w:tcPr>
          <w:p w14:paraId="622924AA" w14:textId="77866A06" w:rsidR="004B3003" w:rsidRDefault="00565242">
            <w:pPr>
              <w:pStyle w:val="TableParagraph"/>
              <w:spacing w:before="103"/>
            </w:pPr>
            <w:r w:rsidRPr="00565242">
              <w:rPr>
                <w:spacing w:val="-2"/>
              </w:rPr>
              <w:t>0.07611370698</w:t>
            </w:r>
          </w:p>
        </w:tc>
        <w:tc>
          <w:tcPr>
            <w:tcW w:w="3120" w:type="dxa"/>
          </w:tcPr>
          <w:p w14:paraId="5F707515" w14:textId="559965FF" w:rsidR="004B3003" w:rsidRDefault="00565242">
            <w:pPr>
              <w:pStyle w:val="TableParagraph"/>
              <w:spacing w:before="103"/>
            </w:pPr>
            <w:r w:rsidRPr="00565242">
              <w:rPr>
                <w:spacing w:val="-2"/>
              </w:rPr>
              <w:t>-0.1418518458</w:t>
            </w:r>
          </w:p>
        </w:tc>
      </w:tr>
      <w:tr w:rsidR="004B3003" w14:paraId="5DABAEB3" w14:textId="77777777">
        <w:trPr>
          <w:trHeight w:val="440"/>
        </w:trPr>
        <w:tc>
          <w:tcPr>
            <w:tcW w:w="3120" w:type="dxa"/>
          </w:tcPr>
          <w:p w14:paraId="133B4D53" w14:textId="77777777" w:rsidR="004B3003" w:rsidRDefault="00000000">
            <w:pPr>
              <w:pStyle w:val="TableParagraph"/>
              <w:spacing w:before="101"/>
            </w:pPr>
            <w:r>
              <w:t>Portfolio</w:t>
            </w:r>
            <w:r>
              <w:rPr>
                <w:spacing w:val="-9"/>
              </w:rPr>
              <w:t xml:space="preserve"> </w:t>
            </w:r>
            <w:r>
              <w:rPr>
                <w:spacing w:val="-2"/>
              </w:rPr>
              <w:t>Variance</w:t>
            </w:r>
          </w:p>
        </w:tc>
        <w:tc>
          <w:tcPr>
            <w:tcW w:w="3120" w:type="dxa"/>
          </w:tcPr>
          <w:p w14:paraId="65122E29" w14:textId="64E967C2" w:rsidR="004B3003" w:rsidRDefault="00565242">
            <w:pPr>
              <w:pStyle w:val="TableParagraph"/>
              <w:spacing w:before="101"/>
            </w:pPr>
            <w:r w:rsidRPr="00565242">
              <w:rPr>
                <w:spacing w:val="-2"/>
              </w:rPr>
              <w:t>0.00005730461502</w:t>
            </w:r>
          </w:p>
        </w:tc>
        <w:tc>
          <w:tcPr>
            <w:tcW w:w="3120" w:type="dxa"/>
          </w:tcPr>
          <w:p w14:paraId="0581BFE7" w14:textId="333422D0" w:rsidR="004B3003" w:rsidRDefault="00565242">
            <w:pPr>
              <w:pStyle w:val="TableParagraph"/>
              <w:spacing w:before="101"/>
            </w:pPr>
            <w:r w:rsidRPr="00565242">
              <w:rPr>
                <w:spacing w:val="-2"/>
              </w:rPr>
              <w:t>0.00004788305656</w:t>
            </w:r>
          </w:p>
        </w:tc>
      </w:tr>
      <w:tr w:rsidR="004B3003" w14:paraId="6E77481C" w14:textId="77777777">
        <w:trPr>
          <w:trHeight w:val="460"/>
        </w:trPr>
        <w:tc>
          <w:tcPr>
            <w:tcW w:w="3120" w:type="dxa"/>
          </w:tcPr>
          <w:p w14:paraId="1E59E232" w14:textId="77777777" w:rsidR="004B3003" w:rsidRDefault="00000000">
            <w:pPr>
              <w:pStyle w:val="TableParagraph"/>
              <w:spacing w:before="119"/>
            </w:pPr>
            <w:r>
              <w:t>Portfolio</w:t>
            </w:r>
            <w:r>
              <w:rPr>
                <w:spacing w:val="-9"/>
              </w:rPr>
              <w:t xml:space="preserve"> </w:t>
            </w:r>
            <w:r>
              <w:rPr>
                <w:spacing w:val="-4"/>
              </w:rPr>
              <w:t>Risk</w:t>
            </w:r>
          </w:p>
        </w:tc>
        <w:tc>
          <w:tcPr>
            <w:tcW w:w="3120" w:type="dxa"/>
          </w:tcPr>
          <w:p w14:paraId="7947517B" w14:textId="6C3D2016" w:rsidR="004B3003" w:rsidRDefault="00565242">
            <w:pPr>
              <w:pStyle w:val="TableParagraph"/>
              <w:spacing w:before="119"/>
            </w:pPr>
            <w:r w:rsidRPr="00565242">
              <w:rPr>
                <w:spacing w:val="-2"/>
              </w:rPr>
              <w:t>0.007569981177</w:t>
            </w:r>
          </w:p>
        </w:tc>
        <w:tc>
          <w:tcPr>
            <w:tcW w:w="3120" w:type="dxa"/>
          </w:tcPr>
          <w:p w14:paraId="400DDA2A" w14:textId="000EB1A5" w:rsidR="004B3003" w:rsidRDefault="00565242">
            <w:pPr>
              <w:pStyle w:val="TableParagraph"/>
              <w:spacing w:before="119"/>
            </w:pPr>
            <w:r w:rsidRPr="00565242">
              <w:rPr>
                <w:spacing w:val="-2"/>
              </w:rPr>
              <w:t>0.006919758418</w:t>
            </w:r>
          </w:p>
        </w:tc>
      </w:tr>
      <w:tr w:rsidR="004B3003" w14:paraId="4A54EB09" w14:textId="77777777">
        <w:trPr>
          <w:trHeight w:val="460"/>
        </w:trPr>
        <w:tc>
          <w:tcPr>
            <w:tcW w:w="3120" w:type="dxa"/>
          </w:tcPr>
          <w:p w14:paraId="7116459E" w14:textId="77777777" w:rsidR="004B3003" w:rsidRDefault="00000000">
            <w:pPr>
              <w:pStyle w:val="TableParagraph"/>
              <w:spacing w:before="117"/>
            </w:pPr>
            <w:r>
              <w:t>Annualized</w:t>
            </w:r>
            <w:r>
              <w:rPr>
                <w:spacing w:val="-10"/>
              </w:rPr>
              <w:t xml:space="preserve"> </w:t>
            </w:r>
            <w:r>
              <w:t>Portfolio</w:t>
            </w:r>
            <w:r>
              <w:rPr>
                <w:spacing w:val="-9"/>
              </w:rPr>
              <w:t xml:space="preserve"> </w:t>
            </w:r>
            <w:r>
              <w:rPr>
                <w:spacing w:val="-4"/>
              </w:rPr>
              <w:t>Risk</w:t>
            </w:r>
          </w:p>
        </w:tc>
        <w:tc>
          <w:tcPr>
            <w:tcW w:w="3120" w:type="dxa"/>
          </w:tcPr>
          <w:p w14:paraId="7E79AA84" w14:textId="3F87F62C" w:rsidR="004B3003" w:rsidRDefault="00565242">
            <w:pPr>
              <w:pStyle w:val="TableParagraph"/>
              <w:spacing w:before="117"/>
            </w:pPr>
            <w:r w:rsidRPr="00565242">
              <w:rPr>
                <w:spacing w:val="-2"/>
              </w:rPr>
              <w:t>0.1201697257</w:t>
            </w:r>
          </w:p>
        </w:tc>
        <w:tc>
          <w:tcPr>
            <w:tcW w:w="3120" w:type="dxa"/>
          </w:tcPr>
          <w:p w14:paraId="1C8F8E5B" w14:textId="05290692" w:rsidR="004B3003" w:rsidRDefault="00565242">
            <w:pPr>
              <w:pStyle w:val="TableParagraph"/>
              <w:spacing w:before="117"/>
            </w:pPr>
            <w:r w:rsidRPr="00565242">
              <w:rPr>
                <w:spacing w:val="-2"/>
              </w:rPr>
              <w:t>0.1416068427</w:t>
            </w:r>
          </w:p>
        </w:tc>
      </w:tr>
      <w:tr w:rsidR="004B3003" w14:paraId="23E3B62B" w14:textId="77777777">
        <w:trPr>
          <w:trHeight w:val="460"/>
        </w:trPr>
        <w:tc>
          <w:tcPr>
            <w:tcW w:w="3120" w:type="dxa"/>
          </w:tcPr>
          <w:p w14:paraId="36C99807" w14:textId="77777777" w:rsidR="004B3003" w:rsidRDefault="00000000">
            <w:pPr>
              <w:pStyle w:val="TableParagraph"/>
              <w:spacing w:before="115"/>
            </w:pPr>
            <w:r>
              <w:t>Sharpe</w:t>
            </w:r>
            <w:r>
              <w:rPr>
                <w:spacing w:val="-8"/>
              </w:rPr>
              <w:t xml:space="preserve"> </w:t>
            </w:r>
            <w:r>
              <w:rPr>
                <w:spacing w:val="-2"/>
              </w:rPr>
              <w:t>Ratio</w:t>
            </w:r>
          </w:p>
        </w:tc>
        <w:tc>
          <w:tcPr>
            <w:tcW w:w="3120" w:type="dxa"/>
          </w:tcPr>
          <w:p w14:paraId="6EDA23A0" w14:textId="588ECA47" w:rsidR="004B3003" w:rsidRDefault="00565242">
            <w:pPr>
              <w:pStyle w:val="TableParagraph"/>
              <w:spacing w:before="115"/>
            </w:pPr>
            <w:r w:rsidRPr="00565242">
              <w:rPr>
                <w:spacing w:val="-2"/>
              </w:rPr>
              <w:t>0.05087560063</w:t>
            </w:r>
          </w:p>
        </w:tc>
        <w:tc>
          <w:tcPr>
            <w:tcW w:w="3120" w:type="dxa"/>
          </w:tcPr>
          <w:p w14:paraId="41959E39" w14:textId="231BE111" w:rsidR="004B3003" w:rsidRDefault="00565242">
            <w:pPr>
              <w:pStyle w:val="TableParagraph"/>
              <w:spacing w:before="115"/>
            </w:pPr>
            <w:r w:rsidRPr="00565242">
              <w:rPr>
                <w:spacing w:val="-2"/>
              </w:rPr>
              <w:t>0.03094610042</w:t>
            </w:r>
          </w:p>
        </w:tc>
      </w:tr>
    </w:tbl>
    <w:p w14:paraId="096E40C3" w14:textId="77777777" w:rsidR="00565242" w:rsidRDefault="00565242" w:rsidP="00565242">
      <w:pPr>
        <w:pStyle w:val="Heading3"/>
      </w:pPr>
      <w:r>
        <w:br/>
      </w:r>
      <w:r>
        <w:t>Comments</w:t>
      </w:r>
      <w:r>
        <w:rPr>
          <w:spacing w:val="-7"/>
        </w:rPr>
        <w:t xml:space="preserve"> </w:t>
      </w:r>
      <w:r>
        <w:t>(</w:t>
      </w:r>
      <w:proofErr w:type="spellStart"/>
      <w:r>
        <w:t>Backtesting</w:t>
      </w:r>
      <w:proofErr w:type="spellEnd"/>
      <w:r>
        <w:rPr>
          <w:spacing w:val="-6"/>
        </w:rPr>
        <w:t xml:space="preserve"> </w:t>
      </w:r>
      <w:r>
        <w:t>–</w:t>
      </w:r>
      <w:r>
        <w:rPr>
          <w:spacing w:val="-7"/>
        </w:rPr>
        <w:t xml:space="preserve"> </w:t>
      </w:r>
      <w:r>
        <w:t>Equal</w:t>
      </w:r>
      <w:r>
        <w:rPr>
          <w:spacing w:val="-6"/>
        </w:rPr>
        <w:t xml:space="preserve"> </w:t>
      </w:r>
      <w:r>
        <w:rPr>
          <w:spacing w:val="-2"/>
        </w:rPr>
        <w:t>Weights)</w:t>
      </w:r>
    </w:p>
    <w:p w14:paraId="65B725DF" w14:textId="77777777" w:rsidR="00565242" w:rsidRDefault="00565242" w:rsidP="00565242">
      <w:pPr>
        <w:pStyle w:val="BodyText"/>
        <w:spacing w:before="26"/>
      </w:pPr>
      <w:r>
        <w:t xml:space="preserve">the </w:t>
      </w:r>
      <w:proofErr w:type="spellStart"/>
      <w:r>
        <w:t>backtesting</w:t>
      </w:r>
      <w:proofErr w:type="spellEnd"/>
      <w:r>
        <w:t xml:space="preserve"> period for May 2025, the equal-weighted portfolio of Nifty Momentum 50, Nifty 50, Nifty Pharma, and Nifty Low Volatility 50 delivered a significantly negative return of -14.16%, indicating a sharp drawdown across all constituent indices within the short time frame.</w:t>
      </w:r>
    </w:p>
    <w:p w14:paraId="3E34BC38" w14:textId="77777777" w:rsidR="00565242" w:rsidRDefault="00565242" w:rsidP="00565242">
      <w:pPr>
        <w:pStyle w:val="BodyText"/>
        <w:spacing w:before="26"/>
      </w:pPr>
    </w:p>
    <w:p w14:paraId="082592E1" w14:textId="77777777" w:rsidR="00565242" w:rsidRDefault="00565242" w:rsidP="00565242">
      <w:pPr>
        <w:pStyle w:val="BodyText"/>
        <w:spacing w:before="26"/>
      </w:pPr>
      <w:r>
        <w:t>The portfolio variance stood at 0.00004788, with a corresponding daily portfolio risk (standard deviation) of 0.0090. The annualized portfolio risk, calculated from daily volatility, came to 0.0309, which is relatively low. This suggests that despite a steep decline in value, the volatility remained contained, making this a case of consistently poor performance rather than erratic behavior.</w:t>
      </w:r>
    </w:p>
    <w:p w14:paraId="24806FBF" w14:textId="77777777" w:rsidR="00565242" w:rsidRDefault="00565242" w:rsidP="00565242">
      <w:pPr>
        <w:pStyle w:val="BodyText"/>
        <w:spacing w:before="26"/>
      </w:pPr>
    </w:p>
    <w:p w14:paraId="6E4BBA17" w14:textId="77777777" w:rsidR="00565242" w:rsidRDefault="00565242" w:rsidP="00565242">
      <w:pPr>
        <w:pStyle w:val="BodyText"/>
        <w:spacing w:before="26"/>
      </w:pPr>
      <w:r>
        <w:t xml:space="preserve">The most notable aspect of this </w:t>
      </w:r>
      <w:proofErr w:type="spellStart"/>
      <w:r>
        <w:t>backtesting</w:t>
      </w:r>
      <w:proofErr w:type="spellEnd"/>
      <w:r>
        <w:t xml:space="preserve"> period is the Sharpe Ratio of -8.85, which is extremely poor by any benchmark. A negative Sharpe Ratio of this magnitude indicates that not only did the portfolio underperform relative to the risk-free rate (7%), but it also delivered a significantly negative excess return even with low volatility—pointing to broad weakness across all selected indices.</w:t>
      </w:r>
    </w:p>
    <w:p w14:paraId="549367EB" w14:textId="77777777" w:rsidR="00565242" w:rsidRDefault="00565242" w:rsidP="00565242">
      <w:pPr>
        <w:pStyle w:val="BodyText"/>
        <w:spacing w:before="26"/>
      </w:pPr>
    </w:p>
    <w:p w14:paraId="3E5FE9FA" w14:textId="77777777" w:rsidR="00565242" w:rsidRDefault="00565242" w:rsidP="00565242">
      <w:pPr>
        <w:pStyle w:val="Heading3"/>
        <w:spacing w:before="1"/>
      </w:pPr>
      <w:r>
        <w:t>Conclusion:</w:t>
      </w:r>
      <w:r>
        <w:rPr>
          <w:spacing w:val="-8"/>
        </w:rPr>
        <w:t xml:space="preserve"> </w:t>
      </w:r>
      <w:r>
        <w:t>Equal</w:t>
      </w:r>
      <w:r>
        <w:rPr>
          <w:spacing w:val="-8"/>
        </w:rPr>
        <w:t xml:space="preserve"> </w:t>
      </w:r>
      <w:r>
        <w:t>Weighted</w:t>
      </w:r>
      <w:r>
        <w:rPr>
          <w:spacing w:val="-8"/>
        </w:rPr>
        <w:t xml:space="preserve"> </w:t>
      </w:r>
      <w:r>
        <w:t>Portfolio</w:t>
      </w:r>
      <w:r>
        <w:rPr>
          <w:spacing w:val="-8"/>
        </w:rPr>
        <w:t xml:space="preserve"> </w:t>
      </w:r>
      <w:r>
        <w:t>vs.</w:t>
      </w:r>
      <w:r>
        <w:rPr>
          <w:spacing w:val="-8"/>
        </w:rPr>
        <w:t xml:space="preserve"> </w:t>
      </w:r>
      <w:proofErr w:type="spellStart"/>
      <w:r>
        <w:rPr>
          <w:spacing w:val="-2"/>
        </w:rPr>
        <w:t>Backtesting</w:t>
      </w:r>
      <w:proofErr w:type="spellEnd"/>
    </w:p>
    <w:p w14:paraId="009FF1B1" w14:textId="77777777" w:rsidR="00565242" w:rsidRDefault="00565242" w:rsidP="00565242">
      <w:pPr>
        <w:spacing w:before="284" w:line="276" w:lineRule="auto"/>
        <w:ind w:right="422"/>
      </w:pPr>
      <w:r>
        <w:t>The</w:t>
      </w:r>
      <w:r>
        <w:rPr>
          <w:spacing w:val="-3"/>
        </w:rPr>
        <w:t xml:space="preserve"> </w:t>
      </w:r>
      <w:r>
        <w:rPr>
          <w:b/>
        </w:rPr>
        <w:t>equal-weighted</w:t>
      </w:r>
      <w:r>
        <w:rPr>
          <w:b/>
          <w:spacing w:val="-3"/>
        </w:rPr>
        <w:t xml:space="preserve"> </w:t>
      </w:r>
      <w:r>
        <w:rPr>
          <w:b/>
        </w:rPr>
        <w:t>portfolio</w:t>
      </w:r>
      <w:r>
        <w:rPr>
          <w:b/>
          <w:spacing w:val="-3"/>
        </w:rPr>
        <w:t xml:space="preserve"> </w:t>
      </w:r>
      <w:r>
        <w:t>performed</w:t>
      </w:r>
      <w:r>
        <w:rPr>
          <w:spacing w:val="-3"/>
        </w:rPr>
        <w:t xml:space="preserve"> </w:t>
      </w:r>
      <w:r>
        <w:rPr>
          <w:b/>
        </w:rPr>
        <w:t>strongly</w:t>
      </w:r>
      <w:r>
        <w:rPr>
          <w:b/>
          <w:spacing w:val="-3"/>
        </w:rPr>
        <w:t xml:space="preserve"> </w:t>
      </w:r>
      <w:r>
        <w:rPr>
          <w:b/>
        </w:rPr>
        <w:t>over</w:t>
      </w:r>
      <w:r>
        <w:rPr>
          <w:b/>
          <w:spacing w:val="-3"/>
        </w:rPr>
        <w:t xml:space="preserve"> </w:t>
      </w:r>
      <w:r>
        <w:rPr>
          <w:b/>
        </w:rPr>
        <w:t>the</w:t>
      </w:r>
      <w:r>
        <w:rPr>
          <w:b/>
          <w:spacing w:val="-3"/>
        </w:rPr>
        <w:t xml:space="preserve"> </w:t>
      </w:r>
      <w:r>
        <w:rPr>
          <w:b/>
        </w:rPr>
        <w:t>full</w:t>
      </w:r>
      <w:r>
        <w:rPr>
          <w:b/>
          <w:spacing w:val="-3"/>
        </w:rPr>
        <w:t xml:space="preserve"> </w:t>
      </w:r>
      <w:r>
        <w:rPr>
          <w:b/>
        </w:rPr>
        <w:t>year</w:t>
      </w:r>
      <w:r>
        <w:t>,</w:t>
      </w:r>
      <w:r>
        <w:rPr>
          <w:spacing w:val="-3"/>
        </w:rPr>
        <w:t xml:space="preserve"> </w:t>
      </w:r>
      <w:r>
        <w:t>delivering</w:t>
      </w:r>
      <w:r>
        <w:rPr>
          <w:spacing w:val="-3"/>
        </w:rPr>
        <w:t xml:space="preserve"> </w:t>
      </w:r>
      <w:r>
        <w:rPr>
          <w:b/>
        </w:rPr>
        <w:t>high</w:t>
      </w:r>
      <w:r>
        <w:rPr>
          <w:b/>
          <w:spacing w:val="-3"/>
        </w:rPr>
        <w:t xml:space="preserve"> </w:t>
      </w:r>
      <w:r>
        <w:rPr>
          <w:b/>
        </w:rPr>
        <w:t>returns and</w:t>
      </w:r>
      <w:r>
        <w:rPr>
          <w:b/>
          <w:spacing w:val="-4"/>
        </w:rPr>
        <w:t xml:space="preserve"> </w:t>
      </w:r>
      <w:r>
        <w:rPr>
          <w:b/>
        </w:rPr>
        <w:t>a</w:t>
      </w:r>
      <w:r>
        <w:rPr>
          <w:b/>
          <w:spacing w:val="-4"/>
        </w:rPr>
        <w:t xml:space="preserve"> </w:t>
      </w:r>
      <w:r>
        <w:rPr>
          <w:b/>
        </w:rPr>
        <w:t>Sharpe</w:t>
      </w:r>
      <w:r>
        <w:rPr>
          <w:b/>
          <w:spacing w:val="-4"/>
        </w:rPr>
        <w:t xml:space="preserve"> </w:t>
      </w:r>
      <w:r>
        <w:rPr>
          <w:b/>
        </w:rPr>
        <w:t>Ratio</w:t>
      </w:r>
      <w:r>
        <w:rPr>
          <w:b/>
          <w:spacing w:val="-4"/>
        </w:rPr>
        <w:t xml:space="preserve"> </w:t>
      </w:r>
      <w:r>
        <w:rPr>
          <w:b/>
        </w:rPr>
        <w:t>above</w:t>
      </w:r>
      <w:r>
        <w:rPr>
          <w:b/>
          <w:spacing w:val="-4"/>
        </w:rPr>
        <w:t xml:space="preserve"> </w:t>
      </w:r>
      <w:r>
        <w:rPr>
          <w:b/>
        </w:rPr>
        <w:t>1</w:t>
      </w:r>
      <w:r>
        <w:t>,</w:t>
      </w:r>
      <w:r>
        <w:rPr>
          <w:spacing w:val="-4"/>
        </w:rPr>
        <w:t xml:space="preserve"> </w:t>
      </w:r>
      <w:r>
        <w:t>which</w:t>
      </w:r>
      <w:r>
        <w:rPr>
          <w:spacing w:val="-4"/>
        </w:rPr>
        <w:t xml:space="preserve"> </w:t>
      </w:r>
      <w:r>
        <w:t>is</w:t>
      </w:r>
      <w:r>
        <w:rPr>
          <w:spacing w:val="-4"/>
        </w:rPr>
        <w:t xml:space="preserve"> </w:t>
      </w:r>
      <w:r>
        <w:t>desirable</w:t>
      </w:r>
      <w:r>
        <w:rPr>
          <w:spacing w:val="-4"/>
        </w:rPr>
        <w:t xml:space="preserve"> </w:t>
      </w:r>
      <w:r>
        <w:t>for</w:t>
      </w:r>
      <w:r>
        <w:rPr>
          <w:spacing w:val="-4"/>
        </w:rPr>
        <w:t xml:space="preserve"> </w:t>
      </w:r>
      <w:r>
        <w:t>risk-conscious</w:t>
      </w:r>
      <w:r>
        <w:rPr>
          <w:spacing w:val="-4"/>
        </w:rPr>
        <w:t xml:space="preserve"> </w:t>
      </w:r>
      <w:r>
        <w:t>investors.</w:t>
      </w:r>
      <w:r>
        <w:rPr>
          <w:spacing w:val="-4"/>
        </w:rPr>
        <w:t xml:space="preserve"> </w:t>
      </w:r>
      <w:r>
        <w:t>The</w:t>
      </w:r>
      <w:r>
        <w:rPr>
          <w:spacing w:val="-4"/>
        </w:rPr>
        <w:t xml:space="preserve"> </w:t>
      </w:r>
      <w:proofErr w:type="spellStart"/>
      <w:r>
        <w:rPr>
          <w:b/>
        </w:rPr>
        <w:t>backtesting</w:t>
      </w:r>
      <w:proofErr w:type="spellEnd"/>
      <w:r>
        <w:rPr>
          <w:b/>
        </w:rPr>
        <w:t xml:space="preserve"> period</w:t>
      </w:r>
      <w:r>
        <w:t xml:space="preserve">, while shorter, also provided </w:t>
      </w:r>
      <w:r>
        <w:rPr>
          <w:b/>
        </w:rPr>
        <w:t>positive returns and a decent Sharpe Ratio</w:t>
      </w:r>
      <w:r>
        <w:t>, confirming that the portfolio remained effective during varying market conditions.</w:t>
      </w:r>
    </w:p>
    <w:p w14:paraId="1307CCEC" w14:textId="77777777" w:rsidR="00565242" w:rsidRDefault="00565242" w:rsidP="00565242">
      <w:pPr>
        <w:spacing w:before="240" w:line="276" w:lineRule="auto"/>
        <w:ind w:right="504"/>
        <w:jc w:val="both"/>
      </w:pPr>
      <w:r>
        <w:t>This</w:t>
      </w:r>
      <w:r>
        <w:rPr>
          <w:spacing w:val="-3"/>
        </w:rPr>
        <w:t xml:space="preserve"> </w:t>
      </w:r>
      <w:r>
        <w:t>comparison</w:t>
      </w:r>
      <w:r>
        <w:rPr>
          <w:spacing w:val="-3"/>
        </w:rPr>
        <w:t xml:space="preserve"> </w:t>
      </w:r>
      <w:r>
        <w:t>indicates</w:t>
      </w:r>
      <w:r>
        <w:rPr>
          <w:spacing w:val="-3"/>
        </w:rPr>
        <w:t xml:space="preserve"> </w:t>
      </w:r>
      <w:r>
        <w:t>that</w:t>
      </w:r>
      <w:r>
        <w:rPr>
          <w:spacing w:val="-3"/>
        </w:rPr>
        <w:t xml:space="preserve"> </w:t>
      </w:r>
      <w:r>
        <w:t>the</w:t>
      </w:r>
      <w:r>
        <w:rPr>
          <w:spacing w:val="-3"/>
        </w:rPr>
        <w:t xml:space="preserve"> </w:t>
      </w:r>
      <w:r>
        <w:t>chosen</w:t>
      </w:r>
      <w:r>
        <w:rPr>
          <w:spacing w:val="-3"/>
        </w:rPr>
        <w:t xml:space="preserve"> </w:t>
      </w:r>
      <w:r>
        <w:t>combination</w:t>
      </w:r>
      <w:r>
        <w:rPr>
          <w:spacing w:val="-3"/>
        </w:rPr>
        <w:t xml:space="preserve"> </w:t>
      </w:r>
      <w:r>
        <w:t>of</w:t>
      </w:r>
      <w:r>
        <w:rPr>
          <w:spacing w:val="-3"/>
        </w:rPr>
        <w:t xml:space="preserve"> </w:t>
      </w:r>
      <w:r>
        <w:t>indices</w:t>
      </w:r>
      <w:r>
        <w:rPr>
          <w:spacing w:val="-3"/>
        </w:rPr>
        <w:t xml:space="preserve"> </w:t>
      </w:r>
      <w:r>
        <w:t>and</w:t>
      </w:r>
      <w:r>
        <w:rPr>
          <w:spacing w:val="-3"/>
        </w:rPr>
        <w:t xml:space="preserve"> </w:t>
      </w:r>
      <w:r>
        <w:t>equal</w:t>
      </w:r>
      <w:r>
        <w:rPr>
          <w:spacing w:val="-3"/>
        </w:rPr>
        <w:t xml:space="preserve"> </w:t>
      </w:r>
      <w:r>
        <w:t>allocation</w:t>
      </w:r>
      <w:r>
        <w:rPr>
          <w:spacing w:val="-3"/>
        </w:rPr>
        <w:t xml:space="preserve"> </w:t>
      </w:r>
      <w:r>
        <w:t>strategy provided</w:t>
      </w:r>
      <w:r>
        <w:rPr>
          <w:spacing w:val="-4"/>
        </w:rPr>
        <w:t xml:space="preserve"> </w:t>
      </w:r>
      <w:r>
        <w:rPr>
          <w:b/>
        </w:rPr>
        <w:t>stable</w:t>
      </w:r>
      <w:r>
        <w:rPr>
          <w:b/>
          <w:spacing w:val="-4"/>
        </w:rPr>
        <w:t xml:space="preserve"> </w:t>
      </w:r>
      <w:r>
        <w:rPr>
          <w:b/>
        </w:rPr>
        <w:t>and</w:t>
      </w:r>
      <w:r>
        <w:rPr>
          <w:b/>
          <w:spacing w:val="-4"/>
        </w:rPr>
        <w:t xml:space="preserve"> </w:t>
      </w:r>
      <w:r>
        <w:rPr>
          <w:b/>
        </w:rPr>
        <w:t>consistent</w:t>
      </w:r>
      <w:r>
        <w:rPr>
          <w:b/>
          <w:spacing w:val="-4"/>
        </w:rPr>
        <w:t xml:space="preserve"> </w:t>
      </w:r>
      <w:r>
        <w:rPr>
          <w:b/>
        </w:rPr>
        <w:t>performance</w:t>
      </w:r>
      <w:r>
        <w:rPr>
          <w:b/>
          <w:spacing w:val="-4"/>
        </w:rPr>
        <w:t xml:space="preserve"> </w:t>
      </w:r>
      <w:r>
        <w:t>over</w:t>
      </w:r>
      <w:r>
        <w:rPr>
          <w:spacing w:val="-4"/>
        </w:rPr>
        <w:t xml:space="preserve"> </w:t>
      </w:r>
      <w:r>
        <w:t>both</w:t>
      </w:r>
      <w:r>
        <w:rPr>
          <w:spacing w:val="-4"/>
        </w:rPr>
        <w:t xml:space="preserve"> </w:t>
      </w:r>
      <w:r>
        <w:t>long</w:t>
      </w:r>
      <w:r>
        <w:rPr>
          <w:spacing w:val="-4"/>
        </w:rPr>
        <w:t xml:space="preserve"> </w:t>
      </w:r>
      <w:r>
        <w:t>and</w:t>
      </w:r>
      <w:r>
        <w:rPr>
          <w:spacing w:val="-4"/>
        </w:rPr>
        <w:t xml:space="preserve"> </w:t>
      </w:r>
      <w:r>
        <w:t>short-term</w:t>
      </w:r>
      <w:r>
        <w:rPr>
          <w:spacing w:val="-4"/>
        </w:rPr>
        <w:t xml:space="preserve"> </w:t>
      </w:r>
      <w:r>
        <w:t>horizons,</w:t>
      </w:r>
      <w:r>
        <w:rPr>
          <w:spacing w:val="-4"/>
        </w:rPr>
        <w:t xml:space="preserve"> </w:t>
      </w:r>
      <w:r>
        <w:t xml:space="preserve">making it suitable for investors seeking </w:t>
      </w:r>
      <w:r>
        <w:rPr>
          <w:b/>
        </w:rPr>
        <w:t>balanced growth with manageable risk</w:t>
      </w:r>
      <w:r>
        <w:t>.</w:t>
      </w:r>
    </w:p>
    <w:p w14:paraId="2D4D475D" w14:textId="77777777" w:rsidR="00565242" w:rsidRDefault="00565242" w:rsidP="00565242">
      <w:pPr>
        <w:pStyle w:val="BodyText"/>
        <w:spacing w:before="27"/>
      </w:pPr>
    </w:p>
    <w:p w14:paraId="08B780A9" w14:textId="77777777" w:rsidR="00565242" w:rsidRDefault="00565242" w:rsidP="00565242">
      <w:pPr>
        <w:pStyle w:val="Heading3"/>
      </w:pPr>
      <w:r>
        <w:rPr>
          <w:u w:val="single"/>
        </w:rPr>
        <w:t>Optimal</w:t>
      </w:r>
      <w:r>
        <w:rPr>
          <w:spacing w:val="-8"/>
          <w:u w:val="single"/>
        </w:rPr>
        <w:t xml:space="preserve"> </w:t>
      </w:r>
      <w:r>
        <w:rPr>
          <w:u w:val="single"/>
        </w:rPr>
        <w:t>Weights</w:t>
      </w:r>
      <w:r>
        <w:rPr>
          <w:spacing w:val="-8"/>
          <w:u w:val="single"/>
        </w:rPr>
        <w:t xml:space="preserve"> </w:t>
      </w:r>
      <w:r>
        <w:rPr>
          <w:u w:val="single"/>
        </w:rPr>
        <w:t>(Maximum</w:t>
      </w:r>
      <w:r>
        <w:rPr>
          <w:spacing w:val="-7"/>
          <w:u w:val="single"/>
        </w:rPr>
        <w:t xml:space="preserve"> </w:t>
      </w:r>
      <w:r>
        <w:rPr>
          <w:u w:val="single"/>
        </w:rPr>
        <w:t>Sharpe</w:t>
      </w:r>
      <w:r>
        <w:rPr>
          <w:spacing w:val="-8"/>
          <w:u w:val="single"/>
        </w:rPr>
        <w:t xml:space="preserve"> </w:t>
      </w:r>
      <w:r>
        <w:rPr>
          <w:u w:val="single"/>
        </w:rPr>
        <w:t>Ratio)</w:t>
      </w:r>
      <w:r>
        <w:rPr>
          <w:spacing w:val="-7"/>
          <w:u w:val="single"/>
        </w:rPr>
        <w:t xml:space="preserve"> </w:t>
      </w:r>
      <w:r>
        <w:rPr>
          <w:spacing w:val="-2"/>
          <w:u w:val="single"/>
        </w:rPr>
        <w:t>Analysis</w:t>
      </w:r>
    </w:p>
    <w:p w14:paraId="02CF8244" w14:textId="77777777" w:rsidR="00565242" w:rsidRDefault="00565242" w:rsidP="00565242">
      <w:pPr>
        <w:spacing w:before="285" w:line="276" w:lineRule="auto"/>
        <w:ind w:right="422"/>
      </w:pPr>
      <w:r>
        <w:t xml:space="preserve">Following the equal-weighted portfolio analysis, we employed Excel's </w:t>
      </w:r>
      <w:r>
        <w:rPr>
          <w:b/>
        </w:rPr>
        <w:t xml:space="preserve">Solver </w:t>
      </w:r>
      <w:r>
        <w:t>tool to determine the</w:t>
      </w:r>
      <w:r>
        <w:rPr>
          <w:spacing w:val="-4"/>
        </w:rPr>
        <w:t xml:space="preserve"> </w:t>
      </w:r>
      <w:r>
        <w:rPr>
          <w:b/>
        </w:rPr>
        <w:t>optimal</w:t>
      </w:r>
      <w:r>
        <w:rPr>
          <w:b/>
          <w:spacing w:val="-4"/>
        </w:rPr>
        <w:t xml:space="preserve"> </w:t>
      </w:r>
      <w:r>
        <w:rPr>
          <w:b/>
        </w:rPr>
        <w:t>allocation</w:t>
      </w:r>
      <w:r>
        <w:rPr>
          <w:b/>
          <w:spacing w:val="-4"/>
        </w:rPr>
        <w:t xml:space="preserve"> </w:t>
      </w:r>
      <w:r>
        <w:rPr>
          <w:b/>
        </w:rPr>
        <w:t>of</w:t>
      </w:r>
      <w:r>
        <w:rPr>
          <w:b/>
          <w:spacing w:val="-4"/>
        </w:rPr>
        <w:t xml:space="preserve"> </w:t>
      </w:r>
      <w:r>
        <w:rPr>
          <w:b/>
        </w:rPr>
        <w:t>weights</w:t>
      </w:r>
      <w:r>
        <w:rPr>
          <w:b/>
          <w:spacing w:val="-4"/>
        </w:rPr>
        <w:t xml:space="preserve"> </w:t>
      </w:r>
      <w:r>
        <w:t>that</w:t>
      </w:r>
      <w:r>
        <w:rPr>
          <w:spacing w:val="-4"/>
        </w:rPr>
        <w:t xml:space="preserve"> </w:t>
      </w:r>
      <w:r>
        <w:t>maximizes</w:t>
      </w:r>
      <w:r>
        <w:rPr>
          <w:spacing w:val="-4"/>
        </w:rPr>
        <w:t xml:space="preserve"> </w:t>
      </w:r>
      <w:r>
        <w:t>the</w:t>
      </w:r>
      <w:r>
        <w:rPr>
          <w:spacing w:val="-4"/>
        </w:rPr>
        <w:t xml:space="preserve"> </w:t>
      </w:r>
      <w:r>
        <w:rPr>
          <w:b/>
        </w:rPr>
        <w:t>Sharpe</w:t>
      </w:r>
      <w:r>
        <w:rPr>
          <w:b/>
          <w:spacing w:val="-4"/>
        </w:rPr>
        <w:t xml:space="preserve"> </w:t>
      </w:r>
      <w:r>
        <w:rPr>
          <w:b/>
        </w:rPr>
        <w:t>Ratio</w:t>
      </w:r>
      <w:r>
        <w:t>.</w:t>
      </w:r>
      <w:r>
        <w:rPr>
          <w:spacing w:val="-4"/>
        </w:rPr>
        <w:t xml:space="preserve"> </w:t>
      </w:r>
      <w:r>
        <w:t>In</w:t>
      </w:r>
      <w:r>
        <w:rPr>
          <w:spacing w:val="-4"/>
        </w:rPr>
        <w:t xml:space="preserve"> </w:t>
      </w:r>
      <w:r>
        <w:t>this</w:t>
      </w:r>
      <w:r>
        <w:rPr>
          <w:spacing w:val="-4"/>
        </w:rPr>
        <w:t xml:space="preserve"> </w:t>
      </w:r>
      <w:r>
        <w:t>setup,</w:t>
      </w:r>
      <w:r>
        <w:rPr>
          <w:spacing w:val="-4"/>
        </w:rPr>
        <w:t xml:space="preserve"> </w:t>
      </w:r>
      <w:r>
        <w:t>the</w:t>
      </w:r>
      <w:r>
        <w:rPr>
          <w:spacing w:val="-4"/>
        </w:rPr>
        <w:t xml:space="preserve"> </w:t>
      </w:r>
      <w:r>
        <w:rPr>
          <w:b/>
        </w:rPr>
        <w:t xml:space="preserve">Sharpe Ratio cell </w:t>
      </w:r>
      <w:r>
        <w:t xml:space="preserve">was set as the objective to be maximized, while the </w:t>
      </w:r>
      <w:r>
        <w:rPr>
          <w:b/>
        </w:rPr>
        <w:t xml:space="preserve">weights of individual stocks </w:t>
      </w:r>
      <w:r>
        <w:t xml:space="preserve">were set as the variable cells. Constraints applied included ensuring that the </w:t>
      </w:r>
      <w:r>
        <w:rPr>
          <w:b/>
        </w:rPr>
        <w:t xml:space="preserve">sum of all weights equals 1 </w:t>
      </w:r>
      <w:r>
        <w:t xml:space="preserve">and that </w:t>
      </w:r>
      <w:r>
        <w:rPr>
          <w:b/>
        </w:rPr>
        <w:t xml:space="preserve">no weight is negative </w:t>
      </w:r>
      <w:r>
        <w:t xml:space="preserve">(i.e., all weights are ≥ 0). Upon running the Solver with these conditions, we successfully obtained the </w:t>
      </w:r>
      <w:r>
        <w:rPr>
          <w:b/>
        </w:rPr>
        <w:t xml:space="preserve">weight configuration that yields the maximum Sharpe Ratio </w:t>
      </w:r>
      <w:r>
        <w:t>for the portfolio.</w:t>
      </w:r>
    </w:p>
    <w:p w14:paraId="71D051B5" w14:textId="6A2EFE09" w:rsidR="004B3003" w:rsidRDefault="004B3003">
      <w:pPr>
        <w:pStyle w:val="BodyText"/>
      </w:pPr>
    </w:p>
    <w:p w14:paraId="5FDB6E89" w14:textId="77777777" w:rsidR="004B3003" w:rsidRDefault="004B3003">
      <w:pPr>
        <w:pStyle w:val="BodyText"/>
      </w:pPr>
    </w:p>
    <w:p w14:paraId="002C5943" w14:textId="77777777" w:rsidR="004B3003" w:rsidRDefault="004B3003">
      <w:pPr>
        <w:pStyle w:val="BodyText"/>
        <w:spacing w:before="95"/>
      </w:pPr>
    </w:p>
    <w:p w14:paraId="499FC47E" w14:textId="77777777" w:rsidR="004B3003" w:rsidRDefault="004B3003">
      <w:pPr>
        <w:spacing w:line="276" w:lineRule="auto"/>
        <w:sectPr w:rsidR="004B3003">
          <w:pgSz w:w="12240" w:h="15840"/>
          <w:pgMar w:top="1360" w:right="1080" w:bottom="280" w:left="1440" w:header="720" w:footer="720" w:gutter="0"/>
          <w:cols w:space="720"/>
        </w:sectPr>
      </w:pPr>
      <w:bookmarkStart w:id="10" w:name="Comments_(Equal_Weighted_Portfolio)_"/>
      <w:bookmarkEnd w:id="10"/>
    </w:p>
    <w:p w14:paraId="5568F360" w14:textId="77777777" w:rsidR="004B3003" w:rsidRDefault="004B3003">
      <w:pPr>
        <w:spacing w:line="276" w:lineRule="auto"/>
        <w:sectPr w:rsidR="004B3003">
          <w:pgSz w:w="12240" w:h="15840"/>
          <w:pgMar w:top="1360" w:right="1080" w:bottom="280" w:left="1440" w:header="720" w:footer="720" w:gutter="0"/>
          <w:cols w:space="720"/>
        </w:sectPr>
      </w:pPr>
      <w:bookmarkStart w:id="11" w:name="Comments_(Backtesting_–_Equal_Weights)_"/>
      <w:bookmarkEnd w:id="11"/>
    </w:p>
    <w:p w14:paraId="364D7B53" w14:textId="77777777" w:rsidR="004B3003" w:rsidRDefault="00000000">
      <w:pPr>
        <w:pStyle w:val="BodyText"/>
        <w:spacing w:before="80"/>
      </w:pPr>
      <w:r>
        <w:lastRenderedPageBreak/>
        <w:t>Optimal</w:t>
      </w:r>
      <w:r>
        <w:rPr>
          <w:spacing w:val="-7"/>
        </w:rPr>
        <w:t xml:space="preserve"> </w:t>
      </w:r>
      <w:r>
        <w:rPr>
          <w:spacing w:val="-2"/>
        </w:rPr>
        <w:t>weights:</w:t>
      </w:r>
    </w:p>
    <w:p w14:paraId="5580E3A3" w14:textId="77777777" w:rsidR="004B3003" w:rsidRDefault="004B3003">
      <w:pPr>
        <w:pStyle w:val="BodyText"/>
        <w:spacing w:before="97"/>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4B3003" w14:paraId="399D3EC6" w14:textId="77777777">
        <w:trPr>
          <w:trHeight w:val="440"/>
        </w:trPr>
        <w:tc>
          <w:tcPr>
            <w:tcW w:w="4680" w:type="dxa"/>
          </w:tcPr>
          <w:p w14:paraId="4CA9BECD" w14:textId="127D235C" w:rsidR="004B3003" w:rsidRDefault="00565242">
            <w:pPr>
              <w:pStyle w:val="TableParagraph"/>
              <w:spacing w:before="102"/>
              <w:ind w:left="0" w:right="0"/>
            </w:pPr>
            <w:r w:rsidRPr="00565242">
              <w:t>nifty momentum 50</w:t>
            </w:r>
          </w:p>
        </w:tc>
        <w:tc>
          <w:tcPr>
            <w:tcW w:w="4680" w:type="dxa"/>
          </w:tcPr>
          <w:p w14:paraId="2709AF77" w14:textId="08F4747F" w:rsidR="004B3003" w:rsidRDefault="00565242">
            <w:pPr>
              <w:pStyle w:val="TableParagraph"/>
              <w:spacing w:before="102"/>
              <w:ind w:left="0" w:right="0"/>
            </w:pPr>
            <w:r w:rsidRPr="00565242">
              <w:rPr>
                <w:spacing w:val="-10"/>
              </w:rPr>
              <w:t>14.45%</w:t>
            </w:r>
          </w:p>
        </w:tc>
      </w:tr>
      <w:tr w:rsidR="004B3003" w14:paraId="0D95CD09" w14:textId="77777777">
        <w:trPr>
          <w:trHeight w:val="460"/>
        </w:trPr>
        <w:tc>
          <w:tcPr>
            <w:tcW w:w="4680" w:type="dxa"/>
          </w:tcPr>
          <w:p w14:paraId="607E03E6" w14:textId="0C605BCD" w:rsidR="004B3003" w:rsidRDefault="00000000">
            <w:pPr>
              <w:pStyle w:val="TableParagraph"/>
              <w:spacing w:before="120"/>
              <w:ind w:left="0" w:right="0"/>
            </w:pPr>
            <w:r>
              <w:t>NIFTY</w:t>
            </w:r>
            <w:r>
              <w:rPr>
                <w:spacing w:val="-5"/>
              </w:rPr>
              <w:t xml:space="preserve"> </w:t>
            </w:r>
            <w:r w:rsidR="00565242">
              <w:rPr>
                <w:spacing w:val="-5"/>
              </w:rPr>
              <w:t>50</w:t>
            </w:r>
          </w:p>
        </w:tc>
        <w:tc>
          <w:tcPr>
            <w:tcW w:w="4680" w:type="dxa"/>
          </w:tcPr>
          <w:p w14:paraId="5D6883D1" w14:textId="5461834F" w:rsidR="004B3003" w:rsidRDefault="00565242">
            <w:pPr>
              <w:pStyle w:val="TableParagraph"/>
              <w:spacing w:before="120"/>
              <w:ind w:left="0" w:right="0"/>
            </w:pPr>
            <w:r>
              <w:rPr>
                <w:spacing w:val="-2"/>
              </w:rPr>
              <w:t>0</w:t>
            </w:r>
          </w:p>
        </w:tc>
      </w:tr>
      <w:tr w:rsidR="004B3003" w14:paraId="15A61536" w14:textId="77777777">
        <w:trPr>
          <w:trHeight w:val="460"/>
        </w:trPr>
        <w:tc>
          <w:tcPr>
            <w:tcW w:w="4680" w:type="dxa"/>
          </w:tcPr>
          <w:p w14:paraId="46E77928" w14:textId="77777777" w:rsidR="004B3003" w:rsidRDefault="00000000">
            <w:pPr>
              <w:pStyle w:val="TableParagraph"/>
              <w:spacing w:before="118"/>
              <w:ind w:left="0" w:right="0"/>
            </w:pPr>
            <w:r>
              <w:t>NIFTY</w:t>
            </w:r>
            <w:r>
              <w:rPr>
                <w:spacing w:val="-5"/>
              </w:rPr>
              <w:t xml:space="preserve"> </w:t>
            </w:r>
            <w:r>
              <w:rPr>
                <w:spacing w:val="-2"/>
              </w:rPr>
              <w:t>PHARMA</w:t>
            </w:r>
          </w:p>
        </w:tc>
        <w:tc>
          <w:tcPr>
            <w:tcW w:w="4680" w:type="dxa"/>
          </w:tcPr>
          <w:p w14:paraId="391FD7C9" w14:textId="3E1CF40B" w:rsidR="004B3003" w:rsidRDefault="00565242">
            <w:pPr>
              <w:pStyle w:val="TableParagraph"/>
              <w:spacing w:before="118"/>
              <w:ind w:left="0" w:right="0"/>
            </w:pPr>
            <w:r w:rsidRPr="00565242">
              <w:rPr>
                <w:spacing w:val="-2"/>
              </w:rPr>
              <w:t>85.55%</w:t>
            </w:r>
          </w:p>
        </w:tc>
      </w:tr>
      <w:tr w:rsidR="004B3003" w14:paraId="6BA1228B" w14:textId="77777777">
        <w:trPr>
          <w:trHeight w:val="460"/>
        </w:trPr>
        <w:tc>
          <w:tcPr>
            <w:tcW w:w="4680" w:type="dxa"/>
          </w:tcPr>
          <w:p w14:paraId="1F886E45" w14:textId="56BB3D11" w:rsidR="004B3003" w:rsidRDefault="00565242">
            <w:pPr>
              <w:pStyle w:val="TableParagraph"/>
              <w:spacing w:before="116"/>
              <w:ind w:left="0" w:right="0"/>
            </w:pPr>
            <w:r w:rsidRPr="00565242">
              <w:t>NIFTY LOW VOLATILITY 50</w:t>
            </w:r>
          </w:p>
        </w:tc>
        <w:tc>
          <w:tcPr>
            <w:tcW w:w="4680" w:type="dxa"/>
          </w:tcPr>
          <w:p w14:paraId="4FFB02A4" w14:textId="77777777" w:rsidR="004B3003" w:rsidRDefault="00000000">
            <w:pPr>
              <w:pStyle w:val="TableParagraph"/>
              <w:spacing w:before="116"/>
              <w:ind w:left="0" w:right="0"/>
            </w:pPr>
            <w:r>
              <w:rPr>
                <w:spacing w:val="-10"/>
              </w:rPr>
              <w:t>0</w:t>
            </w:r>
          </w:p>
        </w:tc>
      </w:tr>
    </w:tbl>
    <w:p w14:paraId="1FB72DF4" w14:textId="77777777" w:rsidR="004B3003" w:rsidRDefault="00000000">
      <w:pPr>
        <w:pStyle w:val="BodyText"/>
        <w:spacing w:before="8"/>
        <w:ind w:left="6046"/>
      </w:pPr>
      <w:r>
        <w:t>Total</w:t>
      </w:r>
      <w:r>
        <w:rPr>
          <w:spacing w:val="-11"/>
        </w:rPr>
        <w:t xml:space="preserve"> </w:t>
      </w:r>
      <w:r>
        <w:t>Sum</w:t>
      </w:r>
      <w:r>
        <w:rPr>
          <w:spacing w:val="-11"/>
        </w:rPr>
        <w:t xml:space="preserve"> </w:t>
      </w:r>
      <w:r>
        <w:t>=</w:t>
      </w:r>
      <w:r>
        <w:rPr>
          <w:spacing w:val="-11"/>
        </w:rPr>
        <w:t xml:space="preserve"> </w:t>
      </w:r>
      <w:r>
        <w:rPr>
          <w:spacing w:val="-10"/>
        </w:rPr>
        <w:t>1</w:t>
      </w:r>
    </w:p>
    <w:p w14:paraId="516A9C11" w14:textId="77777777" w:rsidR="004B3003" w:rsidRDefault="004B3003">
      <w:pPr>
        <w:pStyle w:val="BodyText"/>
        <w:rPr>
          <w:sz w:val="20"/>
        </w:rPr>
      </w:pPr>
    </w:p>
    <w:p w14:paraId="01F21B63" w14:textId="77777777" w:rsidR="004B3003" w:rsidRDefault="004B3003">
      <w:pPr>
        <w:pStyle w:val="BodyText"/>
        <w:rPr>
          <w:sz w:val="20"/>
        </w:rPr>
      </w:pPr>
    </w:p>
    <w:p w14:paraId="401144F6" w14:textId="77777777" w:rsidR="004B3003" w:rsidRDefault="004B3003">
      <w:pPr>
        <w:pStyle w:val="BodyText"/>
        <w:spacing w:before="109"/>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4B3003" w14:paraId="4AC93A72" w14:textId="77777777">
        <w:trPr>
          <w:trHeight w:val="959"/>
        </w:trPr>
        <w:tc>
          <w:tcPr>
            <w:tcW w:w="3120" w:type="dxa"/>
          </w:tcPr>
          <w:p w14:paraId="718F5A59" w14:textId="77777777" w:rsidR="004B3003" w:rsidRDefault="00000000">
            <w:pPr>
              <w:pStyle w:val="TableParagraph"/>
              <w:spacing w:before="110"/>
              <w:rPr>
                <w:b/>
              </w:rPr>
            </w:pPr>
            <w:r>
              <w:rPr>
                <w:b/>
                <w:spacing w:val="-2"/>
              </w:rPr>
              <w:t>Calculated</w:t>
            </w:r>
          </w:p>
        </w:tc>
        <w:tc>
          <w:tcPr>
            <w:tcW w:w="3120" w:type="dxa"/>
          </w:tcPr>
          <w:p w14:paraId="2389F607" w14:textId="77777777" w:rsidR="004B3003" w:rsidRDefault="00000000">
            <w:pPr>
              <w:pStyle w:val="TableParagraph"/>
              <w:spacing w:before="110"/>
              <w:ind w:left="597" w:right="0" w:hanging="349"/>
              <w:jc w:val="left"/>
              <w:rPr>
                <w:b/>
              </w:rPr>
            </w:pPr>
            <w:r>
              <w:rPr>
                <w:b/>
              </w:rPr>
              <w:t>Observations</w:t>
            </w:r>
            <w:r>
              <w:rPr>
                <w:b/>
                <w:spacing w:val="-16"/>
              </w:rPr>
              <w:t xml:space="preserve"> </w:t>
            </w:r>
            <w:r>
              <w:rPr>
                <w:b/>
              </w:rPr>
              <w:t>for</w:t>
            </w:r>
            <w:r>
              <w:rPr>
                <w:b/>
                <w:spacing w:val="-15"/>
              </w:rPr>
              <w:t xml:space="preserve"> </w:t>
            </w:r>
            <w:r>
              <w:rPr>
                <w:b/>
              </w:rPr>
              <w:t>optimal weighted portfolio</w:t>
            </w:r>
          </w:p>
        </w:tc>
        <w:tc>
          <w:tcPr>
            <w:tcW w:w="3120" w:type="dxa"/>
          </w:tcPr>
          <w:p w14:paraId="7EB04162" w14:textId="77777777" w:rsidR="004B3003" w:rsidRDefault="00000000">
            <w:pPr>
              <w:pStyle w:val="TableParagraph"/>
              <w:spacing w:before="110"/>
              <w:ind w:right="65"/>
              <w:rPr>
                <w:b/>
              </w:rPr>
            </w:pPr>
            <w:r>
              <w:rPr>
                <w:b/>
              </w:rPr>
              <w:t xml:space="preserve">Observations for </w:t>
            </w:r>
            <w:proofErr w:type="spellStart"/>
            <w:r>
              <w:rPr>
                <w:b/>
              </w:rPr>
              <w:t>Backtesting</w:t>
            </w:r>
            <w:proofErr w:type="spellEnd"/>
            <w:r>
              <w:rPr>
                <w:b/>
                <w:spacing w:val="-16"/>
              </w:rPr>
              <w:t xml:space="preserve"> </w:t>
            </w:r>
            <w:r>
              <w:rPr>
                <w:b/>
              </w:rPr>
              <w:t xml:space="preserve">(optimal </w:t>
            </w:r>
            <w:r>
              <w:rPr>
                <w:b/>
                <w:spacing w:val="-2"/>
              </w:rPr>
              <w:t>weights)</w:t>
            </w:r>
          </w:p>
        </w:tc>
      </w:tr>
      <w:tr w:rsidR="004B3003" w14:paraId="2BFD67F5" w14:textId="77777777">
        <w:trPr>
          <w:trHeight w:val="460"/>
        </w:trPr>
        <w:tc>
          <w:tcPr>
            <w:tcW w:w="3120" w:type="dxa"/>
          </w:tcPr>
          <w:p w14:paraId="24D40C58" w14:textId="77777777" w:rsidR="004B3003" w:rsidRDefault="00000000">
            <w:pPr>
              <w:pStyle w:val="TableParagraph"/>
              <w:spacing w:before="114"/>
            </w:pPr>
            <w:r>
              <w:t>Portfolio</w:t>
            </w:r>
            <w:r>
              <w:rPr>
                <w:spacing w:val="-9"/>
              </w:rPr>
              <w:t xml:space="preserve"> </w:t>
            </w:r>
            <w:r>
              <w:rPr>
                <w:spacing w:val="-2"/>
              </w:rPr>
              <w:t>Return</w:t>
            </w:r>
          </w:p>
        </w:tc>
        <w:tc>
          <w:tcPr>
            <w:tcW w:w="3120" w:type="dxa"/>
          </w:tcPr>
          <w:p w14:paraId="75EA5924" w14:textId="5AB1DFD8" w:rsidR="004B3003" w:rsidRDefault="00565242">
            <w:pPr>
              <w:pStyle w:val="TableParagraph"/>
              <w:spacing w:before="114"/>
            </w:pPr>
            <w:r w:rsidRPr="00565242">
              <w:rPr>
                <w:spacing w:val="-2"/>
              </w:rPr>
              <w:t>0.0991958596</w:t>
            </w:r>
          </w:p>
        </w:tc>
        <w:tc>
          <w:tcPr>
            <w:tcW w:w="3120" w:type="dxa"/>
          </w:tcPr>
          <w:p w14:paraId="3A6ABDBA" w14:textId="42BAEAB7" w:rsidR="004B3003" w:rsidRDefault="00565242">
            <w:pPr>
              <w:pStyle w:val="TableParagraph"/>
              <w:spacing w:before="114"/>
            </w:pPr>
            <w:r w:rsidRPr="00565242">
              <w:rPr>
                <w:spacing w:val="-2"/>
              </w:rPr>
              <w:t>0.007503065647</w:t>
            </w:r>
          </w:p>
        </w:tc>
      </w:tr>
      <w:tr w:rsidR="004B3003" w14:paraId="40E826BA" w14:textId="77777777">
        <w:trPr>
          <w:trHeight w:val="459"/>
        </w:trPr>
        <w:tc>
          <w:tcPr>
            <w:tcW w:w="3120" w:type="dxa"/>
          </w:tcPr>
          <w:p w14:paraId="3389DE3F" w14:textId="77777777" w:rsidR="004B3003" w:rsidRDefault="00000000">
            <w:pPr>
              <w:pStyle w:val="TableParagraph"/>
              <w:spacing w:before="112"/>
            </w:pPr>
            <w:r>
              <w:t>Portfolio</w:t>
            </w:r>
            <w:r>
              <w:rPr>
                <w:spacing w:val="-9"/>
              </w:rPr>
              <w:t xml:space="preserve"> </w:t>
            </w:r>
            <w:r>
              <w:rPr>
                <w:spacing w:val="-2"/>
              </w:rPr>
              <w:t>Variance</w:t>
            </w:r>
          </w:p>
        </w:tc>
        <w:tc>
          <w:tcPr>
            <w:tcW w:w="3120" w:type="dxa"/>
          </w:tcPr>
          <w:p w14:paraId="4B1FF239" w14:textId="72414B36" w:rsidR="004B3003" w:rsidRDefault="00565242">
            <w:pPr>
              <w:pStyle w:val="TableParagraph"/>
              <w:spacing w:before="112"/>
            </w:pPr>
            <w:r w:rsidRPr="00565242">
              <w:rPr>
                <w:spacing w:val="-2"/>
              </w:rPr>
              <w:t>0.00007957340437</w:t>
            </w:r>
          </w:p>
        </w:tc>
        <w:tc>
          <w:tcPr>
            <w:tcW w:w="3120" w:type="dxa"/>
          </w:tcPr>
          <w:p w14:paraId="239C5EA8" w14:textId="33BF9DAA" w:rsidR="004B3003" w:rsidRDefault="00565242">
            <w:pPr>
              <w:pStyle w:val="TableParagraph"/>
              <w:spacing w:before="112"/>
            </w:pPr>
            <w:r w:rsidRPr="00565242">
              <w:rPr>
                <w:spacing w:val="-2"/>
              </w:rPr>
              <w:t>0.00004788305656</w:t>
            </w:r>
          </w:p>
        </w:tc>
      </w:tr>
      <w:tr w:rsidR="004B3003" w14:paraId="5BC9AD7F" w14:textId="77777777">
        <w:trPr>
          <w:trHeight w:val="460"/>
        </w:trPr>
        <w:tc>
          <w:tcPr>
            <w:tcW w:w="3120" w:type="dxa"/>
          </w:tcPr>
          <w:p w14:paraId="2522834A" w14:textId="77777777" w:rsidR="004B3003" w:rsidRDefault="00000000">
            <w:pPr>
              <w:pStyle w:val="TableParagraph"/>
              <w:spacing w:before="110"/>
            </w:pPr>
            <w:r>
              <w:t>Portfolio</w:t>
            </w:r>
            <w:r>
              <w:rPr>
                <w:spacing w:val="-9"/>
              </w:rPr>
              <w:t xml:space="preserve"> </w:t>
            </w:r>
            <w:r>
              <w:rPr>
                <w:spacing w:val="-4"/>
              </w:rPr>
              <w:t>Risk</w:t>
            </w:r>
          </w:p>
        </w:tc>
        <w:tc>
          <w:tcPr>
            <w:tcW w:w="3120" w:type="dxa"/>
          </w:tcPr>
          <w:p w14:paraId="38137FEE" w14:textId="2DC62890" w:rsidR="004B3003" w:rsidRDefault="00565242">
            <w:pPr>
              <w:pStyle w:val="TableParagraph"/>
              <w:spacing w:before="110"/>
            </w:pPr>
            <w:r w:rsidRPr="00565242">
              <w:rPr>
                <w:spacing w:val="-2"/>
              </w:rPr>
              <w:t>0.008920392613</w:t>
            </w:r>
          </w:p>
        </w:tc>
        <w:tc>
          <w:tcPr>
            <w:tcW w:w="3120" w:type="dxa"/>
          </w:tcPr>
          <w:p w14:paraId="5F1FA354" w14:textId="08D15856" w:rsidR="004B3003" w:rsidRDefault="00565242">
            <w:pPr>
              <w:pStyle w:val="TableParagraph"/>
              <w:spacing w:before="110"/>
            </w:pPr>
            <w:r w:rsidRPr="00565242">
              <w:rPr>
                <w:spacing w:val="-2"/>
              </w:rPr>
              <w:t>0.006919758418</w:t>
            </w:r>
          </w:p>
        </w:tc>
      </w:tr>
      <w:tr w:rsidR="004B3003" w14:paraId="72B0893F" w14:textId="77777777">
        <w:trPr>
          <w:trHeight w:val="460"/>
        </w:trPr>
        <w:tc>
          <w:tcPr>
            <w:tcW w:w="3120" w:type="dxa"/>
          </w:tcPr>
          <w:p w14:paraId="6311D520" w14:textId="77777777" w:rsidR="004B3003" w:rsidRDefault="00000000">
            <w:pPr>
              <w:pStyle w:val="TableParagraph"/>
            </w:pPr>
            <w:r>
              <w:t>Annualized</w:t>
            </w:r>
            <w:r>
              <w:rPr>
                <w:spacing w:val="-10"/>
              </w:rPr>
              <w:t xml:space="preserve"> </w:t>
            </w:r>
            <w:r>
              <w:t>Portfolio</w:t>
            </w:r>
            <w:r>
              <w:rPr>
                <w:spacing w:val="-9"/>
              </w:rPr>
              <w:t xml:space="preserve"> </w:t>
            </w:r>
            <w:r>
              <w:rPr>
                <w:spacing w:val="-4"/>
              </w:rPr>
              <w:t>Risk</w:t>
            </w:r>
          </w:p>
        </w:tc>
        <w:tc>
          <w:tcPr>
            <w:tcW w:w="3120" w:type="dxa"/>
          </w:tcPr>
          <w:p w14:paraId="3E2A0D5C" w14:textId="0B2893AC" w:rsidR="004B3003" w:rsidRDefault="00565242">
            <w:pPr>
              <w:pStyle w:val="TableParagraph"/>
            </w:pPr>
            <w:r w:rsidRPr="00565242">
              <w:rPr>
                <w:spacing w:val="-2"/>
              </w:rPr>
              <w:t>0.1416068427</w:t>
            </w:r>
          </w:p>
        </w:tc>
        <w:tc>
          <w:tcPr>
            <w:tcW w:w="3120" w:type="dxa"/>
          </w:tcPr>
          <w:p w14:paraId="6E4F4900" w14:textId="7F516418" w:rsidR="004B3003" w:rsidRDefault="00565242">
            <w:pPr>
              <w:pStyle w:val="TableParagraph"/>
            </w:pPr>
            <w:r w:rsidRPr="00565242">
              <w:rPr>
                <w:spacing w:val="-2"/>
              </w:rPr>
              <w:t>0.03245654394</w:t>
            </w:r>
          </w:p>
        </w:tc>
      </w:tr>
      <w:tr w:rsidR="004B3003" w14:paraId="400C020B" w14:textId="77777777">
        <w:trPr>
          <w:trHeight w:val="460"/>
        </w:trPr>
        <w:tc>
          <w:tcPr>
            <w:tcW w:w="3120" w:type="dxa"/>
          </w:tcPr>
          <w:p w14:paraId="798E26A7" w14:textId="77777777" w:rsidR="004B3003" w:rsidRDefault="00000000">
            <w:pPr>
              <w:pStyle w:val="TableParagraph"/>
              <w:spacing w:before="106"/>
            </w:pPr>
            <w:r>
              <w:t>Sharpe</w:t>
            </w:r>
            <w:r>
              <w:rPr>
                <w:spacing w:val="-8"/>
              </w:rPr>
              <w:t xml:space="preserve"> </w:t>
            </w:r>
            <w:r>
              <w:rPr>
                <w:spacing w:val="-2"/>
              </w:rPr>
              <w:t>Ratio</w:t>
            </w:r>
          </w:p>
        </w:tc>
        <w:tc>
          <w:tcPr>
            <w:tcW w:w="3120" w:type="dxa"/>
          </w:tcPr>
          <w:p w14:paraId="5D6DBCBE" w14:textId="296E72E2" w:rsidR="004B3003" w:rsidRDefault="00565242">
            <w:pPr>
              <w:pStyle w:val="TableParagraph"/>
              <w:spacing w:before="106"/>
            </w:pPr>
            <w:r w:rsidRPr="00565242">
              <w:rPr>
                <w:spacing w:val="-2"/>
              </w:rPr>
              <w:t>0.2061754859</w:t>
            </w:r>
          </w:p>
        </w:tc>
        <w:tc>
          <w:tcPr>
            <w:tcW w:w="3120" w:type="dxa"/>
          </w:tcPr>
          <w:p w14:paraId="55EEAA67" w14:textId="233A5770" w:rsidR="004B3003" w:rsidRDefault="00565242">
            <w:pPr>
              <w:pStyle w:val="TableParagraph"/>
              <w:spacing w:before="106"/>
            </w:pPr>
            <w:r w:rsidRPr="00565242">
              <w:rPr>
                <w:spacing w:val="-2"/>
              </w:rPr>
              <w:t>-1.925557277</w:t>
            </w:r>
          </w:p>
        </w:tc>
      </w:tr>
    </w:tbl>
    <w:p w14:paraId="27B7248F" w14:textId="77777777" w:rsidR="004B3003" w:rsidRDefault="004B3003">
      <w:pPr>
        <w:pStyle w:val="BodyText"/>
        <w:rPr>
          <w:sz w:val="26"/>
        </w:rPr>
      </w:pPr>
    </w:p>
    <w:p w14:paraId="38023D25" w14:textId="77777777" w:rsidR="004B3003" w:rsidRDefault="004B3003">
      <w:pPr>
        <w:pStyle w:val="BodyText"/>
        <w:spacing w:before="248"/>
        <w:rPr>
          <w:sz w:val="26"/>
        </w:rPr>
      </w:pPr>
    </w:p>
    <w:p w14:paraId="48F07AF3" w14:textId="77777777" w:rsidR="004B3003" w:rsidRDefault="00000000">
      <w:pPr>
        <w:pStyle w:val="Heading3"/>
        <w:jc w:val="both"/>
      </w:pPr>
      <w:bookmarkStart w:id="12" w:name="_"/>
      <w:bookmarkStart w:id="13" w:name="Comments_(Optimal_Weighted_Portfolio)_"/>
      <w:bookmarkEnd w:id="12"/>
      <w:bookmarkEnd w:id="13"/>
      <w:r>
        <w:t>Comments</w:t>
      </w:r>
      <w:r>
        <w:rPr>
          <w:spacing w:val="-12"/>
        </w:rPr>
        <w:t xml:space="preserve"> </w:t>
      </w:r>
      <w:r>
        <w:t>(Optimal</w:t>
      </w:r>
      <w:r>
        <w:rPr>
          <w:spacing w:val="-9"/>
        </w:rPr>
        <w:t xml:space="preserve"> </w:t>
      </w:r>
      <w:r>
        <w:t>Weighted</w:t>
      </w:r>
      <w:r>
        <w:rPr>
          <w:spacing w:val="-9"/>
        </w:rPr>
        <w:t xml:space="preserve"> </w:t>
      </w:r>
      <w:r>
        <w:rPr>
          <w:spacing w:val="-2"/>
        </w:rPr>
        <w:t>Portfolio)</w:t>
      </w:r>
    </w:p>
    <w:p w14:paraId="68929048" w14:textId="05F79CF1" w:rsidR="00565242" w:rsidRDefault="00565242" w:rsidP="00565242">
      <w:pPr>
        <w:spacing w:before="240" w:line="276" w:lineRule="auto"/>
        <w:ind w:right="650"/>
      </w:pPr>
      <w:r>
        <w:t xml:space="preserve">The optimal weighted portfolio, developed using Excel’s Solver to maximize the Sharpe Ratio, delivered a remarkable annual return of approximately </w:t>
      </w:r>
      <w:r>
        <w:t>9.91</w:t>
      </w:r>
      <w:r>
        <w:t>% during the period under review. This result highlights the portfolio's ability to capture strong market gains through an effective allocation strategy.</w:t>
      </w:r>
    </w:p>
    <w:p w14:paraId="59B5FB1D" w14:textId="77777777" w:rsidR="00565242" w:rsidRDefault="00565242" w:rsidP="00565242">
      <w:pPr>
        <w:spacing w:before="240" w:line="276" w:lineRule="auto"/>
        <w:ind w:right="650"/>
      </w:pPr>
    </w:p>
    <w:p w14:paraId="356F6306" w14:textId="53642265" w:rsidR="00565242" w:rsidRDefault="00565242" w:rsidP="00565242">
      <w:pPr>
        <w:spacing w:before="240" w:line="276" w:lineRule="auto"/>
        <w:ind w:right="650"/>
      </w:pPr>
      <w:r>
        <w:t>The portfolio exhibited a variance of 0.000</w:t>
      </w:r>
      <w:r>
        <w:t>07957</w:t>
      </w:r>
      <w:r>
        <w:t>, which corresponds to a standard deviation (risk) of 0.0</w:t>
      </w:r>
      <w:r>
        <w:t>0892</w:t>
      </w:r>
      <w:r>
        <w:t>, and an annualized risk of 0.</w:t>
      </w:r>
      <w:r>
        <w:t>1416</w:t>
      </w:r>
      <w:r>
        <w:t>. These figures suggest a moderate level of volatility, which is acceptable given the impressive return profile.</w:t>
      </w:r>
    </w:p>
    <w:p w14:paraId="0D36AEB5" w14:textId="77777777" w:rsidR="00565242" w:rsidRDefault="00565242" w:rsidP="00565242">
      <w:pPr>
        <w:spacing w:before="240" w:line="276" w:lineRule="auto"/>
        <w:ind w:right="650"/>
      </w:pPr>
    </w:p>
    <w:p w14:paraId="05D8FAD9" w14:textId="0F5E71D4" w:rsidR="00565242" w:rsidRDefault="00565242" w:rsidP="00565242">
      <w:pPr>
        <w:spacing w:before="240" w:line="276" w:lineRule="auto"/>
        <w:ind w:right="650"/>
      </w:pPr>
      <w:r>
        <w:t xml:space="preserve">With a Sharpe Ratio of </w:t>
      </w:r>
      <w:r>
        <w:t>20.61</w:t>
      </w:r>
      <w:r>
        <w:t>, the portfolio demonstrates robust risk-adjusted performance. A ratio above 1 typically reflects a portfolio that generates substantial excess returns relative to the risk-free rate, making it attractive for risk-conscious investors. In this case, the Sharpe Ratio indicates that the portfolio is not only high-performing but also efficient in its risk utilization.</w:t>
      </w:r>
    </w:p>
    <w:p w14:paraId="0D96993E" w14:textId="77777777" w:rsidR="00565242" w:rsidRDefault="00565242" w:rsidP="00565242">
      <w:pPr>
        <w:spacing w:before="240" w:line="276" w:lineRule="auto"/>
        <w:ind w:right="650"/>
      </w:pPr>
    </w:p>
    <w:p w14:paraId="6E5F4709" w14:textId="77777777" w:rsidR="00565242" w:rsidRDefault="00565242" w:rsidP="00565242">
      <w:pPr>
        <w:pStyle w:val="Heading3"/>
        <w:spacing w:before="80"/>
      </w:pPr>
      <w:r>
        <w:lastRenderedPageBreak/>
        <w:t>The outcome reaffirms that the optimization approach—grounded in modern portfolio theory—was effective in identifying a return-maximizing yet risk-aware allocation, suitable for investors aiming for balanced, high-growth exposure</w:t>
      </w:r>
      <w:r>
        <w:t xml:space="preserve">.  </w:t>
      </w:r>
      <w:r>
        <w:t>Comments</w:t>
      </w:r>
      <w:r>
        <w:rPr>
          <w:spacing w:val="-9"/>
        </w:rPr>
        <w:t xml:space="preserve"> </w:t>
      </w:r>
      <w:r>
        <w:t>(</w:t>
      </w:r>
      <w:proofErr w:type="spellStart"/>
      <w:r>
        <w:t>Backtesting</w:t>
      </w:r>
      <w:proofErr w:type="spellEnd"/>
      <w:r>
        <w:rPr>
          <w:spacing w:val="-7"/>
        </w:rPr>
        <w:t xml:space="preserve"> </w:t>
      </w:r>
      <w:r>
        <w:t>–</w:t>
      </w:r>
      <w:r>
        <w:rPr>
          <w:spacing w:val="-7"/>
        </w:rPr>
        <w:t xml:space="preserve"> </w:t>
      </w:r>
      <w:r>
        <w:t>Optimal</w:t>
      </w:r>
      <w:r>
        <w:rPr>
          <w:spacing w:val="-7"/>
        </w:rPr>
        <w:t xml:space="preserve"> </w:t>
      </w:r>
      <w:r>
        <w:rPr>
          <w:spacing w:val="-2"/>
        </w:rPr>
        <w:t>Weights)</w:t>
      </w:r>
    </w:p>
    <w:p w14:paraId="58351B68" w14:textId="77777777" w:rsidR="00565242" w:rsidRPr="00565242" w:rsidRDefault="00565242" w:rsidP="00565242">
      <w:pPr>
        <w:pStyle w:val="Heading3"/>
        <w:spacing w:before="240"/>
        <w:rPr>
          <w:b w:val="0"/>
          <w:bCs w:val="0"/>
          <w:sz w:val="22"/>
          <w:szCs w:val="22"/>
        </w:rPr>
      </w:pPr>
      <w:r w:rsidRPr="00565242">
        <w:rPr>
          <w:b w:val="0"/>
          <w:bCs w:val="0"/>
          <w:sz w:val="22"/>
          <w:szCs w:val="22"/>
        </w:rPr>
        <w:t xml:space="preserve">During the </w:t>
      </w:r>
      <w:proofErr w:type="spellStart"/>
      <w:r w:rsidRPr="00565242">
        <w:rPr>
          <w:b w:val="0"/>
          <w:bCs w:val="0"/>
          <w:sz w:val="22"/>
          <w:szCs w:val="22"/>
        </w:rPr>
        <w:t>backtesting</w:t>
      </w:r>
      <w:proofErr w:type="spellEnd"/>
      <w:r w:rsidRPr="00565242">
        <w:rPr>
          <w:b w:val="0"/>
          <w:bCs w:val="0"/>
          <w:sz w:val="22"/>
          <w:szCs w:val="22"/>
        </w:rPr>
        <w:t xml:space="preserve"> period, the portfolio achieved a return of approximately 0.</w:t>
      </w:r>
      <w:r>
        <w:rPr>
          <w:b w:val="0"/>
          <w:bCs w:val="0"/>
          <w:sz w:val="22"/>
          <w:szCs w:val="22"/>
        </w:rPr>
        <w:t>007503</w:t>
      </w:r>
      <w:r w:rsidRPr="00565242">
        <w:rPr>
          <w:b w:val="0"/>
          <w:bCs w:val="0"/>
          <w:sz w:val="22"/>
          <w:szCs w:val="22"/>
        </w:rPr>
        <w:t>, indicating strong performance even in the short term. The portfolio variance was 0.00</w:t>
      </w:r>
      <w:r>
        <w:rPr>
          <w:b w:val="0"/>
          <w:bCs w:val="0"/>
          <w:sz w:val="22"/>
          <w:szCs w:val="22"/>
        </w:rPr>
        <w:t>004788</w:t>
      </w:r>
      <w:r w:rsidRPr="00565242">
        <w:rPr>
          <w:b w:val="0"/>
          <w:bCs w:val="0"/>
          <w:sz w:val="22"/>
          <w:szCs w:val="22"/>
        </w:rPr>
        <w:t>, which translates to a daily risk (standard deviation) of 0.0</w:t>
      </w:r>
      <w:r>
        <w:rPr>
          <w:b w:val="0"/>
          <w:bCs w:val="0"/>
          <w:sz w:val="22"/>
          <w:szCs w:val="22"/>
        </w:rPr>
        <w:t xml:space="preserve">069 </w:t>
      </w:r>
      <w:r w:rsidRPr="00565242">
        <w:rPr>
          <w:b w:val="0"/>
          <w:bCs w:val="0"/>
          <w:sz w:val="22"/>
          <w:szCs w:val="22"/>
        </w:rPr>
        <w:t>and an annualized risk of 0.</w:t>
      </w:r>
      <w:r>
        <w:rPr>
          <w:b w:val="0"/>
          <w:bCs w:val="0"/>
          <w:sz w:val="22"/>
          <w:szCs w:val="22"/>
        </w:rPr>
        <w:t>3246</w:t>
      </w:r>
      <w:r w:rsidRPr="00565242">
        <w:rPr>
          <w:b w:val="0"/>
          <w:bCs w:val="0"/>
          <w:sz w:val="22"/>
          <w:szCs w:val="22"/>
        </w:rPr>
        <w:t>. While this reflects a relatively higher volatility compared to typical short-term performance, it aligns with the high return observed.</w:t>
      </w:r>
    </w:p>
    <w:p w14:paraId="0869376E" w14:textId="77777777" w:rsidR="00565242" w:rsidRDefault="00565242" w:rsidP="00565242">
      <w:pPr>
        <w:pStyle w:val="Heading3"/>
        <w:spacing w:before="240"/>
        <w:rPr>
          <w:b w:val="0"/>
          <w:bCs w:val="0"/>
          <w:spacing w:val="-2"/>
          <w:sz w:val="22"/>
          <w:szCs w:val="22"/>
          <w:u w:val="single"/>
        </w:rPr>
      </w:pPr>
      <w:r w:rsidRPr="00565242">
        <w:rPr>
          <w:b w:val="0"/>
          <w:bCs w:val="0"/>
          <w:sz w:val="22"/>
          <w:szCs w:val="22"/>
        </w:rPr>
        <w:t xml:space="preserve">The Sharpe Ratio during the </w:t>
      </w:r>
      <w:proofErr w:type="spellStart"/>
      <w:r w:rsidRPr="00565242">
        <w:rPr>
          <w:b w:val="0"/>
          <w:bCs w:val="0"/>
          <w:sz w:val="22"/>
          <w:szCs w:val="22"/>
        </w:rPr>
        <w:t>backtest</w:t>
      </w:r>
      <w:proofErr w:type="spellEnd"/>
      <w:r w:rsidRPr="00565242">
        <w:rPr>
          <w:b w:val="0"/>
          <w:bCs w:val="0"/>
          <w:sz w:val="22"/>
          <w:szCs w:val="22"/>
        </w:rPr>
        <w:t xml:space="preserve"> stood at </w:t>
      </w:r>
      <w:r>
        <w:rPr>
          <w:b w:val="0"/>
          <w:bCs w:val="0"/>
          <w:sz w:val="22"/>
          <w:szCs w:val="22"/>
        </w:rPr>
        <w:t>-1.9255</w:t>
      </w:r>
      <w:r w:rsidRPr="00565242">
        <w:rPr>
          <w:b w:val="0"/>
          <w:bCs w:val="0"/>
          <w:spacing w:val="-2"/>
          <w:sz w:val="22"/>
          <w:szCs w:val="22"/>
          <w:u w:val="single"/>
        </w:rPr>
        <w:t xml:space="preserve"> </w:t>
      </w:r>
    </w:p>
    <w:p w14:paraId="645725F6" w14:textId="478037D9" w:rsidR="004B3003" w:rsidRDefault="004B3003" w:rsidP="00565242">
      <w:pPr>
        <w:spacing w:before="240" w:line="276" w:lineRule="auto"/>
        <w:ind w:right="650"/>
      </w:pPr>
    </w:p>
    <w:p w14:paraId="74DE6246" w14:textId="7E582F79" w:rsidR="00565242" w:rsidRDefault="00565242" w:rsidP="00565242">
      <w:pPr>
        <w:spacing w:before="240" w:line="276" w:lineRule="auto"/>
        <w:ind w:right="650"/>
        <w:sectPr w:rsidR="00565242">
          <w:pgSz w:w="12240" w:h="15840"/>
          <w:pgMar w:top="1360" w:right="1080" w:bottom="280" w:left="1440" w:header="720" w:footer="720" w:gutter="0"/>
          <w:cols w:space="720"/>
        </w:sectPr>
      </w:pPr>
      <w:r>
        <w:br/>
      </w:r>
    </w:p>
    <w:p w14:paraId="781680EC" w14:textId="48D279CD" w:rsidR="00565242" w:rsidRDefault="00565242" w:rsidP="00565242">
      <w:pPr>
        <w:pStyle w:val="Heading3"/>
        <w:spacing w:before="80"/>
        <w:rPr>
          <w:b w:val="0"/>
          <w:bCs w:val="0"/>
          <w:spacing w:val="-2"/>
          <w:sz w:val="22"/>
          <w:szCs w:val="22"/>
          <w:u w:val="single"/>
        </w:rPr>
      </w:pPr>
      <w:r w:rsidRPr="00565242">
        <w:rPr>
          <w:b w:val="0"/>
          <w:bCs w:val="0"/>
          <w:spacing w:val="-2"/>
          <w:sz w:val="22"/>
          <w:szCs w:val="22"/>
          <w:u w:val="single"/>
        </w:rPr>
        <w:lastRenderedPageBreak/>
        <w:t xml:space="preserve"> </w:t>
      </w:r>
    </w:p>
    <w:sectPr w:rsidR="00565242">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4B0"/>
    <w:multiLevelType w:val="hybridMultilevel"/>
    <w:tmpl w:val="0FAA4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B18A2"/>
    <w:multiLevelType w:val="hybridMultilevel"/>
    <w:tmpl w:val="98DA6028"/>
    <w:lvl w:ilvl="0" w:tplc="4B4059C6">
      <w:start w:val="5"/>
      <w:numFmt w:val="decimal"/>
      <w:lvlText w:val="%1)"/>
      <w:lvlJc w:val="left"/>
      <w:pPr>
        <w:ind w:left="602" w:hanging="360"/>
      </w:pPr>
      <w:rPr>
        <w:rFonts w:hint="default"/>
      </w:rPr>
    </w:lvl>
    <w:lvl w:ilvl="1" w:tplc="40090019" w:tentative="1">
      <w:start w:val="1"/>
      <w:numFmt w:val="lowerLetter"/>
      <w:lvlText w:val="%2."/>
      <w:lvlJc w:val="left"/>
      <w:pPr>
        <w:ind w:left="1322" w:hanging="360"/>
      </w:pPr>
    </w:lvl>
    <w:lvl w:ilvl="2" w:tplc="4009001B" w:tentative="1">
      <w:start w:val="1"/>
      <w:numFmt w:val="lowerRoman"/>
      <w:lvlText w:val="%3."/>
      <w:lvlJc w:val="right"/>
      <w:pPr>
        <w:ind w:left="2042" w:hanging="180"/>
      </w:pPr>
    </w:lvl>
    <w:lvl w:ilvl="3" w:tplc="4009000F" w:tentative="1">
      <w:start w:val="1"/>
      <w:numFmt w:val="decimal"/>
      <w:lvlText w:val="%4."/>
      <w:lvlJc w:val="left"/>
      <w:pPr>
        <w:ind w:left="2762" w:hanging="360"/>
      </w:pPr>
    </w:lvl>
    <w:lvl w:ilvl="4" w:tplc="40090019" w:tentative="1">
      <w:start w:val="1"/>
      <w:numFmt w:val="lowerLetter"/>
      <w:lvlText w:val="%5."/>
      <w:lvlJc w:val="left"/>
      <w:pPr>
        <w:ind w:left="3482" w:hanging="360"/>
      </w:pPr>
    </w:lvl>
    <w:lvl w:ilvl="5" w:tplc="4009001B" w:tentative="1">
      <w:start w:val="1"/>
      <w:numFmt w:val="lowerRoman"/>
      <w:lvlText w:val="%6."/>
      <w:lvlJc w:val="right"/>
      <w:pPr>
        <w:ind w:left="4202" w:hanging="180"/>
      </w:pPr>
    </w:lvl>
    <w:lvl w:ilvl="6" w:tplc="4009000F" w:tentative="1">
      <w:start w:val="1"/>
      <w:numFmt w:val="decimal"/>
      <w:lvlText w:val="%7."/>
      <w:lvlJc w:val="left"/>
      <w:pPr>
        <w:ind w:left="4922" w:hanging="360"/>
      </w:pPr>
    </w:lvl>
    <w:lvl w:ilvl="7" w:tplc="40090019" w:tentative="1">
      <w:start w:val="1"/>
      <w:numFmt w:val="lowerLetter"/>
      <w:lvlText w:val="%8."/>
      <w:lvlJc w:val="left"/>
      <w:pPr>
        <w:ind w:left="5642" w:hanging="360"/>
      </w:pPr>
    </w:lvl>
    <w:lvl w:ilvl="8" w:tplc="4009001B" w:tentative="1">
      <w:start w:val="1"/>
      <w:numFmt w:val="lowerRoman"/>
      <w:lvlText w:val="%9."/>
      <w:lvlJc w:val="right"/>
      <w:pPr>
        <w:ind w:left="6362" w:hanging="180"/>
      </w:pPr>
    </w:lvl>
  </w:abstractNum>
  <w:abstractNum w:abstractNumId="2" w15:restartNumberingAfterBreak="0">
    <w:nsid w:val="09A93691"/>
    <w:multiLevelType w:val="multilevel"/>
    <w:tmpl w:val="260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F4932"/>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2305C"/>
    <w:multiLevelType w:val="hybridMultilevel"/>
    <w:tmpl w:val="303A9C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4F6A56"/>
    <w:multiLevelType w:val="hybridMultilevel"/>
    <w:tmpl w:val="79508DE0"/>
    <w:lvl w:ilvl="0" w:tplc="4EA818BA">
      <w:start w:val="1"/>
      <w:numFmt w:val="upperLetter"/>
      <w:lvlText w:val="%1."/>
      <w:lvlJc w:val="left"/>
      <w:pPr>
        <w:ind w:left="268" w:hanging="269"/>
      </w:pPr>
      <w:rPr>
        <w:rFonts w:ascii="Arial" w:eastAsia="Arial" w:hAnsi="Arial" w:cs="Arial" w:hint="default"/>
        <w:b w:val="0"/>
        <w:bCs w:val="0"/>
        <w:i w:val="0"/>
        <w:iCs w:val="0"/>
        <w:spacing w:val="-1"/>
        <w:w w:val="100"/>
        <w:sz w:val="22"/>
        <w:szCs w:val="22"/>
        <w:lang w:val="en-US" w:eastAsia="en-US" w:bidi="ar-SA"/>
      </w:rPr>
    </w:lvl>
    <w:lvl w:ilvl="1" w:tplc="01A2DD0A">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2" w:tplc="47806F7C">
      <w:numFmt w:val="bullet"/>
      <w:lvlText w:val="•"/>
      <w:lvlJc w:val="left"/>
      <w:pPr>
        <w:ind w:left="1720" w:hanging="360"/>
      </w:pPr>
      <w:rPr>
        <w:rFonts w:hint="default"/>
        <w:lang w:val="en-US" w:eastAsia="en-US" w:bidi="ar-SA"/>
      </w:rPr>
    </w:lvl>
    <w:lvl w:ilvl="3" w:tplc="6EC05856">
      <w:numFmt w:val="bullet"/>
      <w:lvlText w:val="•"/>
      <w:lvlJc w:val="left"/>
      <w:pPr>
        <w:ind w:left="2720" w:hanging="360"/>
      </w:pPr>
      <w:rPr>
        <w:rFonts w:hint="default"/>
        <w:lang w:val="en-US" w:eastAsia="en-US" w:bidi="ar-SA"/>
      </w:rPr>
    </w:lvl>
    <w:lvl w:ilvl="4" w:tplc="51AE1ABC">
      <w:numFmt w:val="bullet"/>
      <w:lvlText w:val="•"/>
      <w:lvlJc w:val="left"/>
      <w:pPr>
        <w:ind w:left="3720" w:hanging="360"/>
      </w:pPr>
      <w:rPr>
        <w:rFonts w:hint="default"/>
        <w:lang w:val="en-US" w:eastAsia="en-US" w:bidi="ar-SA"/>
      </w:rPr>
    </w:lvl>
    <w:lvl w:ilvl="5" w:tplc="E078D68A">
      <w:numFmt w:val="bullet"/>
      <w:lvlText w:val="•"/>
      <w:lvlJc w:val="left"/>
      <w:pPr>
        <w:ind w:left="4720" w:hanging="360"/>
      </w:pPr>
      <w:rPr>
        <w:rFonts w:hint="default"/>
        <w:lang w:val="en-US" w:eastAsia="en-US" w:bidi="ar-SA"/>
      </w:rPr>
    </w:lvl>
    <w:lvl w:ilvl="6" w:tplc="175461CA">
      <w:numFmt w:val="bullet"/>
      <w:lvlText w:val="•"/>
      <w:lvlJc w:val="left"/>
      <w:pPr>
        <w:ind w:left="5720" w:hanging="360"/>
      </w:pPr>
      <w:rPr>
        <w:rFonts w:hint="default"/>
        <w:lang w:val="en-US" w:eastAsia="en-US" w:bidi="ar-SA"/>
      </w:rPr>
    </w:lvl>
    <w:lvl w:ilvl="7" w:tplc="F8AA470C">
      <w:numFmt w:val="bullet"/>
      <w:lvlText w:val="•"/>
      <w:lvlJc w:val="left"/>
      <w:pPr>
        <w:ind w:left="6720" w:hanging="360"/>
      </w:pPr>
      <w:rPr>
        <w:rFonts w:hint="default"/>
        <w:lang w:val="en-US" w:eastAsia="en-US" w:bidi="ar-SA"/>
      </w:rPr>
    </w:lvl>
    <w:lvl w:ilvl="8" w:tplc="F9944590">
      <w:numFmt w:val="bullet"/>
      <w:lvlText w:val="•"/>
      <w:lvlJc w:val="left"/>
      <w:pPr>
        <w:ind w:left="7720" w:hanging="360"/>
      </w:pPr>
      <w:rPr>
        <w:rFonts w:hint="default"/>
        <w:lang w:val="en-US" w:eastAsia="en-US" w:bidi="ar-SA"/>
      </w:rPr>
    </w:lvl>
  </w:abstractNum>
  <w:abstractNum w:abstractNumId="6" w15:restartNumberingAfterBreak="0">
    <w:nsid w:val="1F041612"/>
    <w:multiLevelType w:val="multilevel"/>
    <w:tmpl w:val="BD7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C563C"/>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36BF2"/>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4191E"/>
    <w:multiLevelType w:val="hybridMultilevel"/>
    <w:tmpl w:val="A81A9494"/>
    <w:lvl w:ilvl="0" w:tplc="701A07F8">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1" w:tplc="2A8EECEC">
      <w:numFmt w:val="bullet"/>
      <w:lvlText w:val="•"/>
      <w:lvlJc w:val="left"/>
      <w:pPr>
        <w:ind w:left="1620" w:hanging="360"/>
      </w:pPr>
      <w:rPr>
        <w:rFonts w:hint="default"/>
        <w:lang w:val="en-US" w:eastAsia="en-US" w:bidi="ar-SA"/>
      </w:rPr>
    </w:lvl>
    <w:lvl w:ilvl="2" w:tplc="CE46E9DA">
      <w:numFmt w:val="bullet"/>
      <w:lvlText w:val="•"/>
      <w:lvlJc w:val="left"/>
      <w:pPr>
        <w:ind w:left="2520" w:hanging="360"/>
      </w:pPr>
      <w:rPr>
        <w:rFonts w:hint="default"/>
        <w:lang w:val="en-US" w:eastAsia="en-US" w:bidi="ar-SA"/>
      </w:rPr>
    </w:lvl>
    <w:lvl w:ilvl="3" w:tplc="FE3AA958">
      <w:numFmt w:val="bullet"/>
      <w:lvlText w:val="•"/>
      <w:lvlJc w:val="left"/>
      <w:pPr>
        <w:ind w:left="3420" w:hanging="360"/>
      </w:pPr>
      <w:rPr>
        <w:rFonts w:hint="default"/>
        <w:lang w:val="en-US" w:eastAsia="en-US" w:bidi="ar-SA"/>
      </w:rPr>
    </w:lvl>
    <w:lvl w:ilvl="4" w:tplc="2670F9E8">
      <w:numFmt w:val="bullet"/>
      <w:lvlText w:val="•"/>
      <w:lvlJc w:val="left"/>
      <w:pPr>
        <w:ind w:left="4320" w:hanging="360"/>
      </w:pPr>
      <w:rPr>
        <w:rFonts w:hint="default"/>
        <w:lang w:val="en-US" w:eastAsia="en-US" w:bidi="ar-SA"/>
      </w:rPr>
    </w:lvl>
    <w:lvl w:ilvl="5" w:tplc="E8CA2DA4">
      <w:numFmt w:val="bullet"/>
      <w:lvlText w:val="•"/>
      <w:lvlJc w:val="left"/>
      <w:pPr>
        <w:ind w:left="5220" w:hanging="360"/>
      </w:pPr>
      <w:rPr>
        <w:rFonts w:hint="default"/>
        <w:lang w:val="en-US" w:eastAsia="en-US" w:bidi="ar-SA"/>
      </w:rPr>
    </w:lvl>
    <w:lvl w:ilvl="6" w:tplc="49A4817C">
      <w:numFmt w:val="bullet"/>
      <w:lvlText w:val="•"/>
      <w:lvlJc w:val="left"/>
      <w:pPr>
        <w:ind w:left="6120" w:hanging="360"/>
      </w:pPr>
      <w:rPr>
        <w:rFonts w:hint="default"/>
        <w:lang w:val="en-US" w:eastAsia="en-US" w:bidi="ar-SA"/>
      </w:rPr>
    </w:lvl>
    <w:lvl w:ilvl="7" w:tplc="02C6B32A">
      <w:numFmt w:val="bullet"/>
      <w:lvlText w:val="•"/>
      <w:lvlJc w:val="left"/>
      <w:pPr>
        <w:ind w:left="7020" w:hanging="360"/>
      </w:pPr>
      <w:rPr>
        <w:rFonts w:hint="default"/>
        <w:lang w:val="en-US" w:eastAsia="en-US" w:bidi="ar-SA"/>
      </w:rPr>
    </w:lvl>
    <w:lvl w:ilvl="8" w:tplc="FF02B752">
      <w:numFmt w:val="bullet"/>
      <w:lvlText w:val="•"/>
      <w:lvlJc w:val="left"/>
      <w:pPr>
        <w:ind w:left="7920" w:hanging="360"/>
      </w:pPr>
      <w:rPr>
        <w:rFonts w:hint="default"/>
        <w:lang w:val="en-US" w:eastAsia="en-US" w:bidi="ar-SA"/>
      </w:rPr>
    </w:lvl>
  </w:abstractNum>
  <w:abstractNum w:abstractNumId="10" w15:restartNumberingAfterBreak="0">
    <w:nsid w:val="2C294E9D"/>
    <w:multiLevelType w:val="hybridMultilevel"/>
    <w:tmpl w:val="76AAFE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2CC112B2"/>
    <w:multiLevelType w:val="multilevel"/>
    <w:tmpl w:val="C126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07D5A"/>
    <w:multiLevelType w:val="hybridMultilevel"/>
    <w:tmpl w:val="54300540"/>
    <w:lvl w:ilvl="0" w:tplc="B1742CC8">
      <w:start w:val="1"/>
      <w:numFmt w:val="decimal"/>
      <w:lvlText w:val="%1."/>
      <w:lvlJc w:val="left"/>
      <w:pPr>
        <w:ind w:left="720" w:hanging="360"/>
        <w:jc w:val="right"/>
      </w:pPr>
      <w:rPr>
        <w:rFonts w:hint="default"/>
        <w:spacing w:val="-1"/>
        <w:w w:val="91"/>
        <w:lang w:val="en-US" w:eastAsia="en-US" w:bidi="ar-SA"/>
      </w:rPr>
    </w:lvl>
    <w:lvl w:ilvl="1" w:tplc="567C31CE">
      <w:start w:val="1"/>
      <w:numFmt w:val="decimal"/>
      <w:lvlText w:val="%2."/>
      <w:lvlJc w:val="left"/>
      <w:pPr>
        <w:ind w:left="244" w:hanging="245"/>
      </w:pPr>
      <w:rPr>
        <w:rFonts w:ascii="Arial" w:eastAsia="Arial" w:hAnsi="Arial" w:cs="Arial" w:hint="default"/>
        <w:b/>
        <w:bCs/>
        <w:i w:val="0"/>
        <w:iCs w:val="0"/>
        <w:spacing w:val="-1"/>
        <w:w w:val="100"/>
        <w:sz w:val="22"/>
        <w:szCs w:val="22"/>
        <w:lang w:val="en-US" w:eastAsia="en-US" w:bidi="ar-SA"/>
      </w:rPr>
    </w:lvl>
    <w:lvl w:ilvl="2" w:tplc="F92240FC">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3" w:tplc="8AE02C0E">
      <w:numFmt w:val="bullet"/>
      <w:lvlText w:val="•"/>
      <w:lvlJc w:val="left"/>
      <w:pPr>
        <w:ind w:left="2720" w:hanging="360"/>
      </w:pPr>
      <w:rPr>
        <w:rFonts w:hint="default"/>
        <w:lang w:val="en-US" w:eastAsia="en-US" w:bidi="ar-SA"/>
      </w:rPr>
    </w:lvl>
    <w:lvl w:ilvl="4" w:tplc="6D141E68">
      <w:numFmt w:val="bullet"/>
      <w:lvlText w:val="•"/>
      <w:lvlJc w:val="left"/>
      <w:pPr>
        <w:ind w:left="3720" w:hanging="360"/>
      </w:pPr>
      <w:rPr>
        <w:rFonts w:hint="default"/>
        <w:lang w:val="en-US" w:eastAsia="en-US" w:bidi="ar-SA"/>
      </w:rPr>
    </w:lvl>
    <w:lvl w:ilvl="5" w:tplc="E72ADCE8">
      <w:numFmt w:val="bullet"/>
      <w:lvlText w:val="•"/>
      <w:lvlJc w:val="left"/>
      <w:pPr>
        <w:ind w:left="4720" w:hanging="360"/>
      </w:pPr>
      <w:rPr>
        <w:rFonts w:hint="default"/>
        <w:lang w:val="en-US" w:eastAsia="en-US" w:bidi="ar-SA"/>
      </w:rPr>
    </w:lvl>
    <w:lvl w:ilvl="6" w:tplc="6FEE5686">
      <w:numFmt w:val="bullet"/>
      <w:lvlText w:val="•"/>
      <w:lvlJc w:val="left"/>
      <w:pPr>
        <w:ind w:left="5720" w:hanging="360"/>
      </w:pPr>
      <w:rPr>
        <w:rFonts w:hint="default"/>
        <w:lang w:val="en-US" w:eastAsia="en-US" w:bidi="ar-SA"/>
      </w:rPr>
    </w:lvl>
    <w:lvl w:ilvl="7" w:tplc="AB8A5018">
      <w:numFmt w:val="bullet"/>
      <w:lvlText w:val="•"/>
      <w:lvlJc w:val="left"/>
      <w:pPr>
        <w:ind w:left="6720" w:hanging="360"/>
      </w:pPr>
      <w:rPr>
        <w:rFonts w:hint="default"/>
        <w:lang w:val="en-US" w:eastAsia="en-US" w:bidi="ar-SA"/>
      </w:rPr>
    </w:lvl>
    <w:lvl w:ilvl="8" w:tplc="0974E1FC">
      <w:numFmt w:val="bullet"/>
      <w:lvlText w:val="•"/>
      <w:lvlJc w:val="left"/>
      <w:pPr>
        <w:ind w:left="7720" w:hanging="360"/>
      </w:pPr>
      <w:rPr>
        <w:rFonts w:hint="default"/>
        <w:lang w:val="en-US" w:eastAsia="en-US" w:bidi="ar-SA"/>
      </w:rPr>
    </w:lvl>
  </w:abstractNum>
  <w:abstractNum w:abstractNumId="13" w15:restartNumberingAfterBreak="0">
    <w:nsid w:val="2D333A1E"/>
    <w:multiLevelType w:val="hybridMultilevel"/>
    <w:tmpl w:val="A2B215B6"/>
    <w:lvl w:ilvl="0" w:tplc="519AD21A">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1" w:tplc="E862AE08">
      <w:numFmt w:val="bullet"/>
      <w:lvlText w:val="○"/>
      <w:lvlJc w:val="left"/>
      <w:pPr>
        <w:ind w:left="1440" w:hanging="360"/>
      </w:pPr>
      <w:rPr>
        <w:rFonts w:ascii="Arial" w:eastAsia="Arial" w:hAnsi="Arial" w:cs="Arial" w:hint="default"/>
        <w:b w:val="0"/>
        <w:bCs w:val="0"/>
        <w:i w:val="0"/>
        <w:iCs w:val="0"/>
        <w:spacing w:val="0"/>
        <w:w w:val="100"/>
        <w:sz w:val="22"/>
        <w:szCs w:val="22"/>
        <w:lang w:val="en-US" w:eastAsia="en-US" w:bidi="ar-SA"/>
      </w:rPr>
    </w:lvl>
    <w:lvl w:ilvl="2" w:tplc="D7321DE2">
      <w:numFmt w:val="bullet"/>
      <w:lvlText w:val="•"/>
      <w:lvlJc w:val="left"/>
      <w:pPr>
        <w:ind w:left="2360" w:hanging="360"/>
      </w:pPr>
      <w:rPr>
        <w:rFonts w:hint="default"/>
        <w:lang w:val="en-US" w:eastAsia="en-US" w:bidi="ar-SA"/>
      </w:rPr>
    </w:lvl>
    <w:lvl w:ilvl="3" w:tplc="C27A7B86">
      <w:numFmt w:val="bullet"/>
      <w:lvlText w:val="•"/>
      <w:lvlJc w:val="left"/>
      <w:pPr>
        <w:ind w:left="3280" w:hanging="360"/>
      </w:pPr>
      <w:rPr>
        <w:rFonts w:hint="default"/>
        <w:lang w:val="en-US" w:eastAsia="en-US" w:bidi="ar-SA"/>
      </w:rPr>
    </w:lvl>
    <w:lvl w:ilvl="4" w:tplc="683EAE50">
      <w:numFmt w:val="bullet"/>
      <w:lvlText w:val="•"/>
      <w:lvlJc w:val="left"/>
      <w:pPr>
        <w:ind w:left="4200" w:hanging="360"/>
      </w:pPr>
      <w:rPr>
        <w:rFonts w:hint="default"/>
        <w:lang w:val="en-US" w:eastAsia="en-US" w:bidi="ar-SA"/>
      </w:rPr>
    </w:lvl>
    <w:lvl w:ilvl="5" w:tplc="A0FA00E0">
      <w:numFmt w:val="bullet"/>
      <w:lvlText w:val="•"/>
      <w:lvlJc w:val="left"/>
      <w:pPr>
        <w:ind w:left="5120" w:hanging="360"/>
      </w:pPr>
      <w:rPr>
        <w:rFonts w:hint="default"/>
        <w:lang w:val="en-US" w:eastAsia="en-US" w:bidi="ar-SA"/>
      </w:rPr>
    </w:lvl>
    <w:lvl w:ilvl="6" w:tplc="0F187BF6">
      <w:numFmt w:val="bullet"/>
      <w:lvlText w:val="•"/>
      <w:lvlJc w:val="left"/>
      <w:pPr>
        <w:ind w:left="6040" w:hanging="360"/>
      </w:pPr>
      <w:rPr>
        <w:rFonts w:hint="default"/>
        <w:lang w:val="en-US" w:eastAsia="en-US" w:bidi="ar-SA"/>
      </w:rPr>
    </w:lvl>
    <w:lvl w:ilvl="7" w:tplc="0420AB52">
      <w:numFmt w:val="bullet"/>
      <w:lvlText w:val="•"/>
      <w:lvlJc w:val="left"/>
      <w:pPr>
        <w:ind w:left="6960" w:hanging="360"/>
      </w:pPr>
      <w:rPr>
        <w:rFonts w:hint="default"/>
        <w:lang w:val="en-US" w:eastAsia="en-US" w:bidi="ar-SA"/>
      </w:rPr>
    </w:lvl>
    <w:lvl w:ilvl="8" w:tplc="E82A2A26">
      <w:numFmt w:val="bullet"/>
      <w:lvlText w:val="•"/>
      <w:lvlJc w:val="left"/>
      <w:pPr>
        <w:ind w:left="7880" w:hanging="360"/>
      </w:pPr>
      <w:rPr>
        <w:rFonts w:hint="default"/>
        <w:lang w:val="en-US" w:eastAsia="en-US" w:bidi="ar-SA"/>
      </w:rPr>
    </w:lvl>
  </w:abstractNum>
  <w:abstractNum w:abstractNumId="14" w15:restartNumberingAfterBreak="0">
    <w:nsid w:val="310A7EEA"/>
    <w:multiLevelType w:val="hybridMultilevel"/>
    <w:tmpl w:val="37AE99C2"/>
    <w:lvl w:ilvl="0" w:tplc="4C70BA1A">
      <w:start w:val="1"/>
      <w:numFmt w:val="upperLetter"/>
      <w:lvlText w:val="%1."/>
      <w:lvlJc w:val="left"/>
      <w:pPr>
        <w:ind w:left="280" w:hanging="281"/>
      </w:pPr>
      <w:rPr>
        <w:rFonts w:ascii="Arial" w:eastAsia="Arial" w:hAnsi="Arial" w:cs="Arial" w:hint="default"/>
        <w:b/>
        <w:bCs/>
        <w:i w:val="0"/>
        <w:iCs w:val="0"/>
        <w:spacing w:val="-1"/>
        <w:w w:val="100"/>
        <w:sz w:val="22"/>
        <w:szCs w:val="22"/>
        <w:lang w:val="en-US" w:eastAsia="en-US" w:bidi="ar-SA"/>
      </w:rPr>
    </w:lvl>
    <w:lvl w:ilvl="1" w:tplc="0688CB04">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2" w:tplc="F08840E0">
      <w:numFmt w:val="bullet"/>
      <w:lvlText w:val="•"/>
      <w:lvlJc w:val="left"/>
      <w:pPr>
        <w:ind w:left="1720" w:hanging="360"/>
      </w:pPr>
      <w:rPr>
        <w:rFonts w:hint="default"/>
        <w:lang w:val="en-US" w:eastAsia="en-US" w:bidi="ar-SA"/>
      </w:rPr>
    </w:lvl>
    <w:lvl w:ilvl="3" w:tplc="4BC429CC">
      <w:numFmt w:val="bullet"/>
      <w:lvlText w:val="•"/>
      <w:lvlJc w:val="left"/>
      <w:pPr>
        <w:ind w:left="2720" w:hanging="360"/>
      </w:pPr>
      <w:rPr>
        <w:rFonts w:hint="default"/>
        <w:lang w:val="en-US" w:eastAsia="en-US" w:bidi="ar-SA"/>
      </w:rPr>
    </w:lvl>
    <w:lvl w:ilvl="4" w:tplc="C1800524">
      <w:numFmt w:val="bullet"/>
      <w:lvlText w:val="•"/>
      <w:lvlJc w:val="left"/>
      <w:pPr>
        <w:ind w:left="3720" w:hanging="360"/>
      </w:pPr>
      <w:rPr>
        <w:rFonts w:hint="default"/>
        <w:lang w:val="en-US" w:eastAsia="en-US" w:bidi="ar-SA"/>
      </w:rPr>
    </w:lvl>
    <w:lvl w:ilvl="5" w:tplc="9212435E">
      <w:numFmt w:val="bullet"/>
      <w:lvlText w:val="•"/>
      <w:lvlJc w:val="left"/>
      <w:pPr>
        <w:ind w:left="4720" w:hanging="360"/>
      </w:pPr>
      <w:rPr>
        <w:rFonts w:hint="default"/>
        <w:lang w:val="en-US" w:eastAsia="en-US" w:bidi="ar-SA"/>
      </w:rPr>
    </w:lvl>
    <w:lvl w:ilvl="6" w:tplc="DA72E71A">
      <w:numFmt w:val="bullet"/>
      <w:lvlText w:val="•"/>
      <w:lvlJc w:val="left"/>
      <w:pPr>
        <w:ind w:left="5720" w:hanging="360"/>
      </w:pPr>
      <w:rPr>
        <w:rFonts w:hint="default"/>
        <w:lang w:val="en-US" w:eastAsia="en-US" w:bidi="ar-SA"/>
      </w:rPr>
    </w:lvl>
    <w:lvl w:ilvl="7" w:tplc="7638B3D8">
      <w:numFmt w:val="bullet"/>
      <w:lvlText w:val="•"/>
      <w:lvlJc w:val="left"/>
      <w:pPr>
        <w:ind w:left="6720" w:hanging="360"/>
      </w:pPr>
      <w:rPr>
        <w:rFonts w:hint="default"/>
        <w:lang w:val="en-US" w:eastAsia="en-US" w:bidi="ar-SA"/>
      </w:rPr>
    </w:lvl>
    <w:lvl w:ilvl="8" w:tplc="E098E8C2">
      <w:numFmt w:val="bullet"/>
      <w:lvlText w:val="•"/>
      <w:lvlJc w:val="left"/>
      <w:pPr>
        <w:ind w:left="7720" w:hanging="360"/>
      </w:pPr>
      <w:rPr>
        <w:rFonts w:hint="default"/>
        <w:lang w:val="en-US" w:eastAsia="en-US" w:bidi="ar-SA"/>
      </w:rPr>
    </w:lvl>
  </w:abstractNum>
  <w:abstractNum w:abstractNumId="15" w15:restartNumberingAfterBreak="0">
    <w:nsid w:val="374210E9"/>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304E5"/>
    <w:multiLevelType w:val="multilevel"/>
    <w:tmpl w:val="0BE6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55B25"/>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51DD9"/>
    <w:multiLevelType w:val="hybridMultilevel"/>
    <w:tmpl w:val="469ADD76"/>
    <w:lvl w:ilvl="0" w:tplc="BAA01BD8">
      <w:start w:val="1"/>
      <w:numFmt w:val="decimal"/>
      <w:lvlText w:val="%1."/>
      <w:lvlJc w:val="left"/>
      <w:pPr>
        <w:ind w:left="244" w:hanging="245"/>
      </w:pPr>
      <w:rPr>
        <w:rFonts w:ascii="Arial" w:eastAsia="Arial" w:hAnsi="Arial" w:cs="Arial" w:hint="default"/>
        <w:b/>
        <w:bCs/>
        <w:i w:val="0"/>
        <w:iCs w:val="0"/>
        <w:spacing w:val="-1"/>
        <w:w w:val="100"/>
        <w:sz w:val="22"/>
        <w:szCs w:val="22"/>
        <w:lang w:val="en-US" w:eastAsia="en-US" w:bidi="ar-SA"/>
      </w:rPr>
    </w:lvl>
    <w:lvl w:ilvl="1" w:tplc="72B4C9D4">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2" w:tplc="582624EA">
      <w:numFmt w:val="bullet"/>
      <w:lvlText w:val="•"/>
      <w:lvlJc w:val="left"/>
      <w:pPr>
        <w:ind w:left="1720" w:hanging="360"/>
      </w:pPr>
      <w:rPr>
        <w:rFonts w:hint="default"/>
        <w:lang w:val="en-US" w:eastAsia="en-US" w:bidi="ar-SA"/>
      </w:rPr>
    </w:lvl>
    <w:lvl w:ilvl="3" w:tplc="682AB11C">
      <w:numFmt w:val="bullet"/>
      <w:lvlText w:val="•"/>
      <w:lvlJc w:val="left"/>
      <w:pPr>
        <w:ind w:left="2720" w:hanging="360"/>
      </w:pPr>
      <w:rPr>
        <w:rFonts w:hint="default"/>
        <w:lang w:val="en-US" w:eastAsia="en-US" w:bidi="ar-SA"/>
      </w:rPr>
    </w:lvl>
    <w:lvl w:ilvl="4" w:tplc="298E781C">
      <w:numFmt w:val="bullet"/>
      <w:lvlText w:val="•"/>
      <w:lvlJc w:val="left"/>
      <w:pPr>
        <w:ind w:left="3720" w:hanging="360"/>
      </w:pPr>
      <w:rPr>
        <w:rFonts w:hint="default"/>
        <w:lang w:val="en-US" w:eastAsia="en-US" w:bidi="ar-SA"/>
      </w:rPr>
    </w:lvl>
    <w:lvl w:ilvl="5" w:tplc="29D4F334">
      <w:numFmt w:val="bullet"/>
      <w:lvlText w:val="•"/>
      <w:lvlJc w:val="left"/>
      <w:pPr>
        <w:ind w:left="4720" w:hanging="360"/>
      </w:pPr>
      <w:rPr>
        <w:rFonts w:hint="default"/>
        <w:lang w:val="en-US" w:eastAsia="en-US" w:bidi="ar-SA"/>
      </w:rPr>
    </w:lvl>
    <w:lvl w:ilvl="6" w:tplc="BA3E80CC">
      <w:numFmt w:val="bullet"/>
      <w:lvlText w:val="•"/>
      <w:lvlJc w:val="left"/>
      <w:pPr>
        <w:ind w:left="5720" w:hanging="360"/>
      </w:pPr>
      <w:rPr>
        <w:rFonts w:hint="default"/>
        <w:lang w:val="en-US" w:eastAsia="en-US" w:bidi="ar-SA"/>
      </w:rPr>
    </w:lvl>
    <w:lvl w:ilvl="7" w:tplc="85EE6A36">
      <w:numFmt w:val="bullet"/>
      <w:lvlText w:val="•"/>
      <w:lvlJc w:val="left"/>
      <w:pPr>
        <w:ind w:left="6720" w:hanging="360"/>
      </w:pPr>
      <w:rPr>
        <w:rFonts w:hint="default"/>
        <w:lang w:val="en-US" w:eastAsia="en-US" w:bidi="ar-SA"/>
      </w:rPr>
    </w:lvl>
    <w:lvl w:ilvl="8" w:tplc="2424EA60">
      <w:numFmt w:val="bullet"/>
      <w:lvlText w:val="•"/>
      <w:lvlJc w:val="left"/>
      <w:pPr>
        <w:ind w:left="7720" w:hanging="360"/>
      </w:pPr>
      <w:rPr>
        <w:rFonts w:hint="default"/>
        <w:lang w:val="en-US" w:eastAsia="en-US" w:bidi="ar-SA"/>
      </w:rPr>
    </w:lvl>
  </w:abstractNum>
  <w:abstractNum w:abstractNumId="19" w15:restartNumberingAfterBreak="0">
    <w:nsid w:val="42700236"/>
    <w:multiLevelType w:val="multilevel"/>
    <w:tmpl w:val="DD04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51BB1"/>
    <w:multiLevelType w:val="multilevel"/>
    <w:tmpl w:val="260A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7050C"/>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50A7B"/>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D66F9"/>
    <w:multiLevelType w:val="hybridMultilevel"/>
    <w:tmpl w:val="6E948228"/>
    <w:lvl w:ilvl="0" w:tplc="E0E67408">
      <w:start w:val="1"/>
      <w:numFmt w:val="upperLetter"/>
      <w:lvlText w:val="%1."/>
      <w:lvlJc w:val="left"/>
      <w:pPr>
        <w:ind w:left="0" w:hanging="281"/>
      </w:pPr>
      <w:rPr>
        <w:rFonts w:ascii="Arial" w:eastAsia="Arial" w:hAnsi="Arial" w:cs="Arial" w:hint="default"/>
        <w:b/>
        <w:bCs/>
        <w:i w:val="0"/>
        <w:iCs w:val="0"/>
        <w:spacing w:val="-1"/>
        <w:w w:val="100"/>
        <w:sz w:val="22"/>
        <w:szCs w:val="22"/>
        <w:lang w:val="en-US" w:eastAsia="en-US" w:bidi="ar-SA"/>
      </w:rPr>
    </w:lvl>
    <w:lvl w:ilvl="1" w:tplc="C8A4B146">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2" w:tplc="5984AA10">
      <w:numFmt w:val="bullet"/>
      <w:lvlText w:val="•"/>
      <w:lvlJc w:val="left"/>
      <w:pPr>
        <w:ind w:left="1720" w:hanging="360"/>
      </w:pPr>
      <w:rPr>
        <w:rFonts w:hint="default"/>
        <w:lang w:val="en-US" w:eastAsia="en-US" w:bidi="ar-SA"/>
      </w:rPr>
    </w:lvl>
    <w:lvl w:ilvl="3" w:tplc="9CBC4166">
      <w:numFmt w:val="bullet"/>
      <w:lvlText w:val="•"/>
      <w:lvlJc w:val="left"/>
      <w:pPr>
        <w:ind w:left="2720" w:hanging="360"/>
      </w:pPr>
      <w:rPr>
        <w:rFonts w:hint="default"/>
        <w:lang w:val="en-US" w:eastAsia="en-US" w:bidi="ar-SA"/>
      </w:rPr>
    </w:lvl>
    <w:lvl w:ilvl="4" w:tplc="54B6337A">
      <w:numFmt w:val="bullet"/>
      <w:lvlText w:val="•"/>
      <w:lvlJc w:val="left"/>
      <w:pPr>
        <w:ind w:left="3720" w:hanging="360"/>
      </w:pPr>
      <w:rPr>
        <w:rFonts w:hint="default"/>
        <w:lang w:val="en-US" w:eastAsia="en-US" w:bidi="ar-SA"/>
      </w:rPr>
    </w:lvl>
    <w:lvl w:ilvl="5" w:tplc="3D66CC76">
      <w:numFmt w:val="bullet"/>
      <w:lvlText w:val="•"/>
      <w:lvlJc w:val="left"/>
      <w:pPr>
        <w:ind w:left="4720" w:hanging="360"/>
      </w:pPr>
      <w:rPr>
        <w:rFonts w:hint="default"/>
        <w:lang w:val="en-US" w:eastAsia="en-US" w:bidi="ar-SA"/>
      </w:rPr>
    </w:lvl>
    <w:lvl w:ilvl="6" w:tplc="7714DA48">
      <w:numFmt w:val="bullet"/>
      <w:lvlText w:val="•"/>
      <w:lvlJc w:val="left"/>
      <w:pPr>
        <w:ind w:left="5720" w:hanging="360"/>
      </w:pPr>
      <w:rPr>
        <w:rFonts w:hint="default"/>
        <w:lang w:val="en-US" w:eastAsia="en-US" w:bidi="ar-SA"/>
      </w:rPr>
    </w:lvl>
    <w:lvl w:ilvl="7" w:tplc="7600459E">
      <w:numFmt w:val="bullet"/>
      <w:lvlText w:val="•"/>
      <w:lvlJc w:val="left"/>
      <w:pPr>
        <w:ind w:left="6720" w:hanging="360"/>
      </w:pPr>
      <w:rPr>
        <w:rFonts w:hint="default"/>
        <w:lang w:val="en-US" w:eastAsia="en-US" w:bidi="ar-SA"/>
      </w:rPr>
    </w:lvl>
    <w:lvl w:ilvl="8" w:tplc="12B858AE">
      <w:numFmt w:val="bullet"/>
      <w:lvlText w:val="•"/>
      <w:lvlJc w:val="left"/>
      <w:pPr>
        <w:ind w:left="7720" w:hanging="360"/>
      </w:pPr>
      <w:rPr>
        <w:rFonts w:hint="default"/>
        <w:lang w:val="en-US" w:eastAsia="en-US" w:bidi="ar-SA"/>
      </w:rPr>
    </w:lvl>
  </w:abstractNum>
  <w:abstractNum w:abstractNumId="24" w15:restartNumberingAfterBreak="0">
    <w:nsid w:val="4ABB1F0F"/>
    <w:multiLevelType w:val="hybridMultilevel"/>
    <w:tmpl w:val="84E6E2A2"/>
    <w:lvl w:ilvl="0" w:tplc="1A3E3A12">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1" w:tplc="5338DF98">
      <w:numFmt w:val="bullet"/>
      <w:lvlText w:val="•"/>
      <w:lvlJc w:val="left"/>
      <w:pPr>
        <w:ind w:left="1620" w:hanging="360"/>
      </w:pPr>
      <w:rPr>
        <w:rFonts w:hint="default"/>
        <w:lang w:val="en-US" w:eastAsia="en-US" w:bidi="ar-SA"/>
      </w:rPr>
    </w:lvl>
    <w:lvl w:ilvl="2" w:tplc="5E460A20">
      <w:numFmt w:val="bullet"/>
      <w:lvlText w:val="•"/>
      <w:lvlJc w:val="left"/>
      <w:pPr>
        <w:ind w:left="2520" w:hanging="360"/>
      </w:pPr>
      <w:rPr>
        <w:rFonts w:hint="default"/>
        <w:lang w:val="en-US" w:eastAsia="en-US" w:bidi="ar-SA"/>
      </w:rPr>
    </w:lvl>
    <w:lvl w:ilvl="3" w:tplc="A97A4694">
      <w:numFmt w:val="bullet"/>
      <w:lvlText w:val="•"/>
      <w:lvlJc w:val="left"/>
      <w:pPr>
        <w:ind w:left="3420" w:hanging="360"/>
      </w:pPr>
      <w:rPr>
        <w:rFonts w:hint="default"/>
        <w:lang w:val="en-US" w:eastAsia="en-US" w:bidi="ar-SA"/>
      </w:rPr>
    </w:lvl>
    <w:lvl w:ilvl="4" w:tplc="2BFCBF3C">
      <w:numFmt w:val="bullet"/>
      <w:lvlText w:val="•"/>
      <w:lvlJc w:val="left"/>
      <w:pPr>
        <w:ind w:left="4320" w:hanging="360"/>
      </w:pPr>
      <w:rPr>
        <w:rFonts w:hint="default"/>
        <w:lang w:val="en-US" w:eastAsia="en-US" w:bidi="ar-SA"/>
      </w:rPr>
    </w:lvl>
    <w:lvl w:ilvl="5" w:tplc="F7D8D522">
      <w:numFmt w:val="bullet"/>
      <w:lvlText w:val="•"/>
      <w:lvlJc w:val="left"/>
      <w:pPr>
        <w:ind w:left="5220" w:hanging="360"/>
      </w:pPr>
      <w:rPr>
        <w:rFonts w:hint="default"/>
        <w:lang w:val="en-US" w:eastAsia="en-US" w:bidi="ar-SA"/>
      </w:rPr>
    </w:lvl>
    <w:lvl w:ilvl="6" w:tplc="17962AA4">
      <w:numFmt w:val="bullet"/>
      <w:lvlText w:val="•"/>
      <w:lvlJc w:val="left"/>
      <w:pPr>
        <w:ind w:left="6120" w:hanging="360"/>
      </w:pPr>
      <w:rPr>
        <w:rFonts w:hint="default"/>
        <w:lang w:val="en-US" w:eastAsia="en-US" w:bidi="ar-SA"/>
      </w:rPr>
    </w:lvl>
    <w:lvl w:ilvl="7" w:tplc="2848C0F2">
      <w:numFmt w:val="bullet"/>
      <w:lvlText w:val="•"/>
      <w:lvlJc w:val="left"/>
      <w:pPr>
        <w:ind w:left="7020" w:hanging="360"/>
      </w:pPr>
      <w:rPr>
        <w:rFonts w:hint="default"/>
        <w:lang w:val="en-US" w:eastAsia="en-US" w:bidi="ar-SA"/>
      </w:rPr>
    </w:lvl>
    <w:lvl w:ilvl="8" w:tplc="AAB09BA2">
      <w:numFmt w:val="bullet"/>
      <w:lvlText w:val="•"/>
      <w:lvlJc w:val="left"/>
      <w:pPr>
        <w:ind w:left="7920" w:hanging="360"/>
      </w:pPr>
      <w:rPr>
        <w:rFonts w:hint="default"/>
        <w:lang w:val="en-US" w:eastAsia="en-US" w:bidi="ar-SA"/>
      </w:rPr>
    </w:lvl>
  </w:abstractNum>
  <w:abstractNum w:abstractNumId="25" w15:restartNumberingAfterBreak="0">
    <w:nsid w:val="4C506EC8"/>
    <w:multiLevelType w:val="hybridMultilevel"/>
    <w:tmpl w:val="5C54687A"/>
    <w:lvl w:ilvl="0" w:tplc="ABDA4418">
      <w:start w:val="1"/>
      <w:numFmt w:val="upperLetter"/>
      <w:lvlText w:val="%1."/>
      <w:lvlJc w:val="left"/>
      <w:pPr>
        <w:ind w:left="268" w:hanging="269"/>
      </w:pPr>
      <w:rPr>
        <w:rFonts w:ascii="Arial" w:eastAsia="Arial" w:hAnsi="Arial" w:cs="Arial" w:hint="default"/>
        <w:b w:val="0"/>
        <w:bCs w:val="0"/>
        <w:i w:val="0"/>
        <w:iCs w:val="0"/>
        <w:spacing w:val="-1"/>
        <w:w w:val="100"/>
        <w:sz w:val="22"/>
        <w:szCs w:val="22"/>
        <w:lang w:val="en-US" w:eastAsia="en-US" w:bidi="ar-SA"/>
      </w:rPr>
    </w:lvl>
    <w:lvl w:ilvl="1" w:tplc="D8640A5C">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2" w:tplc="EE78385A">
      <w:numFmt w:val="bullet"/>
      <w:lvlText w:val="•"/>
      <w:lvlJc w:val="left"/>
      <w:pPr>
        <w:ind w:left="1720" w:hanging="360"/>
      </w:pPr>
      <w:rPr>
        <w:rFonts w:hint="default"/>
        <w:lang w:val="en-US" w:eastAsia="en-US" w:bidi="ar-SA"/>
      </w:rPr>
    </w:lvl>
    <w:lvl w:ilvl="3" w:tplc="59E063D6">
      <w:numFmt w:val="bullet"/>
      <w:lvlText w:val="•"/>
      <w:lvlJc w:val="left"/>
      <w:pPr>
        <w:ind w:left="2720" w:hanging="360"/>
      </w:pPr>
      <w:rPr>
        <w:rFonts w:hint="default"/>
        <w:lang w:val="en-US" w:eastAsia="en-US" w:bidi="ar-SA"/>
      </w:rPr>
    </w:lvl>
    <w:lvl w:ilvl="4" w:tplc="8A402CC0">
      <w:numFmt w:val="bullet"/>
      <w:lvlText w:val="•"/>
      <w:lvlJc w:val="left"/>
      <w:pPr>
        <w:ind w:left="3720" w:hanging="360"/>
      </w:pPr>
      <w:rPr>
        <w:rFonts w:hint="default"/>
        <w:lang w:val="en-US" w:eastAsia="en-US" w:bidi="ar-SA"/>
      </w:rPr>
    </w:lvl>
    <w:lvl w:ilvl="5" w:tplc="054464FA">
      <w:numFmt w:val="bullet"/>
      <w:lvlText w:val="•"/>
      <w:lvlJc w:val="left"/>
      <w:pPr>
        <w:ind w:left="4720" w:hanging="360"/>
      </w:pPr>
      <w:rPr>
        <w:rFonts w:hint="default"/>
        <w:lang w:val="en-US" w:eastAsia="en-US" w:bidi="ar-SA"/>
      </w:rPr>
    </w:lvl>
    <w:lvl w:ilvl="6" w:tplc="52724B24">
      <w:numFmt w:val="bullet"/>
      <w:lvlText w:val="•"/>
      <w:lvlJc w:val="left"/>
      <w:pPr>
        <w:ind w:left="5720" w:hanging="360"/>
      </w:pPr>
      <w:rPr>
        <w:rFonts w:hint="default"/>
        <w:lang w:val="en-US" w:eastAsia="en-US" w:bidi="ar-SA"/>
      </w:rPr>
    </w:lvl>
    <w:lvl w:ilvl="7" w:tplc="FF669894">
      <w:numFmt w:val="bullet"/>
      <w:lvlText w:val="•"/>
      <w:lvlJc w:val="left"/>
      <w:pPr>
        <w:ind w:left="6720" w:hanging="360"/>
      </w:pPr>
      <w:rPr>
        <w:rFonts w:hint="default"/>
        <w:lang w:val="en-US" w:eastAsia="en-US" w:bidi="ar-SA"/>
      </w:rPr>
    </w:lvl>
    <w:lvl w:ilvl="8" w:tplc="E36065B4">
      <w:numFmt w:val="bullet"/>
      <w:lvlText w:val="•"/>
      <w:lvlJc w:val="left"/>
      <w:pPr>
        <w:ind w:left="7720" w:hanging="360"/>
      </w:pPr>
      <w:rPr>
        <w:rFonts w:hint="default"/>
        <w:lang w:val="en-US" w:eastAsia="en-US" w:bidi="ar-SA"/>
      </w:rPr>
    </w:lvl>
  </w:abstractNum>
  <w:abstractNum w:abstractNumId="26" w15:restartNumberingAfterBreak="0">
    <w:nsid w:val="4D9F0721"/>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E2AE3"/>
    <w:multiLevelType w:val="hybridMultilevel"/>
    <w:tmpl w:val="1720A9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D3021A"/>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42378"/>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055D8"/>
    <w:multiLevelType w:val="hybridMultilevel"/>
    <w:tmpl w:val="2D92BD42"/>
    <w:lvl w:ilvl="0" w:tplc="340631F0">
      <w:start w:val="1"/>
      <w:numFmt w:val="lowerLetter"/>
      <w:lvlText w:val="%1)"/>
      <w:lvlJc w:val="left"/>
      <w:pPr>
        <w:ind w:left="326" w:hanging="327"/>
      </w:pPr>
      <w:rPr>
        <w:rFonts w:hint="default"/>
        <w:spacing w:val="-1"/>
        <w:w w:val="100"/>
        <w:lang w:val="en-US" w:eastAsia="en-US" w:bidi="ar-SA"/>
      </w:rPr>
    </w:lvl>
    <w:lvl w:ilvl="1" w:tplc="363E4224">
      <w:numFmt w:val="bullet"/>
      <w:lvlText w:val="•"/>
      <w:lvlJc w:val="left"/>
      <w:pPr>
        <w:ind w:left="1260" w:hanging="327"/>
      </w:pPr>
      <w:rPr>
        <w:rFonts w:hint="default"/>
        <w:lang w:val="en-US" w:eastAsia="en-US" w:bidi="ar-SA"/>
      </w:rPr>
    </w:lvl>
    <w:lvl w:ilvl="2" w:tplc="AA563294">
      <w:numFmt w:val="bullet"/>
      <w:lvlText w:val="•"/>
      <w:lvlJc w:val="left"/>
      <w:pPr>
        <w:ind w:left="2200" w:hanging="327"/>
      </w:pPr>
      <w:rPr>
        <w:rFonts w:hint="default"/>
        <w:lang w:val="en-US" w:eastAsia="en-US" w:bidi="ar-SA"/>
      </w:rPr>
    </w:lvl>
    <w:lvl w:ilvl="3" w:tplc="E67A6EAC">
      <w:numFmt w:val="bullet"/>
      <w:lvlText w:val="•"/>
      <w:lvlJc w:val="left"/>
      <w:pPr>
        <w:ind w:left="3140" w:hanging="327"/>
      </w:pPr>
      <w:rPr>
        <w:rFonts w:hint="default"/>
        <w:lang w:val="en-US" w:eastAsia="en-US" w:bidi="ar-SA"/>
      </w:rPr>
    </w:lvl>
    <w:lvl w:ilvl="4" w:tplc="5F0A8028">
      <w:numFmt w:val="bullet"/>
      <w:lvlText w:val="•"/>
      <w:lvlJc w:val="left"/>
      <w:pPr>
        <w:ind w:left="4080" w:hanging="327"/>
      </w:pPr>
      <w:rPr>
        <w:rFonts w:hint="default"/>
        <w:lang w:val="en-US" w:eastAsia="en-US" w:bidi="ar-SA"/>
      </w:rPr>
    </w:lvl>
    <w:lvl w:ilvl="5" w:tplc="ED547864">
      <w:numFmt w:val="bullet"/>
      <w:lvlText w:val="•"/>
      <w:lvlJc w:val="left"/>
      <w:pPr>
        <w:ind w:left="5020" w:hanging="327"/>
      </w:pPr>
      <w:rPr>
        <w:rFonts w:hint="default"/>
        <w:lang w:val="en-US" w:eastAsia="en-US" w:bidi="ar-SA"/>
      </w:rPr>
    </w:lvl>
    <w:lvl w:ilvl="6" w:tplc="F1C84808">
      <w:numFmt w:val="bullet"/>
      <w:lvlText w:val="•"/>
      <w:lvlJc w:val="left"/>
      <w:pPr>
        <w:ind w:left="5960" w:hanging="327"/>
      </w:pPr>
      <w:rPr>
        <w:rFonts w:hint="default"/>
        <w:lang w:val="en-US" w:eastAsia="en-US" w:bidi="ar-SA"/>
      </w:rPr>
    </w:lvl>
    <w:lvl w:ilvl="7" w:tplc="E6D64DA6">
      <w:numFmt w:val="bullet"/>
      <w:lvlText w:val="•"/>
      <w:lvlJc w:val="left"/>
      <w:pPr>
        <w:ind w:left="6900" w:hanging="327"/>
      </w:pPr>
      <w:rPr>
        <w:rFonts w:hint="default"/>
        <w:lang w:val="en-US" w:eastAsia="en-US" w:bidi="ar-SA"/>
      </w:rPr>
    </w:lvl>
    <w:lvl w:ilvl="8" w:tplc="66567F28">
      <w:numFmt w:val="bullet"/>
      <w:lvlText w:val="•"/>
      <w:lvlJc w:val="left"/>
      <w:pPr>
        <w:ind w:left="7840" w:hanging="327"/>
      </w:pPr>
      <w:rPr>
        <w:rFonts w:hint="default"/>
        <w:lang w:val="en-US" w:eastAsia="en-US" w:bidi="ar-SA"/>
      </w:rPr>
    </w:lvl>
  </w:abstractNum>
  <w:abstractNum w:abstractNumId="31" w15:restartNumberingAfterBreak="0">
    <w:nsid w:val="5293270C"/>
    <w:multiLevelType w:val="hybridMultilevel"/>
    <w:tmpl w:val="881AF2C0"/>
    <w:lvl w:ilvl="0" w:tplc="6F00AC68">
      <w:start w:val="1"/>
      <w:numFmt w:val="decimal"/>
      <w:lvlText w:val="%1."/>
      <w:lvlJc w:val="left"/>
      <w:pPr>
        <w:ind w:left="720" w:hanging="360"/>
      </w:pPr>
      <w:rPr>
        <w:rFonts w:hint="default"/>
        <w:spacing w:val="-1"/>
        <w:w w:val="100"/>
        <w:lang w:val="en-US" w:eastAsia="en-US" w:bidi="ar-SA"/>
      </w:rPr>
    </w:lvl>
    <w:lvl w:ilvl="1" w:tplc="AF20E2C8">
      <w:numFmt w:val="bullet"/>
      <w:lvlText w:val="●"/>
      <w:lvlJc w:val="left"/>
      <w:pPr>
        <w:ind w:left="1440" w:hanging="360"/>
      </w:pPr>
      <w:rPr>
        <w:rFonts w:ascii="Arial" w:eastAsia="Arial" w:hAnsi="Arial" w:cs="Arial" w:hint="default"/>
        <w:b w:val="0"/>
        <w:bCs w:val="0"/>
        <w:i w:val="0"/>
        <w:iCs w:val="0"/>
        <w:spacing w:val="0"/>
        <w:w w:val="100"/>
        <w:sz w:val="22"/>
        <w:szCs w:val="22"/>
        <w:lang w:val="en-US" w:eastAsia="en-US" w:bidi="ar-SA"/>
      </w:rPr>
    </w:lvl>
    <w:lvl w:ilvl="2" w:tplc="91EECABE">
      <w:numFmt w:val="bullet"/>
      <w:lvlText w:val="•"/>
      <w:lvlJc w:val="left"/>
      <w:pPr>
        <w:ind w:left="1500" w:hanging="360"/>
      </w:pPr>
      <w:rPr>
        <w:rFonts w:hint="default"/>
        <w:lang w:val="en-US" w:eastAsia="en-US" w:bidi="ar-SA"/>
      </w:rPr>
    </w:lvl>
    <w:lvl w:ilvl="3" w:tplc="7F8C95E4">
      <w:numFmt w:val="bullet"/>
      <w:lvlText w:val="•"/>
      <w:lvlJc w:val="left"/>
      <w:pPr>
        <w:ind w:left="2527" w:hanging="360"/>
      </w:pPr>
      <w:rPr>
        <w:rFonts w:hint="default"/>
        <w:lang w:val="en-US" w:eastAsia="en-US" w:bidi="ar-SA"/>
      </w:rPr>
    </w:lvl>
    <w:lvl w:ilvl="4" w:tplc="F7D4059C">
      <w:numFmt w:val="bullet"/>
      <w:lvlText w:val="•"/>
      <w:lvlJc w:val="left"/>
      <w:pPr>
        <w:ind w:left="3555" w:hanging="360"/>
      </w:pPr>
      <w:rPr>
        <w:rFonts w:hint="default"/>
        <w:lang w:val="en-US" w:eastAsia="en-US" w:bidi="ar-SA"/>
      </w:rPr>
    </w:lvl>
    <w:lvl w:ilvl="5" w:tplc="7772C0AE">
      <w:numFmt w:val="bullet"/>
      <w:lvlText w:val="•"/>
      <w:lvlJc w:val="left"/>
      <w:pPr>
        <w:ind w:left="4582" w:hanging="360"/>
      </w:pPr>
      <w:rPr>
        <w:rFonts w:hint="default"/>
        <w:lang w:val="en-US" w:eastAsia="en-US" w:bidi="ar-SA"/>
      </w:rPr>
    </w:lvl>
    <w:lvl w:ilvl="6" w:tplc="52CA768E">
      <w:numFmt w:val="bullet"/>
      <w:lvlText w:val="•"/>
      <w:lvlJc w:val="left"/>
      <w:pPr>
        <w:ind w:left="5610" w:hanging="360"/>
      </w:pPr>
      <w:rPr>
        <w:rFonts w:hint="default"/>
        <w:lang w:val="en-US" w:eastAsia="en-US" w:bidi="ar-SA"/>
      </w:rPr>
    </w:lvl>
    <w:lvl w:ilvl="7" w:tplc="A092B0DC">
      <w:numFmt w:val="bullet"/>
      <w:lvlText w:val="•"/>
      <w:lvlJc w:val="left"/>
      <w:pPr>
        <w:ind w:left="6637" w:hanging="360"/>
      </w:pPr>
      <w:rPr>
        <w:rFonts w:hint="default"/>
        <w:lang w:val="en-US" w:eastAsia="en-US" w:bidi="ar-SA"/>
      </w:rPr>
    </w:lvl>
    <w:lvl w:ilvl="8" w:tplc="62FCF7B6">
      <w:numFmt w:val="bullet"/>
      <w:lvlText w:val="•"/>
      <w:lvlJc w:val="left"/>
      <w:pPr>
        <w:ind w:left="7665" w:hanging="360"/>
      </w:pPr>
      <w:rPr>
        <w:rFonts w:hint="default"/>
        <w:lang w:val="en-US" w:eastAsia="en-US" w:bidi="ar-SA"/>
      </w:rPr>
    </w:lvl>
  </w:abstractNum>
  <w:abstractNum w:abstractNumId="32" w15:restartNumberingAfterBreak="0">
    <w:nsid w:val="5B8C442B"/>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A5110"/>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A7225"/>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16335"/>
    <w:multiLevelType w:val="hybridMultilevel"/>
    <w:tmpl w:val="5660F7CE"/>
    <w:lvl w:ilvl="0" w:tplc="40090001">
      <w:start w:val="1"/>
      <w:numFmt w:val="bullet"/>
      <w:lvlText w:val=""/>
      <w:lvlJc w:val="left"/>
      <w:pPr>
        <w:ind w:left="244" w:hanging="245"/>
      </w:pPr>
      <w:rPr>
        <w:rFonts w:ascii="Symbol" w:hAnsi="Symbol" w:hint="default"/>
        <w:b/>
        <w:bCs/>
        <w:i w:val="0"/>
        <w:iCs w:val="0"/>
        <w:spacing w:val="-1"/>
        <w:w w:val="100"/>
        <w:sz w:val="22"/>
        <w:szCs w:val="22"/>
        <w:lang w:val="en-US" w:eastAsia="en-US" w:bidi="ar-SA"/>
      </w:rPr>
    </w:lvl>
    <w:lvl w:ilvl="1" w:tplc="E5C0A06A">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2" w:tplc="991C2EBE">
      <w:numFmt w:val="bullet"/>
      <w:lvlText w:val="•"/>
      <w:lvlJc w:val="left"/>
      <w:pPr>
        <w:ind w:left="1720" w:hanging="360"/>
      </w:pPr>
      <w:rPr>
        <w:rFonts w:hint="default"/>
        <w:lang w:val="en-US" w:eastAsia="en-US" w:bidi="ar-SA"/>
      </w:rPr>
    </w:lvl>
    <w:lvl w:ilvl="3" w:tplc="B2481D50">
      <w:numFmt w:val="bullet"/>
      <w:lvlText w:val="•"/>
      <w:lvlJc w:val="left"/>
      <w:pPr>
        <w:ind w:left="2720" w:hanging="360"/>
      </w:pPr>
      <w:rPr>
        <w:rFonts w:hint="default"/>
        <w:lang w:val="en-US" w:eastAsia="en-US" w:bidi="ar-SA"/>
      </w:rPr>
    </w:lvl>
    <w:lvl w:ilvl="4" w:tplc="FCF8760C">
      <w:numFmt w:val="bullet"/>
      <w:lvlText w:val="•"/>
      <w:lvlJc w:val="left"/>
      <w:pPr>
        <w:ind w:left="3720" w:hanging="360"/>
      </w:pPr>
      <w:rPr>
        <w:rFonts w:hint="default"/>
        <w:lang w:val="en-US" w:eastAsia="en-US" w:bidi="ar-SA"/>
      </w:rPr>
    </w:lvl>
    <w:lvl w:ilvl="5" w:tplc="240432AC">
      <w:numFmt w:val="bullet"/>
      <w:lvlText w:val="•"/>
      <w:lvlJc w:val="left"/>
      <w:pPr>
        <w:ind w:left="4720" w:hanging="360"/>
      </w:pPr>
      <w:rPr>
        <w:rFonts w:hint="default"/>
        <w:lang w:val="en-US" w:eastAsia="en-US" w:bidi="ar-SA"/>
      </w:rPr>
    </w:lvl>
    <w:lvl w:ilvl="6" w:tplc="7EECADEA">
      <w:numFmt w:val="bullet"/>
      <w:lvlText w:val="•"/>
      <w:lvlJc w:val="left"/>
      <w:pPr>
        <w:ind w:left="5720" w:hanging="360"/>
      </w:pPr>
      <w:rPr>
        <w:rFonts w:hint="default"/>
        <w:lang w:val="en-US" w:eastAsia="en-US" w:bidi="ar-SA"/>
      </w:rPr>
    </w:lvl>
    <w:lvl w:ilvl="7" w:tplc="9E1ACDA4">
      <w:numFmt w:val="bullet"/>
      <w:lvlText w:val="•"/>
      <w:lvlJc w:val="left"/>
      <w:pPr>
        <w:ind w:left="6720" w:hanging="360"/>
      </w:pPr>
      <w:rPr>
        <w:rFonts w:hint="default"/>
        <w:lang w:val="en-US" w:eastAsia="en-US" w:bidi="ar-SA"/>
      </w:rPr>
    </w:lvl>
    <w:lvl w:ilvl="8" w:tplc="A4749358">
      <w:numFmt w:val="bullet"/>
      <w:lvlText w:val="•"/>
      <w:lvlJc w:val="left"/>
      <w:pPr>
        <w:ind w:left="7720" w:hanging="360"/>
      </w:pPr>
      <w:rPr>
        <w:rFonts w:hint="default"/>
        <w:lang w:val="en-US" w:eastAsia="en-US" w:bidi="ar-SA"/>
      </w:rPr>
    </w:lvl>
  </w:abstractNum>
  <w:abstractNum w:abstractNumId="36" w15:restartNumberingAfterBreak="0">
    <w:nsid w:val="6CC46D51"/>
    <w:multiLevelType w:val="multilevel"/>
    <w:tmpl w:val="2FFE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E59BF"/>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D1B53"/>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E0B74"/>
    <w:multiLevelType w:val="multilevel"/>
    <w:tmpl w:val="20D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D6B5B"/>
    <w:multiLevelType w:val="multilevel"/>
    <w:tmpl w:val="852A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6139B"/>
    <w:multiLevelType w:val="hybridMultilevel"/>
    <w:tmpl w:val="AC1C37D8"/>
    <w:lvl w:ilvl="0" w:tplc="C0540CA8">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1" w:tplc="0F5C8D0E">
      <w:numFmt w:val="bullet"/>
      <w:lvlText w:val="•"/>
      <w:lvlJc w:val="left"/>
      <w:pPr>
        <w:ind w:left="1620" w:hanging="360"/>
      </w:pPr>
      <w:rPr>
        <w:rFonts w:hint="default"/>
        <w:lang w:val="en-US" w:eastAsia="en-US" w:bidi="ar-SA"/>
      </w:rPr>
    </w:lvl>
    <w:lvl w:ilvl="2" w:tplc="C3425EB2">
      <w:numFmt w:val="bullet"/>
      <w:lvlText w:val="•"/>
      <w:lvlJc w:val="left"/>
      <w:pPr>
        <w:ind w:left="2520" w:hanging="360"/>
      </w:pPr>
      <w:rPr>
        <w:rFonts w:hint="default"/>
        <w:lang w:val="en-US" w:eastAsia="en-US" w:bidi="ar-SA"/>
      </w:rPr>
    </w:lvl>
    <w:lvl w:ilvl="3" w:tplc="3A5AE5F0">
      <w:numFmt w:val="bullet"/>
      <w:lvlText w:val="•"/>
      <w:lvlJc w:val="left"/>
      <w:pPr>
        <w:ind w:left="3420" w:hanging="360"/>
      </w:pPr>
      <w:rPr>
        <w:rFonts w:hint="default"/>
        <w:lang w:val="en-US" w:eastAsia="en-US" w:bidi="ar-SA"/>
      </w:rPr>
    </w:lvl>
    <w:lvl w:ilvl="4" w:tplc="CF70A66A">
      <w:numFmt w:val="bullet"/>
      <w:lvlText w:val="•"/>
      <w:lvlJc w:val="left"/>
      <w:pPr>
        <w:ind w:left="4320" w:hanging="360"/>
      </w:pPr>
      <w:rPr>
        <w:rFonts w:hint="default"/>
        <w:lang w:val="en-US" w:eastAsia="en-US" w:bidi="ar-SA"/>
      </w:rPr>
    </w:lvl>
    <w:lvl w:ilvl="5" w:tplc="E5220E08">
      <w:numFmt w:val="bullet"/>
      <w:lvlText w:val="•"/>
      <w:lvlJc w:val="left"/>
      <w:pPr>
        <w:ind w:left="5220" w:hanging="360"/>
      </w:pPr>
      <w:rPr>
        <w:rFonts w:hint="default"/>
        <w:lang w:val="en-US" w:eastAsia="en-US" w:bidi="ar-SA"/>
      </w:rPr>
    </w:lvl>
    <w:lvl w:ilvl="6" w:tplc="94F8809A">
      <w:numFmt w:val="bullet"/>
      <w:lvlText w:val="•"/>
      <w:lvlJc w:val="left"/>
      <w:pPr>
        <w:ind w:left="6120" w:hanging="360"/>
      </w:pPr>
      <w:rPr>
        <w:rFonts w:hint="default"/>
        <w:lang w:val="en-US" w:eastAsia="en-US" w:bidi="ar-SA"/>
      </w:rPr>
    </w:lvl>
    <w:lvl w:ilvl="7" w:tplc="047200D8">
      <w:numFmt w:val="bullet"/>
      <w:lvlText w:val="•"/>
      <w:lvlJc w:val="left"/>
      <w:pPr>
        <w:ind w:left="7020" w:hanging="360"/>
      </w:pPr>
      <w:rPr>
        <w:rFonts w:hint="default"/>
        <w:lang w:val="en-US" w:eastAsia="en-US" w:bidi="ar-SA"/>
      </w:rPr>
    </w:lvl>
    <w:lvl w:ilvl="8" w:tplc="9A925BFE">
      <w:numFmt w:val="bullet"/>
      <w:lvlText w:val="•"/>
      <w:lvlJc w:val="left"/>
      <w:pPr>
        <w:ind w:left="7920" w:hanging="360"/>
      </w:pPr>
      <w:rPr>
        <w:rFonts w:hint="default"/>
        <w:lang w:val="en-US" w:eastAsia="en-US" w:bidi="ar-SA"/>
      </w:rPr>
    </w:lvl>
  </w:abstractNum>
  <w:num w:numId="1" w16cid:durableId="1928689331">
    <w:abstractNumId w:val="9"/>
  </w:num>
  <w:num w:numId="2" w16cid:durableId="1049459350">
    <w:abstractNumId w:val="30"/>
  </w:num>
  <w:num w:numId="3" w16cid:durableId="1697150403">
    <w:abstractNumId w:val="24"/>
  </w:num>
  <w:num w:numId="4" w16cid:durableId="852230160">
    <w:abstractNumId w:val="14"/>
  </w:num>
  <w:num w:numId="5" w16cid:durableId="988510895">
    <w:abstractNumId w:val="5"/>
  </w:num>
  <w:num w:numId="6" w16cid:durableId="902528465">
    <w:abstractNumId w:val="25"/>
  </w:num>
  <w:num w:numId="7" w16cid:durableId="1414552500">
    <w:abstractNumId w:val="41"/>
  </w:num>
  <w:num w:numId="8" w16cid:durableId="2037077881">
    <w:abstractNumId w:val="23"/>
  </w:num>
  <w:num w:numId="9" w16cid:durableId="1401640334">
    <w:abstractNumId w:val="18"/>
  </w:num>
  <w:num w:numId="10" w16cid:durableId="1690370174">
    <w:abstractNumId w:val="13"/>
  </w:num>
  <w:num w:numId="11" w16cid:durableId="2103530457">
    <w:abstractNumId w:val="35"/>
  </w:num>
  <w:num w:numId="12" w16cid:durableId="143544090">
    <w:abstractNumId w:val="31"/>
  </w:num>
  <w:num w:numId="13" w16cid:durableId="1745376996">
    <w:abstractNumId w:val="12"/>
  </w:num>
  <w:num w:numId="14" w16cid:durableId="767387199">
    <w:abstractNumId w:val="36"/>
  </w:num>
  <w:num w:numId="15" w16cid:durableId="2119060874">
    <w:abstractNumId w:val="6"/>
  </w:num>
  <w:num w:numId="16" w16cid:durableId="1192913948">
    <w:abstractNumId w:val="39"/>
  </w:num>
  <w:num w:numId="17" w16cid:durableId="1977636493">
    <w:abstractNumId w:val="1"/>
  </w:num>
  <w:num w:numId="18" w16cid:durableId="1694380046">
    <w:abstractNumId w:val="11"/>
  </w:num>
  <w:num w:numId="19" w16cid:durableId="623583285">
    <w:abstractNumId w:val="20"/>
  </w:num>
  <w:num w:numId="20" w16cid:durableId="1155292887">
    <w:abstractNumId w:val="10"/>
  </w:num>
  <w:num w:numId="21" w16cid:durableId="646393812">
    <w:abstractNumId w:val="16"/>
  </w:num>
  <w:num w:numId="22" w16cid:durableId="1043561873">
    <w:abstractNumId w:val="2"/>
  </w:num>
  <w:num w:numId="23" w16cid:durableId="1587304902">
    <w:abstractNumId w:val="22"/>
  </w:num>
  <w:num w:numId="24" w16cid:durableId="1348675382">
    <w:abstractNumId w:val="19"/>
  </w:num>
  <w:num w:numId="25" w16cid:durableId="962348977">
    <w:abstractNumId w:val="0"/>
  </w:num>
  <w:num w:numId="26" w16cid:durableId="1287614531">
    <w:abstractNumId w:val="37"/>
  </w:num>
  <w:num w:numId="27" w16cid:durableId="1663195967">
    <w:abstractNumId w:val="38"/>
  </w:num>
  <w:num w:numId="28" w16cid:durableId="514073743">
    <w:abstractNumId w:val="33"/>
  </w:num>
  <w:num w:numId="29" w16cid:durableId="638338517">
    <w:abstractNumId w:val="26"/>
  </w:num>
  <w:num w:numId="30" w16cid:durableId="1629779304">
    <w:abstractNumId w:val="15"/>
  </w:num>
  <w:num w:numId="31" w16cid:durableId="1953198270">
    <w:abstractNumId w:val="27"/>
  </w:num>
  <w:num w:numId="32" w16cid:durableId="1842701452">
    <w:abstractNumId w:val="4"/>
  </w:num>
  <w:num w:numId="33" w16cid:durableId="1978995335">
    <w:abstractNumId w:val="29"/>
  </w:num>
  <w:num w:numId="34" w16cid:durableId="1502697963">
    <w:abstractNumId w:val="40"/>
  </w:num>
  <w:num w:numId="35" w16cid:durableId="1126387508">
    <w:abstractNumId w:val="21"/>
  </w:num>
  <w:num w:numId="36" w16cid:durableId="1670209172">
    <w:abstractNumId w:val="32"/>
  </w:num>
  <w:num w:numId="37" w16cid:durableId="2138716769">
    <w:abstractNumId w:val="8"/>
  </w:num>
  <w:num w:numId="38" w16cid:durableId="993723036">
    <w:abstractNumId w:val="34"/>
  </w:num>
  <w:num w:numId="39" w16cid:durableId="292373990">
    <w:abstractNumId w:val="7"/>
  </w:num>
  <w:num w:numId="40" w16cid:durableId="1403021752">
    <w:abstractNumId w:val="17"/>
  </w:num>
  <w:num w:numId="41" w16cid:durableId="1342583290">
    <w:abstractNumId w:val="3"/>
  </w:num>
  <w:num w:numId="42" w16cid:durableId="14946447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03"/>
    <w:rsid w:val="00090139"/>
    <w:rsid w:val="000D14F8"/>
    <w:rsid w:val="000F6083"/>
    <w:rsid w:val="00206F6C"/>
    <w:rsid w:val="004540BB"/>
    <w:rsid w:val="004B3003"/>
    <w:rsid w:val="00565242"/>
    <w:rsid w:val="00741761"/>
    <w:rsid w:val="00895CAB"/>
    <w:rsid w:val="008E38F5"/>
    <w:rsid w:val="00EE721F"/>
    <w:rsid w:val="00F6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ACEF2"/>
  <w15:docId w15:val="{70DF42FA-ECC9-42D1-9482-17515D79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outlineLvl w:val="1"/>
    </w:pPr>
    <w:rPr>
      <w:b/>
      <w:bCs/>
      <w:sz w:val="28"/>
      <w:szCs w:val="28"/>
      <w:u w:val="single" w:color="000000"/>
    </w:rPr>
  </w:style>
  <w:style w:type="paragraph" w:styleId="Heading3">
    <w:name w:val="heading 3"/>
    <w:basedOn w:val="Normal"/>
    <w:uiPriority w:val="9"/>
    <w:unhideWhenUsed/>
    <w:qFormat/>
    <w:pPr>
      <w:outlineLvl w:val="2"/>
    </w:pPr>
    <w:rPr>
      <w:b/>
      <w:bCs/>
      <w:sz w:val="26"/>
      <w:szCs w:val="26"/>
    </w:rPr>
  </w:style>
  <w:style w:type="paragraph" w:styleId="Heading4">
    <w:name w:val="heading 4"/>
    <w:basedOn w:val="Normal"/>
    <w:uiPriority w:val="9"/>
    <w:unhideWhenUsed/>
    <w:qFormat/>
    <w:pP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pPr>
      <w:spacing w:before="108"/>
      <w:ind w:left="67" w:right="67"/>
      <w:jc w:val="center"/>
    </w:pPr>
  </w:style>
  <w:style w:type="paragraph" w:styleId="NormalWeb">
    <w:name w:val="Normal (Web)"/>
    <w:basedOn w:val="Normal"/>
    <w:uiPriority w:val="99"/>
    <w:semiHidden/>
    <w:unhideWhenUsed/>
    <w:rsid w:val="00F6253C"/>
    <w:rPr>
      <w:rFonts w:ascii="Times New Roman" w:hAnsi="Times New Roman" w:cs="Times New Roman"/>
      <w:sz w:val="24"/>
      <w:szCs w:val="24"/>
    </w:rPr>
  </w:style>
  <w:style w:type="character" w:styleId="Strong">
    <w:name w:val="Strong"/>
    <w:basedOn w:val="DefaultParagraphFont"/>
    <w:uiPriority w:val="22"/>
    <w:qFormat/>
    <w:rsid w:val="00454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758">
      <w:bodyDiv w:val="1"/>
      <w:marLeft w:val="0"/>
      <w:marRight w:val="0"/>
      <w:marTop w:val="0"/>
      <w:marBottom w:val="0"/>
      <w:divBdr>
        <w:top w:val="none" w:sz="0" w:space="0" w:color="auto"/>
        <w:left w:val="none" w:sz="0" w:space="0" w:color="auto"/>
        <w:bottom w:val="none" w:sz="0" w:space="0" w:color="auto"/>
        <w:right w:val="none" w:sz="0" w:space="0" w:color="auto"/>
      </w:divBdr>
    </w:div>
    <w:div w:id="58524563">
      <w:bodyDiv w:val="1"/>
      <w:marLeft w:val="0"/>
      <w:marRight w:val="0"/>
      <w:marTop w:val="0"/>
      <w:marBottom w:val="0"/>
      <w:divBdr>
        <w:top w:val="none" w:sz="0" w:space="0" w:color="auto"/>
        <w:left w:val="none" w:sz="0" w:space="0" w:color="auto"/>
        <w:bottom w:val="none" w:sz="0" w:space="0" w:color="auto"/>
        <w:right w:val="none" w:sz="0" w:space="0" w:color="auto"/>
      </w:divBdr>
    </w:div>
    <w:div w:id="84228199">
      <w:bodyDiv w:val="1"/>
      <w:marLeft w:val="0"/>
      <w:marRight w:val="0"/>
      <w:marTop w:val="0"/>
      <w:marBottom w:val="0"/>
      <w:divBdr>
        <w:top w:val="none" w:sz="0" w:space="0" w:color="auto"/>
        <w:left w:val="none" w:sz="0" w:space="0" w:color="auto"/>
        <w:bottom w:val="none" w:sz="0" w:space="0" w:color="auto"/>
        <w:right w:val="none" w:sz="0" w:space="0" w:color="auto"/>
      </w:divBdr>
    </w:div>
    <w:div w:id="167450804">
      <w:bodyDiv w:val="1"/>
      <w:marLeft w:val="0"/>
      <w:marRight w:val="0"/>
      <w:marTop w:val="0"/>
      <w:marBottom w:val="0"/>
      <w:divBdr>
        <w:top w:val="none" w:sz="0" w:space="0" w:color="auto"/>
        <w:left w:val="none" w:sz="0" w:space="0" w:color="auto"/>
        <w:bottom w:val="none" w:sz="0" w:space="0" w:color="auto"/>
        <w:right w:val="none" w:sz="0" w:space="0" w:color="auto"/>
      </w:divBdr>
      <w:divsChild>
        <w:div w:id="1165511623">
          <w:marLeft w:val="0"/>
          <w:marRight w:val="0"/>
          <w:marTop w:val="0"/>
          <w:marBottom w:val="0"/>
          <w:divBdr>
            <w:top w:val="none" w:sz="0" w:space="0" w:color="auto"/>
            <w:left w:val="none" w:sz="0" w:space="0" w:color="auto"/>
            <w:bottom w:val="none" w:sz="0" w:space="0" w:color="auto"/>
            <w:right w:val="none" w:sz="0" w:space="0" w:color="auto"/>
          </w:divBdr>
          <w:divsChild>
            <w:div w:id="2981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89">
      <w:bodyDiv w:val="1"/>
      <w:marLeft w:val="0"/>
      <w:marRight w:val="0"/>
      <w:marTop w:val="0"/>
      <w:marBottom w:val="0"/>
      <w:divBdr>
        <w:top w:val="none" w:sz="0" w:space="0" w:color="auto"/>
        <w:left w:val="none" w:sz="0" w:space="0" w:color="auto"/>
        <w:bottom w:val="none" w:sz="0" w:space="0" w:color="auto"/>
        <w:right w:val="none" w:sz="0" w:space="0" w:color="auto"/>
      </w:divBdr>
    </w:div>
    <w:div w:id="411512331">
      <w:bodyDiv w:val="1"/>
      <w:marLeft w:val="0"/>
      <w:marRight w:val="0"/>
      <w:marTop w:val="0"/>
      <w:marBottom w:val="0"/>
      <w:divBdr>
        <w:top w:val="none" w:sz="0" w:space="0" w:color="auto"/>
        <w:left w:val="none" w:sz="0" w:space="0" w:color="auto"/>
        <w:bottom w:val="none" w:sz="0" w:space="0" w:color="auto"/>
        <w:right w:val="none" w:sz="0" w:space="0" w:color="auto"/>
      </w:divBdr>
    </w:div>
    <w:div w:id="462190217">
      <w:bodyDiv w:val="1"/>
      <w:marLeft w:val="0"/>
      <w:marRight w:val="0"/>
      <w:marTop w:val="0"/>
      <w:marBottom w:val="0"/>
      <w:divBdr>
        <w:top w:val="none" w:sz="0" w:space="0" w:color="auto"/>
        <w:left w:val="none" w:sz="0" w:space="0" w:color="auto"/>
        <w:bottom w:val="none" w:sz="0" w:space="0" w:color="auto"/>
        <w:right w:val="none" w:sz="0" w:space="0" w:color="auto"/>
      </w:divBdr>
    </w:div>
    <w:div w:id="579338416">
      <w:bodyDiv w:val="1"/>
      <w:marLeft w:val="0"/>
      <w:marRight w:val="0"/>
      <w:marTop w:val="0"/>
      <w:marBottom w:val="0"/>
      <w:divBdr>
        <w:top w:val="none" w:sz="0" w:space="0" w:color="auto"/>
        <w:left w:val="none" w:sz="0" w:space="0" w:color="auto"/>
        <w:bottom w:val="none" w:sz="0" w:space="0" w:color="auto"/>
        <w:right w:val="none" w:sz="0" w:space="0" w:color="auto"/>
      </w:divBdr>
    </w:div>
    <w:div w:id="597641503">
      <w:bodyDiv w:val="1"/>
      <w:marLeft w:val="0"/>
      <w:marRight w:val="0"/>
      <w:marTop w:val="0"/>
      <w:marBottom w:val="0"/>
      <w:divBdr>
        <w:top w:val="none" w:sz="0" w:space="0" w:color="auto"/>
        <w:left w:val="none" w:sz="0" w:space="0" w:color="auto"/>
        <w:bottom w:val="none" w:sz="0" w:space="0" w:color="auto"/>
        <w:right w:val="none" w:sz="0" w:space="0" w:color="auto"/>
      </w:divBdr>
      <w:divsChild>
        <w:div w:id="150685564">
          <w:marLeft w:val="0"/>
          <w:marRight w:val="0"/>
          <w:marTop w:val="0"/>
          <w:marBottom w:val="0"/>
          <w:divBdr>
            <w:top w:val="none" w:sz="0" w:space="0" w:color="auto"/>
            <w:left w:val="none" w:sz="0" w:space="0" w:color="auto"/>
            <w:bottom w:val="none" w:sz="0" w:space="0" w:color="auto"/>
            <w:right w:val="none" w:sz="0" w:space="0" w:color="auto"/>
          </w:divBdr>
          <w:divsChild>
            <w:div w:id="19714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094">
      <w:bodyDiv w:val="1"/>
      <w:marLeft w:val="0"/>
      <w:marRight w:val="0"/>
      <w:marTop w:val="0"/>
      <w:marBottom w:val="0"/>
      <w:divBdr>
        <w:top w:val="none" w:sz="0" w:space="0" w:color="auto"/>
        <w:left w:val="none" w:sz="0" w:space="0" w:color="auto"/>
        <w:bottom w:val="none" w:sz="0" w:space="0" w:color="auto"/>
        <w:right w:val="none" w:sz="0" w:space="0" w:color="auto"/>
      </w:divBdr>
      <w:divsChild>
        <w:div w:id="306669311">
          <w:marLeft w:val="0"/>
          <w:marRight w:val="0"/>
          <w:marTop w:val="0"/>
          <w:marBottom w:val="0"/>
          <w:divBdr>
            <w:top w:val="none" w:sz="0" w:space="0" w:color="auto"/>
            <w:left w:val="none" w:sz="0" w:space="0" w:color="auto"/>
            <w:bottom w:val="none" w:sz="0" w:space="0" w:color="auto"/>
            <w:right w:val="none" w:sz="0" w:space="0" w:color="auto"/>
          </w:divBdr>
          <w:divsChild>
            <w:div w:id="1631547127">
              <w:marLeft w:val="0"/>
              <w:marRight w:val="0"/>
              <w:marTop w:val="0"/>
              <w:marBottom w:val="0"/>
              <w:divBdr>
                <w:top w:val="none" w:sz="0" w:space="0" w:color="auto"/>
                <w:left w:val="none" w:sz="0" w:space="0" w:color="auto"/>
                <w:bottom w:val="none" w:sz="0" w:space="0" w:color="auto"/>
                <w:right w:val="none" w:sz="0" w:space="0" w:color="auto"/>
              </w:divBdr>
              <w:divsChild>
                <w:div w:id="1778596403">
                  <w:marLeft w:val="0"/>
                  <w:marRight w:val="0"/>
                  <w:marTop w:val="0"/>
                  <w:marBottom w:val="0"/>
                  <w:divBdr>
                    <w:top w:val="none" w:sz="0" w:space="0" w:color="auto"/>
                    <w:left w:val="none" w:sz="0" w:space="0" w:color="auto"/>
                    <w:bottom w:val="none" w:sz="0" w:space="0" w:color="auto"/>
                    <w:right w:val="none" w:sz="0" w:space="0" w:color="auto"/>
                  </w:divBdr>
                  <w:divsChild>
                    <w:div w:id="381293435">
                      <w:marLeft w:val="0"/>
                      <w:marRight w:val="0"/>
                      <w:marTop w:val="0"/>
                      <w:marBottom w:val="0"/>
                      <w:divBdr>
                        <w:top w:val="none" w:sz="0" w:space="0" w:color="auto"/>
                        <w:left w:val="none" w:sz="0" w:space="0" w:color="auto"/>
                        <w:bottom w:val="none" w:sz="0" w:space="0" w:color="auto"/>
                        <w:right w:val="none" w:sz="0" w:space="0" w:color="auto"/>
                      </w:divBdr>
                      <w:divsChild>
                        <w:div w:id="1917007773">
                          <w:marLeft w:val="0"/>
                          <w:marRight w:val="0"/>
                          <w:marTop w:val="0"/>
                          <w:marBottom w:val="0"/>
                          <w:divBdr>
                            <w:top w:val="none" w:sz="0" w:space="0" w:color="auto"/>
                            <w:left w:val="none" w:sz="0" w:space="0" w:color="auto"/>
                            <w:bottom w:val="none" w:sz="0" w:space="0" w:color="auto"/>
                            <w:right w:val="none" w:sz="0" w:space="0" w:color="auto"/>
                          </w:divBdr>
                          <w:divsChild>
                            <w:div w:id="1444106385">
                              <w:marLeft w:val="0"/>
                              <w:marRight w:val="0"/>
                              <w:marTop w:val="0"/>
                              <w:marBottom w:val="0"/>
                              <w:divBdr>
                                <w:top w:val="none" w:sz="0" w:space="0" w:color="auto"/>
                                <w:left w:val="none" w:sz="0" w:space="0" w:color="auto"/>
                                <w:bottom w:val="none" w:sz="0" w:space="0" w:color="auto"/>
                                <w:right w:val="none" w:sz="0" w:space="0" w:color="auto"/>
                              </w:divBdr>
                              <w:divsChild>
                                <w:div w:id="1068067336">
                                  <w:marLeft w:val="0"/>
                                  <w:marRight w:val="0"/>
                                  <w:marTop w:val="0"/>
                                  <w:marBottom w:val="0"/>
                                  <w:divBdr>
                                    <w:top w:val="none" w:sz="0" w:space="0" w:color="auto"/>
                                    <w:left w:val="none" w:sz="0" w:space="0" w:color="auto"/>
                                    <w:bottom w:val="none" w:sz="0" w:space="0" w:color="auto"/>
                                    <w:right w:val="none" w:sz="0" w:space="0" w:color="auto"/>
                                  </w:divBdr>
                                  <w:divsChild>
                                    <w:div w:id="662707839">
                                      <w:marLeft w:val="0"/>
                                      <w:marRight w:val="0"/>
                                      <w:marTop w:val="0"/>
                                      <w:marBottom w:val="0"/>
                                      <w:divBdr>
                                        <w:top w:val="none" w:sz="0" w:space="0" w:color="auto"/>
                                        <w:left w:val="none" w:sz="0" w:space="0" w:color="auto"/>
                                        <w:bottom w:val="none" w:sz="0" w:space="0" w:color="auto"/>
                                        <w:right w:val="none" w:sz="0" w:space="0" w:color="auto"/>
                                      </w:divBdr>
                                      <w:divsChild>
                                        <w:div w:id="1304580346">
                                          <w:marLeft w:val="0"/>
                                          <w:marRight w:val="0"/>
                                          <w:marTop w:val="0"/>
                                          <w:marBottom w:val="0"/>
                                          <w:divBdr>
                                            <w:top w:val="none" w:sz="0" w:space="0" w:color="auto"/>
                                            <w:left w:val="none" w:sz="0" w:space="0" w:color="auto"/>
                                            <w:bottom w:val="none" w:sz="0" w:space="0" w:color="auto"/>
                                            <w:right w:val="none" w:sz="0" w:space="0" w:color="auto"/>
                                          </w:divBdr>
                                          <w:divsChild>
                                            <w:div w:id="1143544539">
                                              <w:marLeft w:val="0"/>
                                              <w:marRight w:val="0"/>
                                              <w:marTop w:val="0"/>
                                              <w:marBottom w:val="0"/>
                                              <w:divBdr>
                                                <w:top w:val="none" w:sz="0" w:space="0" w:color="auto"/>
                                                <w:left w:val="none" w:sz="0" w:space="0" w:color="auto"/>
                                                <w:bottom w:val="none" w:sz="0" w:space="0" w:color="auto"/>
                                                <w:right w:val="none" w:sz="0" w:space="0" w:color="auto"/>
                                              </w:divBdr>
                                              <w:divsChild>
                                                <w:div w:id="1375808113">
                                                  <w:marLeft w:val="0"/>
                                                  <w:marRight w:val="0"/>
                                                  <w:marTop w:val="0"/>
                                                  <w:marBottom w:val="0"/>
                                                  <w:divBdr>
                                                    <w:top w:val="none" w:sz="0" w:space="0" w:color="auto"/>
                                                    <w:left w:val="none" w:sz="0" w:space="0" w:color="auto"/>
                                                    <w:bottom w:val="none" w:sz="0" w:space="0" w:color="auto"/>
                                                    <w:right w:val="none" w:sz="0" w:space="0" w:color="auto"/>
                                                  </w:divBdr>
                                                  <w:divsChild>
                                                    <w:div w:id="19876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2711">
                                      <w:marLeft w:val="0"/>
                                      <w:marRight w:val="0"/>
                                      <w:marTop w:val="0"/>
                                      <w:marBottom w:val="0"/>
                                      <w:divBdr>
                                        <w:top w:val="none" w:sz="0" w:space="0" w:color="auto"/>
                                        <w:left w:val="none" w:sz="0" w:space="0" w:color="auto"/>
                                        <w:bottom w:val="none" w:sz="0" w:space="0" w:color="auto"/>
                                        <w:right w:val="none" w:sz="0" w:space="0" w:color="auto"/>
                                      </w:divBdr>
                                      <w:divsChild>
                                        <w:div w:id="36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91075">
          <w:marLeft w:val="0"/>
          <w:marRight w:val="0"/>
          <w:marTop w:val="0"/>
          <w:marBottom w:val="0"/>
          <w:divBdr>
            <w:top w:val="none" w:sz="0" w:space="0" w:color="auto"/>
            <w:left w:val="none" w:sz="0" w:space="0" w:color="auto"/>
            <w:bottom w:val="none" w:sz="0" w:space="0" w:color="auto"/>
            <w:right w:val="none" w:sz="0" w:space="0" w:color="auto"/>
          </w:divBdr>
          <w:divsChild>
            <w:div w:id="136724177">
              <w:marLeft w:val="0"/>
              <w:marRight w:val="0"/>
              <w:marTop w:val="0"/>
              <w:marBottom w:val="0"/>
              <w:divBdr>
                <w:top w:val="none" w:sz="0" w:space="0" w:color="auto"/>
                <w:left w:val="none" w:sz="0" w:space="0" w:color="auto"/>
                <w:bottom w:val="none" w:sz="0" w:space="0" w:color="auto"/>
                <w:right w:val="none" w:sz="0" w:space="0" w:color="auto"/>
              </w:divBdr>
              <w:divsChild>
                <w:div w:id="913274808">
                  <w:marLeft w:val="0"/>
                  <w:marRight w:val="0"/>
                  <w:marTop w:val="0"/>
                  <w:marBottom w:val="0"/>
                  <w:divBdr>
                    <w:top w:val="none" w:sz="0" w:space="0" w:color="auto"/>
                    <w:left w:val="none" w:sz="0" w:space="0" w:color="auto"/>
                    <w:bottom w:val="none" w:sz="0" w:space="0" w:color="auto"/>
                    <w:right w:val="none" w:sz="0" w:space="0" w:color="auto"/>
                  </w:divBdr>
                  <w:divsChild>
                    <w:div w:id="276646425">
                      <w:marLeft w:val="0"/>
                      <w:marRight w:val="0"/>
                      <w:marTop w:val="0"/>
                      <w:marBottom w:val="0"/>
                      <w:divBdr>
                        <w:top w:val="none" w:sz="0" w:space="0" w:color="auto"/>
                        <w:left w:val="none" w:sz="0" w:space="0" w:color="auto"/>
                        <w:bottom w:val="none" w:sz="0" w:space="0" w:color="auto"/>
                        <w:right w:val="none" w:sz="0" w:space="0" w:color="auto"/>
                      </w:divBdr>
                      <w:divsChild>
                        <w:div w:id="18431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937983934">
      <w:bodyDiv w:val="1"/>
      <w:marLeft w:val="0"/>
      <w:marRight w:val="0"/>
      <w:marTop w:val="0"/>
      <w:marBottom w:val="0"/>
      <w:divBdr>
        <w:top w:val="none" w:sz="0" w:space="0" w:color="auto"/>
        <w:left w:val="none" w:sz="0" w:space="0" w:color="auto"/>
        <w:bottom w:val="none" w:sz="0" w:space="0" w:color="auto"/>
        <w:right w:val="none" w:sz="0" w:space="0" w:color="auto"/>
      </w:divBdr>
    </w:div>
    <w:div w:id="951211293">
      <w:bodyDiv w:val="1"/>
      <w:marLeft w:val="0"/>
      <w:marRight w:val="0"/>
      <w:marTop w:val="0"/>
      <w:marBottom w:val="0"/>
      <w:divBdr>
        <w:top w:val="none" w:sz="0" w:space="0" w:color="auto"/>
        <w:left w:val="none" w:sz="0" w:space="0" w:color="auto"/>
        <w:bottom w:val="none" w:sz="0" w:space="0" w:color="auto"/>
        <w:right w:val="none" w:sz="0" w:space="0" w:color="auto"/>
      </w:divBdr>
    </w:div>
    <w:div w:id="960306096">
      <w:bodyDiv w:val="1"/>
      <w:marLeft w:val="0"/>
      <w:marRight w:val="0"/>
      <w:marTop w:val="0"/>
      <w:marBottom w:val="0"/>
      <w:divBdr>
        <w:top w:val="none" w:sz="0" w:space="0" w:color="auto"/>
        <w:left w:val="none" w:sz="0" w:space="0" w:color="auto"/>
        <w:bottom w:val="none" w:sz="0" w:space="0" w:color="auto"/>
        <w:right w:val="none" w:sz="0" w:space="0" w:color="auto"/>
      </w:divBdr>
    </w:div>
    <w:div w:id="1003898235">
      <w:bodyDiv w:val="1"/>
      <w:marLeft w:val="0"/>
      <w:marRight w:val="0"/>
      <w:marTop w:val="0"/>
      <w:marBottom w:val="0"/>
      <w:divBdr>
        <w:top w:val="none" w:sz="0" w:space="0" w:color="auto"/>
        <w:left w:val="none" w:sz="0" w:space="0" w:color="auto"/>
        <w:bottom w:val="none" w:sz="0" w:space="0" w:color="auto"/>
        <w:right w:val="none" w:sz="0" w:space="0" w:color="auto"/>
      </w:divBdr>
    </w:div>
    <w:div w:id="1038696859">
      <w:bodyDiv w:val="1"/>
      <w:marLeft w:val="0"/>
      <w:marRight w:val="0"/>
      <w:marTop w:val="0"/>
      <w:marBottom w:val="0"/>
      <w:divBdr>
        <w:top w:val="none" w:sz="0" w:space="0" w:color="auto"/>
        <w:left w:val="none" w:sz="0" w:space="0" w:color="auto"/>
        <w:bottom w:val="none" w:sz="0" w:space="0" w:color="auto"/>
        <w:right w:val="none" w:sz="0" w:space="0" w:color="auto"/>
      </w:divBdr>
    </w:div>
    <w:div w:id="1064524789">
      <w:bodyDiv w:val="1"/>
      <w:marLeft w:val="0"/>
      <w:marRight w:val="0"/>
      <w:marTop w:val="0"/>
      <w:marBottom w:val="0"/>
      <w:divBdr>
        <w:top w:val="none" w:sz="0" w:space="0" w:color="auto"/>
        <w:left w:val="none" w:sz="0" w:space="0" w:color="auto"/>
        <w:bottom w:val="none" w:sz="0" w:space="0" w:color="auto"/>
        <w:right w:val="none" w:sz="0" w:space="0" w:color="auto"/>
      </w:divBdr>
    </w:div>
    <w:div w:id="1169903108">
      <w:bodyDiv w:val="1"/>
      <w:marLeft w:val="0"/>
      <w:marRight w:val="0"/>
      <w:marTop w:val="0"/>
      <w:marBottom w:val="0"/>
      <w:divBdr>
        <w:top w:val="none" w:sz="0" w:space="0" w:color="auto"/>
        <w:left w:val="none" w:sz="0" w:space="0" w:color="auto"/>
        <w:bottom w:val="none" w:sz="0" w:space="0" w:color="auto"/>
        <w:right w:val="none" w:sz="0" w:space="0" w:color="auto"/>
      </w:divBdr>
    </w:div>
    <w:div w:id="1290895247">
      <w:bodyDiv w:val="1"/>
      <w:marLeft w:val="0"/>
      <w:marRight w:val="0"/>
      <w:marTop w:val="0"/>
      <w:marBottom w:val="0"/>
      <w:divBdr>
        <w:top w:val="none" w:sz="0" w:space="0" w:color="auto"/>
        <w:left w:val="none" w:sz="0" w:space="0" w:color="auto"/>
        <w:bottom w:val="none" w:sz="0" w:space="0" w:color="auto"/>
        <w:right w:val="none" w:sz="0" w:space="0" w:color="auto"/>
      </w:divBdr>
    </w:div>
    <w:div w:id="1316297917">
      <w:bodyDiv w:val="1"/>
      <w:marLeft w:val="0"/>
      <w:marRight w:val="0"/>
      <w:marTop w:val="0"/>
      <w:marBottom w:val="0"/>
      <w:divBdr>
        <w:top w:val="none" w:sz="0" w:space="0" w:color="auto"/>
        <w:left w:val="none" w:sz="0" w:space="0" w:color="auto"/>
        <w:bottom w:val="none" w:sz="0" w:space="0" w:color="auto"/>
        <w:right w:val="none" w:sz="0" w:space="0" w:color="auto"/>
      </w:divBdr>
    </w:div>
    <w:div w:id="1404794750">
      <w:bodyDiv w:val="1"/>
      <w:marLeft w:val="0"/>
      <w:marRight w:val="0"/>
      <w:marTop w:val="0"/>
      <w:marBottom w:val="0"/>
      <w:divBdr>
        <w:top w:val="none" w:sz="0" w:space="0" w:color="auto"/>
        <w:left w:val="none" w:sz="0" w:space="0" w:color="auto"/>
        <w:bottom w:val="none" w:sz="0" w:space="0" w:color="auto"/>
        <w:right w:val="none" w:sz="0" w:space="0" w:color="auto"/>
      </w:divBdr>
      <w:divsChild>
        <w:div w:id="455368864">
          <w:marLeft w:val="0"/>
          <w:marRight w:val="0"/>
          <w:marTop w:val="0"/>
          <w:marBottom w:val="0"/>
          <w:divBdr>
            <w:top w:val="none" w:sz="0" w:space="0" w:color="auto"/>
            <w:left w:val="none" w:sz="0" w:space="0" w:color="auto"/>
            <w:bottom w:val="none" w:sz="0" w:space="0" w:color="auto"/>
            <w:right w:val="none" w:sz="0" w:space="0" w:color="auto"/>
          </w:divBdr>
          <w:divsChild>
            <w:div w:id="618416661">
              <w:marLeft w:val="0"/>
              <w:marRight w:val="0"/>
              <w:marTop w:val="0"/>
              <w:marBottom w:val="0"/>
              <w:divBdr>
                <w:top w:val="none" w:sz="0" w:space="0" w:color="auto"/>
                <w:left w:val="none" w:sz="0" w:space="0" w:color="auto"/>
                <w:bottom w:val="none" w:sz="0" w:space="0" w:color="auto"/>
                <w:right w:val="none" w:sz="0" w:space="0" w:color="auto"/>
              </w:divBdr>
            </w:div>
          </w:divsChild>
        </w:div>
        <w:div w:id="95365895">
          <w:marLeft w:val="0"/>
          <w:marRight w:val="0"/>
          <w:marTop w:val="0"/>
          <w:marBottom w:val="0"/>
          <w:divBdr>
            <w:top w:val="none" w:sz="0" w:space="0" w:color="auto"/>
            <w:left w:val="none" w:sz="0" w:space="0" w:color="auto"/>
            <w:bottom w:val="none" w:sz="0" w:space="0" w:color="auto"/>
            <w:right w:val="none" w:sz="0" w:space="0" w:color="auto"/>
          </w:divBdr>
          <w:divsChild>
            <w:div w:id="904872204">
              <w:marLeft w:val="0"/>
              <w:marRight w:val="0"/>
              <w:marTop w:val="0"/>
              <w:marBottom w:val="0"/>
              <w:divBdr>
                <w:top w:val="none" w:sz="0" w:space="0" w:color="auto"/>
                <w:left w:val="none" w:sz="0" w:space="0" w:color="auto"/>
                <w:bottom w:val="none" w:sz="0" w:space="0" w:color="auto"/>
                <w:right w:val="none" w:sz="0" w:space="0" w:color="auto"/>
              </w:divBdr>
            </w:div>
          </w:divsChild>
        </w:div>
        <w:div w:id="525142387">
          <w:marLeft w:val="0"/>
          <w:marRight w:val="0"/>
          <w:marTop w:val="0"/>
          <w:marBottom w:val="0"/>
          <w:divBdr>
            <w:top w:val="none" w:sz="0" w:space="0" w:color="auto"/>
            <w:left w:val="none" w:sz="0" w:space="0" w:color="auto"/>
            <w:bottom w:val="none" w:sz="0" w:space="0" w:color="auto"/>
            <w:right w:val="none" w:sz="0" w:space="0" w:color="auto"/>
          </w:divBdr>
          <w:divsChild>
            <w:div w:id="7137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673">
      <w:bodyDiv w:val="1"/>
      <w:marLeft w:val="0"/>
      <w:marRight w:val="0"/>
      <w:marTop w:val="0"/>
      <w:marBottom w:val="0"/>
      <w:divBdr>
        <w:top w:val="none" w:sz="0" w:space="0" w:color="auto"/>
        <w:left w:val="none" w:sz="0" w:space="0" w:color="auto"/>
        <w:bottom w:val="none" w:sz="0" w:space="0" w:color="auto"/>
        <w:right w:val="none" w:sz="0" w:space="0" w:color="auto"/>
      </w:divBdr>
    </w:div>
    <w:div w:id="1452700218">
      <w:bodyDiv w:val="1"/>
      <w:marLeft w:val="0"/>
      <w:marRight w:val="0"/>
      <w:marTop w:val="0"/>
      <w:marBottom w:val="0"/>
      <w:divBdr>
        <w:top w:val="none" w:sz="0" w:space="0" w:color="auto"/>
        <w:left w:val="none" w:sz="0" w:space="0" w:color="auto"/>
        <w:bottom w:val="none" w:sz="0" w:space="0" w:color="auto"/>
        <w:right w:val="none" w:sz="0" w:space="0" w:color="auto"/>
      </w:divBdr>
    </w:div>
    <w:div w:id="1468234108">
      <w:bodyDiv w:val="1"/>
      <w:marLeft w:val="0"/>
      <w:marRight w:val="0"/>
      <w:marTop w:val="0"/>
      <w:marBottom w:val="0"/>
      <w:divBdr>
        <w:top w:val="none" w:sz="0" w:space="0" w:color="auto"/>
        <w:left w:val="none" w:sz="0" w:space="0" w:color="auto"/>
        <w:bottom w:val="none" w:sz="0" w:space="0" w:color="auto"/>
        <w:right w:val="none" w:sz="0" w:space="0" w:color="auto"/>
      </w:divBdr>
    </w:div>
    <w:div w:id="1550143001">
      <w:bodyDiv w:val="1"/>
      <w:marLeft w:val="0"/>
      <w:marRight w:val="0"/>
      <w:marTop w:val="0"/>
      <w:marBottom w:val="0"/>
      <w:divBdr>
        <w:top w:val="none" w:sz="0" w:space="0" w:color="auto"/>
        <w:left w:val="none" w:sz="0" w:space="0" w:color="auto"/>
        <w:bottom w:val="none" w:sz="0" w:space="0" w:color="auto"/>
        <w:right w:val="none" w:sz="0" w:space="0" w:color="auto"/>
      </w:divBdr>
      <w:divsChild>
        <w:div w:id="1206872189">
          <w:marLeft w:val="0"/>
          <w:marRight w:val="0"/>
          <w:marTop w:val="0"/>
          <w:marBottom w:val="0"/>
          <w:divBdr>
            <w:top w:val="none" w:sz="0" w:space="0" w:color="auto"/>
            <w:left w:val="none" w:sz="0" w:space="0" w:color="auto"/>
            <w:bottom w:val="none" w:sz="0" w:space="0" w:color="auto"/>
            <w:right w:val="none" w:sz="0" w:space="0" w:color="auto"/>
          </w:divBdr>
          <w:divsChild>
            <w:div w:id="32116095">
              <w:marLeft w:val="0"/>
              <w:marRight w:val="0"/>
              <w:marTop w:val="0"/>
              <w:marBottom w:val="0"/>
              <w:divBdr>
                <w:top w:val="none" w:sz="0" w:space="0" w:color="auto"/>
                <w:left w:val="none" w:sz="0" w:space="0" w:color="auto"/>
                <w:bottom w:val="none" w:sz="0" w:space="0" w:color="auto"/>
                <w:right w:val="none" w:sz="0" w:space="0" w:color="auto"/>
              </w:divBdr>
              <w:divsChild>
                <w:div w:id="1464232684">
                  <w:marLeft w:val="0"/>
                  <w:marRight w:val="0"/>
                  <w:marTop w:val="0"/>
                  <w:marBottom w:val="0"/>
                  <w:divBdr>
                    <w:top w:val="none" w:sz="0" w:space="0" w:color="auto"/>
                    <w:left w:val="none" w:sz="0" w:space="0" w:color="auto"/>
                    <w:bottom w:val="none" w:sz="0" w:space="0" w:color="auto"/>
                    <w:right w:val="none" w:sz="0" w:space="0" w:color="auto"/>
                  </w:divBdr>
                  <w:divsChild>
                    <w:div w:id="48307451">
                      <w:marLeft w:val="0"/>
                      <w:marRight w:val="0"/>
                      <w:marTop w:val="0"/>
                      <w:marBottom w:val="0"/>
                      <w:divBdr>
                        <w:top w:val="none" w:sz="0" w:space="0" w:color="auto"/>
                        <w:left w:val="none" w:sz="0" w:space="0" w:color="auto"/>
                        <w:bottom w:val="none" w:sz="0" w:space="0" w:color="auto"/>
                        <w:right w:val="none" w:sz="0" w:space="0" w:color="auto"/>
                      </w:divBdr>
                      <w:divsChild>
                        <w:div w:id="348875497">
                          <w:marLeft w:val="0"/>
                          <w:marRight w:val="0"/>
                          <w:marTop w:val="0"/>
                          <w:marBottom w:val="0"/>
                          <w:divBdr>
                            <w:top w:val="none" w:sz="0" w:space="0" w:color="auto"/>
                            <w:left w:val="none" w:sz="0" w:space="0" w:color="auto"/>
                            <w:bottom w:val="none" w:sz="0" w:space="0" w:color="auto"/>
                            <w:right w:val="none" w:sz="0" w:space="0" w:color="auto"/>
                          </w:divBdr>
                          <w:divsChild>
                            <w:div w:id="1079017204">
                              <w:marLeft w:val="0"/>
                              <w:marRight w:val="0"/>
                              <w:marTop w:val="0"/>
                              <w:marBottom w:val="0"/>
                              <w:divBdr>
                                <w:top w:val="none" w:sz="0" w:space="0" w:color="auto"/>
                                <w:left w:val="none" w:sz="0" w:space="0" w:color="auto"/>
                                <w:bottom w:val="none" w:sz="0" w:space="0" w:color="auto"/>
                                <w:right w:val="none" w:sz="0" w:space="0" w:color="auto"/>
                              </w:divBdr>
                              <w:divsChild>
                                <w:div w:id="1345669447">
                                  <w:marLeft w:val="0"/>
                                  <w:marRight w:val="0"/>
                                  <w:marTop w:val="0"/>
                                  <w:marBottom w:val="0"/>
                                  <w:divBdr>
                                    <w:top w:val="none" w:sz="0" w:space="0" w:color="auto"/>
                                    <w:left w:val="none" w:sz="0" w:space="0" w:color="auto"/>
                                    <w:bottom w:val="none" w:sz="0" w:space="0" w:color="auto"/>
                                    <w:right w:val="none" w:sz="0" w:space="0" w:color="auto"/>
                                  </w:divBdr>
                                  <w:divsChild>
                                    <w:div w:id="221064915">
                                      <w:marLeft w:val="0"/>
                                      <w:marRight w:val="0"/>
                                      <w:marTop w:val="0"/>
                                      <w:marBottom w:val="0"/>
                                      <w:divBdr>
                                        <w:top w:val="none" w:sz="0" w:space="0" w:color="auto"/>
                                        <w:left w:val="none" w:sz="0" w:space="0" w:color="auto"/>
                                        <w:bottom w:val="none" w:sz="0" w:space="0" w:color="auto"/>
                                        <w:right w:val="none" w:sz="0" w:space="0" w:color="auto"/>
                                      </w:divBdr>
                                      <w:divsChild>
                                        <w:div w:id="1632706986">
                                          <w:marLeft w:val="0"/>
                                          <w:marRight w:val="0"/>
                                          <w:marTop w:val="0"/>
                                          <w:marBottom w:val="0"/>
                                          <w:divBdr>
                                            <w:top w:val="none" w:sz="0" w:space="0" w:color="auto"/>
                                            <w:left w:val="none" w:sz="0" w:space="0" w:color="auto"/>
                                            <w:bottom w:val="none" w:sz="0" w:space="0" w:color="auto"/>
                                            <w:right w:val="none" w:sz="0" w:space="0" w:color="auto"/>
                                          </w:divBdr>
                                          <w:divsChild>
                                            <w:div w:id="982544888">
                                              <w:marLeft w:val="0"/>
                                              <w:marRight w:val="0"/>
                                              <w:marTop w:val="0"/>
                                              <w:marBottom w:val="0"/>
                                              <w:divBdr>
                                                <w:top w:val="none" w:sz="0" w:space="0" w:color="auto"/>
                                                <w:left w:val="none" w:sz="0" w:space="0" w:color="auto"/>
                                                <w:bottom w:val="none" w:sz="0" w:space="0" w:color="auto"/>
                                                <w:right w:val="none" w:sz="0" w:space="0" w:color="auto"/>
                                              </w:divBdr>
                                              <w:divsChild>
                                                <w:div w:id="837771282">
                                                  <w:marLeft w:val="0"/>
                                                  <w:marRight w:val="0"/>
                                                  <w:marTop w:val="0"/>
                                                  <w:marBottom w:val="0"/>
                                                  <w:divBdr>
                                                    <w:top w:val="none" w:sz="0" w:space="0" w:color="auto"/>
                                                    <w:left w:val="none" w:sz="0" w:space="0" w:color="auto"/>
                                                    <w:bottom w:val="none" w:sz="0" w:space="0" w:color="auto"/>
                                                    <w:right w:val="none" w:sz="0" w:space="0" w:color="auto"/>
                                                  </w:divBdr>
                                                  <w:divsChild>
                                                    <w:div w:id="689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9272">
                                      <w:marLeft w:val="0"/>
                                      <w:marRight w:val="0"/>
                                      <w:marTop w:val="0"/>
                                      <w:marBottom w:val="0"/>
                                      <w:divBdr>
                                        <w:top w:val="none" w:sz="0" w:space="0" w:color="auto"/>
                                        <w:left w:val="none" w:sz="0" w:space="0" w:color="auto"/>
                                        <w:bottom w:val="none" w:sz="0" w:space="0" w:color="auto"/>
                                        <w:right w:val="none" w:sz="0" w:space="0" w:color="auto"/>
                                      </w:divBdr>
                                      <w:divsChild>
                                        <w:div w:id="202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91242">
          <w:marLeft w:val="0"/>
          <w:marRight w:val="0"/>
          <w:marTop w:val="0"/>
          <w:marBottom w:val="0"/>
          <w:divBdr>
            <w:top w:val="none" w:sz="0" w:space="0" w:color="auto"/>
            <w:left w:val="none" w:sz="0" w:space="0" w:color="auto"/>
            <w:bottom w:val="none" w:sz="0" w:space="0" w:color="auto"/>
            <w:right w:val="none" w:sz="0" w:space="0" w:color="auto"/>
          </w:divBdr>
          <w:divsChild>
            <w:div w:id="1033775008">
              <w:marLeft w:val="0"/>
              <w:marRight w:val="0"/>
              <w:marTop w:val="0"/>
              <w:marBottom w:val="0"/>
              <w:divBdr>
                <w:top w:val="none" w:sz="0" w:space="0" w:color="auto"/>
                <w:left w:val="none" w:sz="0" w:space="0" w:color="auto"/>
                <w:bottom w:val="none" w:sz="0" w:space="0" w:color="auto"/>
                <w:right w:val="none" w:sz="0" w:space="0" w:color="auto"/>
              </w:divBdr>
              <w:divsChild>
                <w:div w:id="433063354">
                  <w:marLeft w:val="0"/>
                  <w:marRight w:val="0"/>
                  <w:marTop w:val="0"/>
                  <w:marBottom w:val="0"/>
                  <w:divBdr>
                    <w:top w:val="none" w:sz="0" w:space="0" w:color="auto"/>
                    <w:left w:val="none" w:sz="0" w:space="0" w:color="auto"/>
                    <w:bottom w:val="none" w:sz="0" w:space="0" w:color="auto"/>
                    <w:right w:val="none" w:sz="0" w:space="0" w:color="auto"/>
                  </w:divBdr>
                  <w:divsChild>
                    <w:div w:id="1610352965">
                      <w:marLeft w:val="0"/>
                      <w:marRight w:val="0"/>
                      <w:marTop w:val="0"/>
                      <w:marBottom w:val="0"/>
                      <w:divBdr>
                        <w:top w:val="none" w:sz="0" w:space="0" w:color="auto"/>
                        <w:left w:val="none" w:sz="0" w:space="0" w:color="auto"/>
                        <w:bottom w:val="none" w:sz="0" w:space="0" w:color="auto"/>
                        <w:right w:val="none" w:sz="0" w:space="0" w:color="auto"/>
                      </w:divBdr>
                      <w:divsChild>
                        <w:div w:id="4346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93593">
      <w:bodyDiv w:val="1"/>
      <w:marLeft w:val="0"/>
      <w:marRight w:val="0"/>
      <w:marTop w:val="0"/>
      <w:marBottom w:val="0"/>
      <w:divBdr>
        <w:top w:val="none" w:sz="0" w:space="0" w:color="auto"/>
        <w:left w:val="none" w:sz="0" w:space="0" w:color="auto"/>
        <w:bottom w:val="none" w:sz="0" w:space="0" w:color="auto"/>
        <w:right w:val="none" w:sz="0" w:space="0" w:color="auto"/>
      </w:divBdr>
    </w:div>
    <w:div w:id="1581980311">
      <w:bodyDiv w:val="1"/>
      <w:marLeft w:val="0"/>
      <w:marRight w:val="0"/>
      <w:marTop w:val="0"/>
      <w:marBottom w:val="0"/>
      <w:divBdr>
        <w:top w:val="none" w:sz="0" w:space="0" w:color="auto"/>
        <w:left w:val="none" w:sz="0" w:space="0" w:color="auto"/>
        <w:bottom w:val="none" w:sz="0" w:space="0" w:color="auto"/>
        <w:right w:val="none" w:sz="0" w:space="0" w:color="auto"/>
      </w:divBdr>
    </w:div>
    <w:div w:id="1634365362">
      <w:bodyDiv w:val="1"/>
      <w:marLeft w:val="0"/>
      <w:marRight w:val="0"/>
      <w:marTop w:val="0"/>
      <w:marBottom w:val="0"/>
      <w:divBdr>
        <w:top w:val="none" w:sz="0" w:space="0" w:color="auto"/>
        <w:left w:val="none" w:sz="0" w:space="0" w:color="auto"/>
        <w:bottom w:val="none" w:sz="0" w:space="0" w:color="auto"/>
        <w:right w:val="none" w:sz="0" w:space="0" w:color="auto"/>
      </w:divBdr>
    </w:div>
    <w:div w:id="1711345538">
      <w:bodyDiv w:val="1"/>
      <w:marLeft w:val="0"/>
      <w:marRight w:val="0"/>
      <w:marTop w:val="0"/>
      <w:marBottom w:val="0"/>
      <w:divBdr>
        <w:top w:val="none" w:sz="0" w:space="0" w:color="auto"/>
        <w:left w:val="none" w:sz="0" w:space="0" w:color="auto"/>
        <w:bottom w:val="none" w:sz="0" w:space="0" w:color="auto"/>
        <w:right w:val="none" w:sz="0" w:space="0" w:color="auto"/>
      </w:divBdr>
    </w:div>
    <w:div w:id="1720082713">
      <w:bodyDiv w:val="1"/>
      <w:marLeft w:val="0"/>
      <w:marRight w:val="0"/>
      <w:marTop w:val="0"/>
      <w:marBottom w:val="0"/>
      <w:divBdr>
        <w:top w:val="none" w:sz="0" w:space="0" w:color="auto"/>
        <w:left w:val="none" w:sz="0" w:space="0" w:color="auto"/>
        <w:bottom w:val="none" w:sz="0" w:space="0" w:color="auto"/>
        <w:right w:val="none" w:sz="0" w:space="0" w:color="auto"/>
      </w:divBdr>
    </w:div>
    <w:div w:id="1751003187">
      <w:bodyDiv w:val="1"/>
      <w:marLeft w:val="0"/>
      <w:marRight w:val="0"/>
      <w:marTop w:val="0"/>
      <w:marBottom w:val="0"/>
      <w:divBdr>
        <w:top w:val="none" w:sz="0" w:space="0" w:color="auto"/>
        <w:left w:val="none" w:sz="0" w:space="0" w:color="auto"/>
        <w:bottom w:val="none" w:sz="0" w:space="0" w:color="auto"/>
        <w:right w:val="none" w:sz="0" w:space="0" w:color="auto"/>
      </w:divBdr>
    </w:div>
    <w:div w:id="1878003898">
      <w:bodyDiv w:val="1"/>
      <w:marLeft w:val="0"/>
      <w:marRight w:val="0"/>
      <w:marTop w:val="0"/>
      <w:marBottom w:val="0"/>
      <w:divBdr>
        <w:top w:val="none" w:sz="0" w:space="0" w:color="auto"/>
        <w:left w:val="none" w:sz="0" w:space="0" w:color="auto"/>
        <w:bottom w:val="none" w:sz="0" w:space="0" w:color="auto"/>
        <w:right w:val="none" w:sz="0" w:space="0" w:color="auto"/>
      </w:divBdr>
    </w:div>
    <w:div w:id="2046825672">
      <w:bodyDiv w:val="1"/>
      <w:marLeft w:val="0"/>
      <w:marRight w:val="0"/>
      <w:marTop w:val="0"/>
      <w:marBottom w:val="0"/>
      <w:divBdr>
        <w:top w:val="none" w:sz="0" w:space="0" w:color="auto"/>
        <w:left w:val="none" w:sz="0" w:space="0" w:color="auto"/>
        <w:bottom w:val="none" w:sz="0" w:space="0" w:color="auto"/>
        <w:right w:val="none" w:sz="0" w:space="0" w:color="auto"/>
      </w:divBdr>
    </w:div>
    <w:div w:id="2108234659">
      <w:bodyDiv w:val="1"/>
      <w:marLeft w:val="0"/>
      <w:marRight w:val="0"/>
      <w:marTop w:val="0"/>
      <w:marBottom w:val="0"/>
      <w:divBdr>
        <w:top w:val="none" w:sz="0" w:space="0" w:color="auto"/>
        <w:left w:val="none" w:sz="0" w:space="0" w:color="auto"/>
        <w:bottom w:val="none" w:sz="0" w:space="0" w:color="auto"/>
        <w:right w:val="none" w:sz="0" w:space="0" w:color="auto"/>
      </w:divBdr>
    </w:div>
    <w:div w:id="2126994302">
      <w:bodyDiv w:val="1"/>
      <w:marLeft w:val="0"/>
      <w:marRight w:val="0"/>
      <w:marTop w:val="0"/>
      <w:marBottom w:val="0"/>
      <w:divBdr>
        <w:top w:val="none" w:sz="0" w:space="0" w:color="auto"/>
        <w:left w:val="none" w:sz="0" w:space="0" w:color="auto"/>
        <w:bottom w:val="none" w:sz="0" w:space="0" w:color="auto"/>
        <w:right w:val="none" w:sz="0" w:space="0" w:color="auto"/>
      </w:divBdr>
    </w:div>
    <w:div w:id="2137554736">
      <w:bodyDiv w:val="1"/>
      <w:marLeft w:val="0"/>
      <w:marRight w:val="0"/>
      <w:marTop w:val="0"/>
      <w:marBottom w:val="0"/>
      <w:divBdr>
        <w:top w:val="none" w:sz="0" w:space="0" w:color="auto"/>
        <w:left w:val="none" w:sz="0" w:space="0" w:color="auto"/>
        <w:bottom w:val="none" w:sz="0" w:space="0" w:color="auto"/>
        <w:right w:val="none" w:sz="0" w:space="0" w:color="auto"/>
      </w:divBdr>
      <w:divsChild>
        <w:div w:id="1493330864">
          <w:marLeft w:val="0"/>
          <w:marRight w:val="0"/>
          <w:marTop w:val="0"/>
          <w:marBottom w:val="0"/>
          <w:divBdr>
            <w:top w:val="none" w:sz="0" w:space="0" w:color="auto"/>
            <w:left w:val="none" w:sz="0" w:space="0" w:color="auto"/>
            <w:bottom w:val="none" w:sz="0" w:space="0" w:color="auto"/>
            <w:right w:val="none" w:sz="0" w:space="0" w:color="auto"/>
          </w:divBdr>
          <w:divsChild>
            <w:div w:id="1229995982">
              <w:marLeft w:val="0"/>
              <w:marRight w:val="0"/>
              <w:marTop w:val="0"/>
              <w:marBottom w:val="0"/>
              <w:divBdr>
                <w:top w:val="none" w:sz="0" w:space="0" w:color="auto"/>
                <w:left w:val="none" w:sz="0" w:space="0" w:color="auto"/>
                <w:bottom w:val="none" w:sz="0" w:space="0" w:color="auto"/>
                <w:right w:val="none" w:sz="0" w:space="0" w:color="auto"/>
              </w:divBdr>
            </w:div>
          </w:divsChild>
        </w:div>
        <w:div w:id="2006470526">
          <w:marLeft w:val="0"/>
          <w:marRight w:val="0"/>
          <w:marTop w:val="0"/>
          <w:marBottom w:val="0"/>
          <w:divBdr>
            <w:top w:val="none" w:sz="0" w:space="0" w:color="auto"/>
            <w:left w:val="none" w:sz="0" w:space="0" w:color="auto"/>
            <w:bottom w:val="none" w:sz="0" w:space="0" w:color="auto"/>
            <w:right w:val="none" w:sz="0" w:space="0" w:color="auto"/>
          </w:divBdr>
          <w:divsChild>
            <w:div w:id="1064379971">
              <w:marLeft w:val="0"/>
              <w:marRight w:val="0"/>
              <w:marTop w:val="0"/>
              <w:marBottom w:val="0"/>
              <w:divBdr>
                <w:top w:val="none" w:sz="0" w:space="0" w:color="auto"/>
                <w:left w:val="none" w:sz="0" w:space="0" w:color="auto"/>
                <w:bottom w:val="none" w:sz="0" w:space="0" w:color="auto"/>
                <w:right w:val="none" w:sz="0" w:space="0" w:color="auto"/>
              </w:divBdr>
            </w:div>
          </w:divsChild>
        </w:div>
        <w:div w:id="1252422928">
          <w:marLeft w:val="0"/>
          <w:marRight w:val="0"/>
          <w:marTop w:val="0"/>
          <w:marBottom w:val="0"/>
          <w:divBdr>
            <w:top w:val="none" w:sz="0" w:space="0" w:color="auto"/>
            <w:left w:val="none" w:sz="0" w:space="0" w:color="auto"/>
            <w:bottom w:val="none" w:sz="0" w:space="0" w:color="auto"/>
            <w:right w:val="none" w:sz="0" w:space="0" w:color="auto"/>
          </w:divBdr>
          <w:divsChild>
            <w:div w:id="1925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5083</Words>
  <Characters>31164</Characters>
  <Application>Microsoft Office Word</Application>
  <DocSecurity>0</DocSecurity>
  <Lines>973</Lines>
  <Paragraphs>594</Paragraphs>
  <ScaleCrop>false</ScaleCrop>
  <HeadingPairs>
    <vt:vector size="2" baseType="variant">
      <vt:variant>
        <vt:lpstr>Title</vt:lpstr>
      </vt:variant>
      <vt:variant>
        <vt:i4>1</vt:i4>
      </vt:variant>
    </vt:vector>
  </HeadingPairs>
  <TitlesOfParts>
    <vt:vector size="1" baseType="lpstr">
      <vt:lpstr>SAPM Report - Final</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SAPM Report - Final</dc:title>
  <dc:creator>sreeja bulusu</dc:creator>
  <cp:lastModifiedBy>sreeja bulusu</cp:lastModifiedBy>
  <cp:revision>2</cp:revision>
  <cp:lastPrinted>2025-07-05T17:22:00Z</cp:lastPrinted>
  <dcterms:created xsi:type="dcterms:W3CDTF">2025-07-05T18:26:00Z</dcterms:created>
  <dcterms:modified xsi:type="dcterms:W3CDTF">2025-07-05T18:26:00Z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2025-07-05T00:00:00Z</vt:filetime>
  </property>
  <property fmtid="{D5CDD505-2E9C-101B-9397-08002B2CF9AE}" pid="3" name="LastSaved">
    <vt:filetime>2025-07-05T00:00:00Z</vt:filetime>
  </property>
  <property fmtid="{D5CDD505-2E9C-101B-9397-08002B2CF9AE}" pid="4" name="Producer">
    <vt:lpwstr>3-Heights(TM) PDF Security Shell 4.8.25.2 (http://www.pdf-tools.com)</vt:lpwstr>
  </property>
  <property fmtid="{D5CDD505-2E9C-101B-9397-08002B2CF9AE}" pid="5" name="GrammarlyDocumentId">
    <vt:lpwstr>3f8fe387-aaed-4665-9853-4ae3772bde0c</vt:lpwstr>
  </property>
</Properties>
</file>