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9AC56A" w14:textId="77777777" w:rsidR="00455809" w:rsidRDefault="00455809">
      <w:pPr>
        <w:spacing w:after="1040"/>
      </w:pPr>
    </w:p>
    <w:p w14:paraId="5A945FC7" w14:textId="77777777" w:rsidR="00455809" w:rsidRDefault="00000000">
      <w:pPr>
        <w:pStyle w:val="SmallLabel"/>
      </w:pPr>
      <w:r>
        <w:t>DESIGN BRIEF · CONTRIBUTOR-READY PROOF OF CONCEPT</w:t>
      </w:r>
    </w:p>
    <w:p w14:paraId="092B4132" w14:textId="77777777" w:rsidR="00455809" w:rsidRDefault="00000000">
      <w:pPr>
        <w:pStyle w:val="Title"/>
      </w:pPr>
      <w:r>
        <w:t>From runtime demand</w:t>
      </w:r>
      <w:r>
        <w:br/>
        <w:t>to enforced access</w:t>
      </w:r>
    </w:p>
    <w:p w14:paraId="5B70BDDB" w14:textId="77777777" w:rsidR="00455809" w:rsidRDefault="00000000">
      <w:pPr>
        <w:pStyle w:val="Subtitle"/>
      </w:pPr>
      <w:r>
        <w:t>A Backstage-aware adapter that turns Runtime Conditions Profiles into least-privilege Cilium network policy</w:t>
      </w:r>
    </w:p>
    <w:p w14:paraId="0F305839" w14:textId="77777777" w:rsidR="00455809" w:rsidRDefault="00000000">
      <w:pPr>
        <w:spacing w:after="560"/>
      </w:pPr>
      <w:r>
        <w:rPr>
          <w:b/>
          <w:color w:val="178F8B"/>
          <w:sz w:val="21"/>
        </w:rPr>
        <w:t>Runtime Conditions · Cilium · Backstage · Kubernetes</w:t>
      </w:r>
    </w:p>
    <w:tbl>
      <w:tblPr>
        <w:tblW w:w="9360" w:type="dxa"/>
        <w:tblInd w:w="120" w:type="dxa"/>
        <w:tblBorders>
          <w:top w:val="single" w:sz="8" w:space="0" w:color="178F8B"/>
          <w:left w:val="single" w:sz="8" w:space="0" w:color="178F8B"/>
          <w:bottom w:val="single" w:sz="8" w:space="0" w:color="178F8B"/>
          <w:right w:val="single" w:sz="8" w:space="0" w:color="178F8B"/>
        </w:tblBorders>
        <w:tblLayout w:type="fixed"/>
        <w:tblLook w:val="04A0" w:firstRow="1" w:lastRow="0" w:firstColumn="1" w:lastColumn="0" w:noHBand="0" w:noVBand="1"/>
      </w:tblPr>
      <w:tblGrid>
        <w:gridCol w:w="9360"/>
      </w:tblGrid>
      <w:tr w:rsidR="00455809" w14:paraId="5F373762" w14:textId="77777777">
        <w:trPr>
          <w:cantSplit/>
        </w:trPr>
        <w:tc>
          <w:tcPr>
            <w:tcW w:w="9360" w:type="dxa"/>
            <w:shd w:val="clear" w:color="auto" w:fill="E8F5F4"/>
            <w:tcMar>
              <w:top w:w="130" w:type="dxa"/>
              <w:left w:w="180" w:type="dxa"/>
              <w:bottom w:w="130" w:type="dxa"/>
              <w:right w:w="180" w:type="dxa"/>
            </w:tcMar>
            <w:vAlign w:val="center"/>
          </w:tcPr>
          <w:p w14:paraId="4CB53821" w14:textId="77777777" w:rsidR="00455809" w:rsidRDefault="00000000">
            <w:pPr>
              <w:spacing w:after="40" w:line="259" w:lineRule="auto"/>
            </w:pPr>
            <w:r>
              <w:rPr>
                <w:b/>
                <w:color w:val="178F8B"/>
                <w:sz w:val="18"/>
              </w:rPr>
              <w:t xml:space="preserve">THESIS  </w:t>
            </w:r>
            <w:r>
              <w:rPr>
                <w:b/>
                <w:sz w:val="21"/>
              </w:rPr>
              <w:t>A workload should declare the API capabilities it needs. The platform should decide which service provides them and grant only the access that was declared.</w:t>
            </w:r>
          </w:p>
        </w:tc>
      </w:tr>
    </w:tbl>
    <w:p w14:paraId="64548BEE" w14:textId="77777777" w:rsidR="00455809" w:rsidRDefault="00455809">
      <w:pPr>
        <w:spacing w:after="80"/>
      </w:pPr>
    </w:p>
    <w:p w14:paraId="1A8927CB" w14:textId="77777777" w:rsidR="00455809" w:rsidRDefault="00455809">
      <w:pPr>
        <w:spacing w:after="360"/>
      </w:pPr>
    </w:p>
    <w:p w14:paraId="1AC853AA" w14:textId="77777777" w:rsidR="00455809" w:rsidRDefault="00000000">
      <w:pPr>
        <w:spacing w:after="360"/>
      </w:pPr>
      <w:r>
        <w:rPr>
          <w:i/>
          <w:color w:val="536273"/>
          <w:sz w:val="21"/>
        </w:rPr>
        <w:t>This brief provides the narrative context, architectural intent, and contributor boundary for the proposed demo. It deliberately separates the intended end state from the scaffold currently present in the repository.</w:t>
      </w:r>
    </w:p>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2100"/>
        <w:gridCol w:w="7260"/>
      </w:tblGrid>
      <w:tr w:rsidR="00455809" w14:paraId="4E9DB043" w14:textId="77777777">
        <w:trPr>
          <w:cantSplit/>
        </w:trPr>
        <w:tc>
          <w:tcPr>
            <w:tcW w:w="2100" w:type="dxa"/>
            <w:shd w:val="clear" w:color="auto" w:fill="FAFBFC"/>
            <w:tcMar>
              <w:top w:w="90" w:type="dxa"/>
              <w:left w:w="120" w:type="dxa"/>
              <w:bottom w:w="90" w:type="dxa"/>
              <w:right w:w="120" w:type="dxa"/>
            </w:tcMar>
            <w:vAlign w:val="center"/>
          </w:tcPr>
          <w:p w14:paraId="123E6E16" w14:textId="77777777" w:rsidR="00455809" w:rsidRDefault="00000000">
            <w:pPr>
              <w:spacing w:after="20" w:line="252" w:lineRule="auto"/>
            </w:pPr>
            <w:r>
              <w:rPr>
                <w:b/>
                <w:color w:val="0B2545"/>
                <w:sz w:val="19"/>
              </w:rPr>
              <w:t>Audience</w:t>
            </w:r>
          </w:p>
        </w:tc>
        <w:tc>
          <w:tcPr>
            <w:tcW w:w="7260" w:type="dxa"/>
            <w:shd w:val="clear" w:color="auto" w:fill="FAFBFC"/>
            <w:tcMar>
              <w:top w:w="90" w:type="dxa"/>
              <w:left w:w="120" w:type="dxa"/>
              <w:bottom w:w="90" w:type="dxa"/>
              <w:right w:w="120" w:type="dxa"/>
            </w:tcMar>
            <w:vAlign w:val="center"/>
          </w:tcPr>
          <w:p w14:paraId="001206DB" w14:textId="77777777" w:rsidR="00455809" w:rsidRDefault="00000000">
            <w:pPr>
              <w:spacing w:after="20" w:line="252" w:lineRule="auto"/>
            </w:pPr>
            <w:r>
              <w:rPr>
                <w:sz w:val="19"/>
              </w:rPr>
              <w:t>Runtime Conditions contributors, platform engineers, security engineers, and reviewers</w:t>
            </w:r>
          </w:p>
        </w:tc>
      </w:tr>
      <w:tr w:rsidR="00455809" w14:paraId="178F53BD" w14:textId="77777777">
        <w:trPr>
          <w:cantSplit/>
        </w:trPr>
        <w:tc>
          <w:tcPr>
            <w:tcW w:w="2100" w:type="dxa"/>
            <w:tcMar>
              <w:top w:w="90" w:type="dxa"/>
              <w:left w:w="120" w:type="dxa"/>
              <w:bottom w:w="90" w:type="dxa"/>
              <w:right w:w="120" w:type="dxa"/>
            </w:tcMar>
            <w:vAlign w:val="center"/>
          </w:tcPr>
          <w:p w14:paraId="127FD6BB" w14:textId="77777777" w:rsidR="00455809" w:rsidRDefault="00000000">
            <w:pPr>
              <w:spacing w:after="20" w:line="252" w:lineRule="auto"/>
            </w:pPr>
            <w:r>
              <w:rPr>
                <w:b/>
                <w:color w:val="0B2545"/>
                <w:sz w:val="19"/>
              </w:rPr>
              <w:t>Decision</w:t>
            </w:r>
          </w:p>
        </w:tc>
        <w:tc>
          <w:tcPr>
            <w:tcW w:w="7260" w:type="dxa"/>
            <w:tcMar>
              <w:top w:w="90" w:type="dxa"/>
              <w:left w:w="120" w:type="dxa"/>
              <w:bottom w:w="90" w:type="dxa"/>
              <w:right w:w="120" w:type="dxa"/>
            </w:tcMar>
            <w:vAlign w:val="center"/>
          </w:tcPr>
          <w:p w14:paraId="4D5D839F" w14:textId="77777777" w:rsidR="00455809" w:rsidRDefault="00000000">
            <w:pPr>
              <w:spacing w:after="20" w:line="252" w:lineRule="auto"/>
            </w:pPr>
            <w:r>
              <w:rPr>
                <w:sz w:val="19"/>
              </w:rPr>
              <w:t>Build an API-focused adapter milestone before expanding to stateful services and external endpoints</w:t>
            </w:r>
          </w:p>
        </w:tc>
      </w:tr>
      <w:tr w:rsidR="00455809" w14:paraId="16B72BA5" w14:textId="77777777">
        <w:trPr>
          <w:cantSplit/>
        </w:trPr>
        <w:tc>
          <w:tcPr>
            <w:tcW w:w="2100" w:type="dxa"/>
            <w:shd w:val="clear" w:color="auto" w:fill="FAFBFC"/>
            <w:tcMar>
              <w:top w:w="90" w:type="dxa"/>
              <w:left w:w="120" w:type="dxa"/>
              <w:bottom w:w="90" w:type="dxa"/>
              <w:right w:w="120" w:type="dxa"/>
            </w:tcMar>
            <w:vAlign w:val="center"/>
          </w:tcPr>
          <w:p w14:paraId="708C3F7E" w14:textId="77777777" w:rsidR="00455809" w:rsidRDefault="00000000">
            <w:pPr>
              <w:spacing w:after="20" w:line="252" w:lineRule="auto"/>
            </w:pPr>
            <w:r>
              <w:rPr>
                <w:b/>
                <w:color w:val="0B2545"/>
                <w:sz w:val="19"/>
              </w:rPr>
              <w:t>Proof point</w:t>
            </w:r>
          </w:p>
        </w:tc>
        <w:tc>
          <w:tcPr>
            <w:tcW w:w="7260" w:type="dxa"/>
            <w:shd w:val="clear" w:color="auto" w:fill="FAFBFC"/>
            <w:tcMar>
              <w:top w:w="90" w:type="dxa"/>
              <w:left w:w="120" w:type="dxa"/>
              <w:bottom w:w="90" w:type="dxa"/>
              <w:right w:w="120" w:type="dxa"/>
            </w:tcMar>
            <w:vAlign w:val="center"/>
          </w:tcPr>
          <w:p w14:paraId="4F6CA9B4" w14:textId="77777777" w:rsidR="00455809" w:rsidRDefault="00000000">
            <w:pPr>
              <w:spacing w:after="20" w:line="252" w:lineRule="auto"/>
            </w:pPr>
            <w:r>
              <w:rPr>
                <w:sz w:val="19"/>
              </w:rPr>
              <w:t>Declared HTTP operations become catalog-resolved, L7-enforced egress</w:t>
            </w:r>
          </w:p>
        </w:tc>
      </w:tr>
      <w:tr w:rsidR="00455809" w14:paraId="5E3BCAB0" w14:textId="77777777">
        <w:trPr>
          <w:cantSplit/>
        </w:trPr>
        <w:tc>
          <w:tcPr>
            <w:tcW w:w="2100" w:type="dxa"/>
            <w:tcMar>
              <w:top w:w="90" w:type="dxa"/>
              <w:left w:w="120" w:type="dxa"/>
              <w:bottom w:w="90" w:type="dxa"/>
              <w:right w:w="120" w:type="dxa"/>
            </w:tcMar>
            <w:vAlign w:val="center"/>
          </w:tcPr>
          <w:p w14:paraId="0C1216D6" w14:textId="77777777" w:rsidR="00455809" w:rsidRDefault="00000000">
            <w:pPr>
              <w:spacing w:after="20" w:line="252" w:lineRule="auto"/>
            </w:pPr>
            <w:r>
              <w:rPr>
                <w:b/>
                <w:color w:val="0B2545"/>
                <w:sz w:val="19"/>
              </w:rPr>
              <w:t>Status</w:t>
            </w:r>
          </w:p>
        </w:tc>
        <w:tc>
          <w:tcPr>
            <w:tcW w:w="7260" w:type="dxa"/>
            <w:tcMar>
              <w:top w:w="90" w:type="dxa"/>
              <w:left w:w="120" w:type="dxa"/>
              <w:bottom w:w="90" w:type="dxa"/>
              <w:right w:w="120" w:type="dxa"/>
            </w:tcMar>
            <w:vAlign w:val="center"/>
          </w:tcPr>
          <w:p w14:paraId="2D02C491" w14:textId="77777777" w:rsidR="00455809" w:rsidRDefault="00000000">
            <w:pPr>
              <w:spacing w:after="20" w:line="252" w:lineRule="auto"/>
            </w:pPr>
            <w:r>
              <w:rPr>
                <w:sz w:val="19"/>
              </w:rPr>
              <w:t>Design and partial fixture scaffold; the end-to-end runnable path is not yet complete</w:t>
            </w:r>
          </w:p>
        </w:tc>
      </w:tr>
    </w:tbl>
    <w:p w14:paraId="36DB9DE0" w14:textId="77777777" w:rsidR="00455809" w:rsidRDefault="00455809">
      <w:pPr>
        <w:spacing w:after="40"/>
      </w:pPr>
    </w:p>
    <w:p w14:paraId="22446F59" w14:textId="77777777" w:rsidR="00455809" w:rsidRDefault="00000000">
      <w:r>
        <w:br w:type="page"/>
      </w:r>
    </w:p>
    <w:p w14:paraId="36705C0F" w14:textId="77777777" w:rsidR="00455809" w:rsidRDefault="00000000">
      <w:pPr>
        <w:keepNext/>
        <w:spacing w:after="60"/>
      </w:pPr>
      <w:r>
        <w:rPr>
          <w:b/>
          <w:color w:val="178F8B"/>
          <w:sz w:val="20"/>
        </w:rPr>
        <w:lastRenderedPageBreak/>
        <w:t>01 · CONTEXT</w:t>
      </w:r>
    </w:p>
    <w:p w14:paraId="0F88842B" w14:textId="77777777" w:rsidR="00455809" w:rsidRDefault="00000000">
      <w:pPr>
        <w:pStyle w:val="Heading1"/>
        <w:spacing w:before="0"/>
      </w:pPr>
      <w:r>
        <w:t>The handoff we are trying to fix</w:t>
      </w:r>
    </w:p>
    <w:p w14:paraId="03431B80" w14:textId="77777777" w:rsidR="00455809" w:rsidRDefault="00000000">
      <w:pPr>
        <w:spacing w:after="240" w:line="269" w:lineRule="auto"/>
      </w:pPr>
      <w:r>
        <w:rPr>
          <w:color w:val="536273"/>
          <w:sz w:val="25"/>
        </w:rPr>
        <w:t>Runtime requirements are visible in code, catalogs, manifests, and conversations—but rarely in one portable contract.</w:t>
      </w:r>
    </w:p>
    <w:p w14:paraId="4082A19E" w14:textId="77777777" w:rsidR="00455809" w:rsidRDefault="00000000">
      <w:r>
        <w:t>Application developers understand the calls their workload makes. Platform teams understand which services exist, how they are operated, and what access controls are acceptable. Security teams see deployed network behavior or final manifests. Each group has part of the picture, but none owns a durable demand-side artifact that joins those views before deployment.</w:t>
      </w:r>
    </w:p>
    <w:p w14:paraId="6E7EF301" w14:textId="77777777" w:rsidR="00455809" w:rsidRDefault="00000000">
      <w:r>
        <w:t>Runtime Conditions Profiles fill that gap. A profile is a machine-readable declaration of the external integrations required by one workload. It expresses demand—such as an HTTP operation, a PostgreSQL-compatible datastore, or a Redis-compatible cache—without naming a concrete service instance, embedding credentials, or prescribing deployment topology.</w:t>
      </w:r>
    </w:p>
    <w:tbl>
      <w:tblPr>
        <w:tblW w:w="9360" w:type="dxa"/>
        <w:tblInd w:w="120" w:type="dxa"/>
        <w:tblBorders>
          <w:top w:val="single" w:sz="8" w:space="0" w:color="0B2545"/>
          <w:left w:val="single" w:sz="8" w:space="0" w:color="0B2545"/>
          <w:bottom w:val="single" w:sz="8" w:space="0" w:color="0B2545"/>
          <w:right w:val="single" w:sz="8" w:space="0" w:color="0B2545"/>
        </w:tblBorders>
        <w:tblLayout w:type="fixed"/>
        <w:tblLook w:val="04A0" w:firstRow="1" w:lastRow="0" w:firstColumn="1" w:lastColumn="0" w:noHBand="0" w:noVBand="1"/>
      </w:tblPr>
      <w:tblGrid>
        <w:gridCol w:w="9360"/>
      </w:tblGrid>
      <w:tr w:rsidR="00455809" w14:paraId="28623F4A" w14:textId="77777777">
        <w:trPr>
          <w:cantSplit/>
        </w:trPr>
        <w:tc>
          <w:tcPr>
            <w:tcW w:w="9360" w:type="dxa"/>
            <w:shd w:val="clear" w:color="auto" w:fill="EDF3F8"/>
            <w:tcMar>
              <w:top w:w="130" w:type="dxa"/>
              <w:left w:w="180" w:type="dxa"/>
              <w:bottom w:w="130" w:type="dxa"/>
              <w:right w:w="180" w:type="dxa"/>
            </w:tcMar>
            <w:vAlign w:val="center"/>
          </w:tcPr>
          <w:p w14:paraId="173D5E95" w14:textId="77777777" w:rsidR="00455809" w:rsidRDefault="00000000">
            <w:pPr>
              <w:spacing w:after="40" w:line="259" w:lineRule="auto"/>
            </w:pPr>
            <w:r>
              <w:rPr>
                <w:b/>
                <w:color w:val="0B2545"/>
                <w:sz w:val="18"/>
              </w:rPr>
              <w:t xml:space="preserve">CORE IDEA  </w:t>
            </w:r>
            <w:r>
              <w:rPr>
                <w:b/>
                <w:sz w:val="21"/>
              </w:rPr>
              <w:t>Profiles describe demand. Platforms decide fulfillment.</w:t>
            </w:r>
          </w:p>
        </w:tc>
      </w:tr>
    </w:tbl>
    <w:p w14:paraId="5C22C675" w14:textId="77777777" w:rsidR="00455809" w:rsidRDefault="00455809">
      <w:pPr>
        <w:spacing w:after="80"/>
      </w:pPr>
    </w:p>
    <w:p w14:paraId="3D2468C5" w14:textId="77777777" w:rsidR="00455809" w:rsidRDefault="00000000">
      <w:pPr>
        <w:pStyle w:val="Heading2"/>
      </w:pPr>
      <w:r>
        <w:t>Why network policy is the right proof</w:t>
      </w:r>
    </w:p>
    <w:p w14:paraId="38D4277B" w14:textId="77777777" w:rsidR="00455809" w:rsidRDefault="00000000">
      <w:r>
        <w:t>Network policy makes the demand-versus-fulfillment boundary visible. The application knows it needs specific API operations. It should not need to know the target Kubernetes Service name or hand-author a Cilium policy. The platform can combine the declared operations with catalog and cluster evidence, then produce a policy that is both specific and explainable.</w:t>
      </w:r>
    </w:p>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2600"/>
        <w:gridCol w:w="3600"/>
        <w:gridCol w:w="3160"/>
      </w:tblGrid>
      <w:tr w:rsidR="00455809" w14:paraId="49042A0C" w14:textId="77777777">
        <w:trPr>
          <w:cantSplit/>
          <w:tblHeader/>
        </w:trPr>
        <w:tc>
          <w:tcPr>
            <w:tcW w:w="2600" w:type="dxa"/>
            <w:shd w:val="clear" w:color="auto" w:fill="0B2545"/>
            <w:tcMar>
              <w:top w:w="90" w:type="dxa"/>
              <w:left w:w="120" w:type="dxa"/>
              <w:bottom w:w="90" w:type="dxa"/>
              <w:right w:w="120" w:type="dxa"/>
            </w:tcMar>
            <w:vAlign w:val="center"/>
          </w:tcPr>
          <w:p w14:paraId="3DFB7253" w14:textId="77777777" w:rsidR="00455809" w:rsidRDefault="00000000">
            <w:pPr>
              <w:spacing w:after="0"/>
            </w:pPr>
            <w:r>
              <w:rPr>
                <w:b/>
                <w:color w:val="FFFFFF"/>
                <w:sz w:val="18"/>
              </w:rPr>
              <w:t>Today</w:t>
            </w:r>
          </w:p>
        </w:tc>
        <w:tc>
          <w:tcPr>
            <w:tcW w:w="3600" w:type="dxa"/>
            <w:shd w:val="clear" w:color="auto" w:fill="0B2545"/>
            <w:tcMar>
              <w:top w:w="90" w:type="dxa"/>
              <w:left w:w="120" w:type="dxa"/>
              <w:bottom w:w="90" w:type="dxa"/>
              <w:right w:w="120" w:type="dxa"/>
            </w:tcMar>
            <w:vAlign w:val="center"/>
          </w:tcPr>
          <w:p w14:paraId="725DAF6B" w14:textId="77777777" w:rsidR="00455809" w:rsidRDefault="00000000">
            <w:pPr>
              <w:spacing w:after="0"/>
            </w:pPr>
            <w:r>
              <w:rPr>
                <w:b/>
                <w:color w:val="FFFFFF"/>
                <w:sz w:val="18"/>
              </w:rPr>
              <w:t>With a Runtime Conditions adapter</w:t>
            </w:r>
          </w:p>
        </w:tc>
        <w:tc>
          <w:tcPr>
            <w:tcW w:w="3160" w:type="dxa"/>
            <w:shd w:val="clear" w:color="auto" w:fill="0B2545"/>
            <w:tcMar>
              <w:top w:w="90" w:type="dxa"/>
              <w:left w:w="120" w:type="dxa"/>
              <w:bottom w:w="90" w:type="dxa"/>
              <w:right w:w="120" w:type="dxa"/>
            </w:tcMar>
            <w:vAlign w:val="center"/>
          </w:tcPr>
          <w:p w14:paraId="0F1F90D6" w14:textId="77777777" w:rsidR="00455809" w:rsidRDefault="00000000">
            <w:pPr>
              <w:spacing w:after="0"/>
            </w:pPr>
            <w:r>
              <w:rPr>
                <w:b/>
                <w:color w:val="FFFFFF"/>
                <w:sz w:val="18"/>
              </w:rPr>
              <w:t>Visible outcome</w:t>
            </w:r>
          </w:p>
        </w:tc>
      </w:tr>
      <w:tr w:rsidR="00455809" w14:paraId="16DD0A00" w14:textId="77777777">
        <w:trPr>
          <w:cantSplit/>
        </w:trPr>
        <w:tc>
          <w:tcPr>
            <w:tcW w:w="2600" w:type="dxa"/>
            <w:tcMar>
              <w:top w:w="90" w:type="dxa"/>
              <w:left w:w="120" w:type="dxa"/>
              <w:bottom w:w="90" w:type="dxa"/>
              <w:right w:w="120" w:type="dxa"/>
            </w:tcMar>
            <w:vAlign w:val="center"/>
          </w:tcPr>
          <w:p w14:paraId="3FCDF310" w14:textId="77777777" w:rsidR="00455809" w:rsidRDefault="00000000">
            <w:pPr>
              <w:spacing w:after="20" w:line="250" w:lineRule="auto"/>
            </w:pPr>
            <w:r>
              <w:rPr>
                <w:b/>
                <w:color w:val="0B2545"/>
                <w:sz w:val="17"/>
              </w:rPr>
              <w:t>Service names leak into app-owned YAML</w:t>
            </w:r>
          </w:p>
        </w:tc>
        <w:tc>
          <w:tcPr>
            <w:tcW w:w="3600" w:type="dxa"/>
            <w:tcMar>
              <w:top w:w="90" w:type="dxa"/>
              <w:left w:w="120" w:type="dxa"/>
              <w:bottom w:w="90" w:type="dxa"/>
              <w:right w:w="120" w:type="dxa"/>
            </w:tcMar>
            <w:vAlign w:val="center"/>
          </w:tcPr>
          <w:p w14:paraId="5AF28B72" w14:textId="77777777" w:rsidR="00455809" w:rsidRDefault="00000000">
            <w:pPr>
              <w:spacing w:after="20" w:line="250" w:lineRule="auto"/>
            </w:pPr>
            <w:r>
              <w:rPr>
                <w:sz w:val="17"/>
              </w:rPr>
              <w:t>Profile carries capability requirements only</w:t>
            </w:r>
          </w:p>
        </w:tc>
        <w:tc>
          <w:tcPr>
            <w:tcW w:w="3160" w:type="dxa"/>
            <w:tcMar>
              <w:top w:w="90" w:type="dxa"/>
              <w:left w:w="120" w:type="dxa"/>
              <w:bottom w:w="90" w:type="dxa"/>
              <w:right w:w="120" w:type="dxa"/>
            </w:tcMar>
            <w:vAlign w:val="center"/>
          </w:tcPr>
          <w:p w14:paraId="25DC7E11" w14:textId="77777777" w:rsidR="00455809" w:rsidRDefault="00000000">
            <w:pPr>
              <w:spacing w:after="20" w:line="250" w:lineRule="auto"/>
            </w:pPr>
            <w:r>
              <w:rPr>
                <w:sz w:val="17"/>
              </w:rPr>
              <w:t>The same demand can be fulfilled differently by environment</w:t>
            </w:r>
          </w:p>
        </w:tc>
      </w:tr>
      <w:tr w:rsidR="00455809" w14:paraId="68DCE870" w14:textId="77777777">
        <w:trPr>
          <w:cantSplit/>
        </w:trPr>
        <w:tc>
          <w:tcPr>
            <w:tcW w:w="2600" w:type="dxa"/>
            <w:shd w:val="clear" w:color="auto" w:fill="FAFBFC"/>
            <w:tcMar>
              <w:top w:w="90" w:type="dxa"/>
              <w:left w:w="120" w:type="dxa"/>
              <w:bottom w:w="90" w:type="dxa"/>
              <w:right w:w="120" w:type="dxa"/>
            </w:tcMar>
            <w:vAlign w:val="center"/>
          </w:tcPr>
          <w:p w14:paraId="38D561D7" w14:textId="77777777" w:rsidR="00455809" w:rsidRDefault="00000000">
            <w:pPr>
              <w:spacing w:after="20" w:line="250" w:lineRule="auto"/>
            </w:pPr>
            <w:r>
              <w:rPr>
                <w:b/>
                <w:color w:val="0B2545"/>
                <w:sz w:val="17"/>
              </w:rPr>
              <w:t>Policy is copied, inferred late, or omitted</w:t>
            </w:r>
          </w:p>
        </w:tc>
        <w:tc>
          <w:tcPr>
            <w:tcW w:w="3600" w:type="dxa"/>
            <w:shd w:val="clear" w:color="auto" w:fill="FAFBFC"/>
            <w:tcMar>
              <w:top w:w="90" w:type="dxa"/>
              <w:left w:w="120" w:type="dxa"/>
              <w:bottom w:w="90" w:type="dxa"/>
              <w:right w:w="120" w:type="dxa"/>
            </w:tcMar>
            <w:vAlign w:val="center"/>
          </w:tcPr>
          <w:p w14:paraId="6D1745A7" w14:textId="77777777" w:rsidR="00455809" w:rsidRDefault="00000000">
            <w:pPr>
              <w:spacing w:after="20" w:line="250" w:lineRule="auto"/>
            </w:pPr>
            <w:r>
              <w:rPr>
                <w:sz w:val="17"/>
              </w:rPr>
              <w:t>Policy is rendered from validated demand</w:t>
            </w:r>
          </w:p>
        </w:tc>
        <w:tc>
          <w:tcPr>
            <w:tcW w:w="3160" w:type="dxa"/>
            <w:shd w:val="clear" w:color="auto" w:fill="FAFBFC"/>
            <w:tcMar>
              <w:top w:w="90" w:type="dxa"/>
              <w:left w:w="120" w:type="dxa"/>
              <w:bottom w:w="90" w:type="dxa"/>
              <w:right w:w="120" w:type="dxa"/>
            </w:tcMar>
            <w:vAlign w:val="center"/>
          </w:tcPr>
          <w:p w14:paraId="30D7FBA0" w14:textId="77777777" w:rsidR="00455809" w:rsidRDefault="00000000">
            <w:pPr>
              <w:spacing w:after="20" w:line="250" w:lineRule="auto"/>
            </w:pPr>
            <w:r>
              <w:rPr>
                <w:sz w:val="17"/>
              </w:rPr>
              <w:t>Security intent is reviewable before deployment</w:t>
            </w:r>
          </w:p>
        </w:tc>
      </w:tr>
      <w:tr w:rsidR="00455809" w14:paraId="00EE2A9A" w14:textId="77777777">
        <w:trPr>
          <w:cantSplit/>
        </w:trPr>
        <w:tc>
          <w:tcPr>
            <w:tcW w:w="2600" w:type="dxa"/>
            <w:tcMar>
              <w:top w:w="90" w:type="dxa"/>
              <w:left w:w="120" w:type="dxa"/>
              <w:bottom w:w="90" w:type="dxa"/>
              <w:right w:w="120" w:type="dxa"/>
            </w:tcMar>
            <w:vAlign w:val="center"/>
          </w:tcPr>
          <w:p w14:paraId="7DCDFD2E" w14:textId="77777777" w:rsidR="00455809" w:rsidRDefault="00000000">
            <w:pPr>
              <w:spacing w:after="20" w:line="250" w:lineRule="auto"/>
            </w:pPr>
            <w:r>
              <w:rPr>
                <w:b/>
                <w:color w:val="0B2545"/>
                <w:sz w:val="17"/>
              </w:rPr>
              <w:t>Catalog documents supply only</w:t>
            </w:r>
          </w:p>
        </w:tc>
        <w:tc>
          <w:tcPr>
            <w:tcW w:w="3600" w:type="dxa"/>
            <w:tcMar>
              <w:top w:w="90" w:type="dxa"/>
              <w:left w:w="120" w:type="dxa"/>
              <w:bottom w:w="90" w:type="dxa"/>
              <w:right w:w="120" w:type="dxa"/>
            </w:tcMar>
            <w:vAlign w:val="center"/>
          </w:tcPr>
          <w:p w14:paraId="6276CE83" w14:textId="77777777" w:rsidR="00455809" w:rsidRDefault="00000000">
            <w:pPr>
              <w:spacing w:after="20" w:line="250" w:lineRule="auto"/>
            </w:pPr>
            <w:r>
              <w:rPr>
                <w:sz w:val="17"/>
              </w:rPr>
              <w:t>Adapter joins demand with catalog supply</w:t>
            </w:r>
          </w:p>
        </w:tc>
        <w:tc>
          <w:tcPr>
            <w:tcW w:w="3160" w:type="dxa"/>
            <w:tcMar>
              <w:top w:w="90" w:type="dxa"/>
              <w:left w:w="120" w:type="dxa"/>
              <w:bottom w:w="90" w:type="dxa"/>
              <w:right w:w="120" w:type="dxa"/>
            </w:tcMar>
            <w:vAlign w:val="center"/>
          </w:tcPr>
          <w:p w14:paraId="02DD5AB9" w14:textId="77777777" w:rsidR="00455809" w:rsidRDefault="00000000">
            <w:pPr>
              <w:spacing w:after="20" w:line="250" w:lineRule="auto"/>
            </w:pPr>
            <w:r>
              <w:rPr>
                <w:sz w:val="17"/>
              </w:rPr>
              <w:t>Compatibility and provenance are checked explicitly</w:t>
            </w:r>
          </w:p>
        </w:tc>
      </w:tr>
      <w:tr w:rsidR="00455809" w14:paraId="1A2DC7DE" w14:textId="77777777">
        <w:trPr>
          <w:cantSplit/>
        </w:trPr>
        <w:tc>
          <w:tcPr>
            <w:tcW w:w="2600" w:type="dxa"/>
            <w:shd w:val="clear" w:color="auto" w:fill="FAFBFC"/>
            <w:tcMar>
              <w:top w:w="90" w:type="dxa"/>
              <w:left w:w="120" w:type="dxa"/>
              <w:bottom w:w="90" w:type="dxa"/>
              <w:right w:w="120" w:type="dxa"/>
            </w:tcMar>
            <w:vAlign w:val="center"/>
          </w:tcPr>
          <w:p w14:paraId="4BE4FCAF" w14:textId="77777777" w:rsidR="00455809" w:rsidRDefault="00000000">
            <w:pPr>
              <w:spacing w:after="20" w:line="250" w:lineRule="auto"/>
            </w:pPr>
            <w:r>
              <w:rPr>
                <w:b/>
                <w:color w:val="0B2545"/>
                <w:sz w:val="17"/>
              </w:rPr>
              <w:t>Broad L3/L4 access is common</w:t>
            </w:r>
          </w:p>
        </w:tc>
        <w:tc>
          <w:tcPr>
            <w:tcW w:w="3600" w:type="dxa"/>
            <w:shd w:val="clear" w:color="auto" w:fill="FAFBFC"/>
            <w:tcMar>
              <w:top w:w="90" w:type="dxa"/>
              <w:left w:w="120" w:type="dxa"/>
              <w:bottom w:w="90" w:type="dxa"/>
              <w:right w:w="120" w:type="dxa"/>
            </w:tcMar>
            <w:vAlign w:val="center"/>
          </w:tcPr>
          <w:p w14:paraId="2ABEB2E4" w14:textId="77777777" w:rsidR="00455809" w:rsidRDefault="00000000">
            <w:pPr>
              <w:spacing w:after="20" w:line="250" w:lineRule="auto"/>
            </w:pPr>
            <w:r>
              <w:rPr>
                <w:sz w:val="17"/>
              </w:rPr>
              <w:t>HTTP method and path become L7 rules</w:t>
            </w:r>
          </w:p>
        </w:tc>
        <w:tc>
          <w:tcPr>
            <w:tcW w:w="3160" w:type="dxa"/>
            <w:shd w:val="clear" w:color="auto" w:fill="FAFBFC"/>
            <w:tcMar>
              <w:top w:w="90" w:type="dxa"/>
              <w:left w:w="120" w:type="dxa"/>
              <w:bottom w:w="90" w:type="dxa"/>
              <w:right w:w="120" w:type="dxa"/>
            </w:tcMar>
            <w:vAlign w:val="center"/>
          </w:tcPr>
          <w:p w14:paraId="70E19C15" w14:textId="77777777" w:rsidR="00455809" w:rsidRDefault="00000000">
            <w:pPr>
              <w:spacing w:after="20" w:line="250" w:lineRule="auto"/>
            </w:pPr>
            <w:r>
              <w:rPr>
                <w:sz w:val="17"/>
              </w:rPr>
              <w:t>Undeclared operations remain blocked</w:t>
            </w:r>
          </w:p>
        </w:tc>
      </w:tr>
    </w:tbl>
    <w:p w14:paraId="69595B40" w14:textId="77777777" w:rsidR="00455809" w:rsidRDefault="00455809">
      <w:pPr>
        <w:spacing w:after="40"/>
      </w:pPr>
    </w:p>
    <w:p w14:paraId="240E8AA8" w14:textId="77777777" w:rsidR="00455809" w:rsidRDefault="00000000">
      <w:pPr>
        <w:pStyle w:val="Heading2"/>
      </w:pPr>
      <w:r>
        <w:t>The project boundary</w:t>
      </w:r>
    </w:p>
    <w:p w14:paraId="5CEA11CA" w14:textId="77777777" w:rsidR="00455809" w:rsidRDefault="00000000">
      <w:r>
        <w:t>The Runtime Conditions specification standardizes the profile contract, not a universal fulfillment engine. This demo is intentionally one platform-specific interpretation: a Cilium adapter backed by Backstage and live Kubernetes metadata. A different platform could consume the same demand and render a gateway rule, cloud authorization policy, service binding, or another provider-native resource.</w:t>
      </w:r>
    </w:p>
    <w:p w14:paraId="1AB96C85" w14:textId="77777777" w:rsidR="00455809" w:rsidRDefault="00000000">
      <w:pPr>
        <w:keepNext/>
        <w:spacing w:after="60"/>
      </w:pPr>
      <w:r>
        <w:rPr>
          <w:b/>
          <w:color w:val="178F8B"/>
          <w:sz w:val="20"/>
        </w:rPr>
        <w:lastRenderedPageBreak/>
        <w:t>02 · PROPOSITION</w:t>
      </w:r>
    </w:p>
    <w:p w14:paraId="5684E0A3" w14:textId="77777777" w:rsidR="00455809" w:rsidRDefault="00000000">
      <w:pPr>
        <w:pStyle w:val="Heading1"/>
        <w:spacing w:before="0"/>
      </w:pPr>
      <w:r>
        <w:t>What we are building</w:t>
      </w:r>
    </w:p>
    <w:p w14:paraId="42AAC181" w14:textId="77777777" w:rsidR="00455809" w:rsidRDefault="00000000">
      <w:pPr>
        <w:spacing w:after="240" w:line="269" w:lineRule="auto"/>
      </w:pPr>
      <w:r>
        <w:rPr>
          <w:color w:val="536273"/>
          <w:sz w:val="25"/>
        </w:rPr>
        <w:t>A contributor-ready lab where the only unfinished product work is the adapter itself.</w:t>
      </w:r>
    </w:p>
    <w:p w14:paraId="2BCE481B" w14:textId="77777777" w:rsidR="00455809" w:rsidRDefault="00000000">
      <w:r>
        <w:rPr>
          <w:noProof/>
        </w:rPr>
        <w:drawing>
          <wp:inline distT="0" distB="0" distL="0" distR="0" wp14:anchorId="737B4308" wp14:editId="5AC77CC5">
            <wp:extent cx="5943600" cy="2707640"/>
            <wp:effectExtent l="0" t="0" r="0" b="0"/>
            <wp:docPr id="1" name="Picture 1" descr="Flow from workload to Runtime Conditions Profile to a platform adapter and Cilium, with Backstage and Kubernetes supplying platform evidence." title="Demand to enforc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and-flow.png"/>
                    <pic:cNvPicPr/>
                  </pic:nvPicPr>
                  <pic:blipFill>
                    <a:blip r:embed="rId8"/>
                    <a:stretch>
                      <a:fillRect/>
                    </a:stretch>
                  </pic:blipFill>
                  <pic:spPr>
                    <a:xfrm>
                      <a:off x="0" y="0"/>
                      <a:ext cx="5943600" cy="2707640"/>
                    </a:xfrm>
                    <a:prstGeom prst="rect">
                      <a:avLst/>
                    </a:prstGeom>
                  </pic:spPr>
                </pic:pic>
              </a:graphicData>
            </a:graphic>
          </wp:inline>
        </w:drawing>
      </w:r>
    </w:p>
    <w:p w14:paraId="23B11046" w14:textId="77777777" w:rsidR="00455809" w:rsidRDefault="00000000">
      <w:pPr>
        <w:pStyle w:val="CaptionCustom"/>
      </w:pPr>
      <w:r>
        <w:t>Figure 1. Portable workload demand is joined with platform-owned evidence only inside the adapter.</w:t>
      </w:r>
    </w:p>
    <w:p w14:paraId="5ACA0673" w14:textId="299D415F" w:rsidR="00455809" w:rsidRPr="00C34B8B" w:rsidRDefault="00000000">
      <w:pPr>
        <w:rPr>
          <w:b/>
          <w:bCs/>
        </w:rPr>
      </w:pPr>
      <w:r>
        <w:t xml:space="preserve">The target package provides a KinD cluster with Cilium, a Backstage catalog, a small community-resource application, and realistic backing services. Application egress starts denied. </w:t>
      </w:r>
      <w:r w:rsidRPr="00C34B8B">
        <w:rPr>
          <w:b/>
          <w:bCs/>
        </w:rPr>
        <w:t xml:space="preserve">A contributor implements a </w:t>
      </w:r>
      <w:r w:rsidR="00C34B8B" w:rsidRPr="00C34B8B">
        <w:rPr>
          <w:b/>
          <w:bCs/>
        </w:rPr>
        <w:t>solution using open source platform automation tools (e.g. Kratix, Crossplane, or OpenTofu)</w:t>
      </w:r>
      <w:r w:rsidRPr="00C34B8B">
        <w:rPr>
          <w:b/>
          <w:bCs/>
        </w:rPr>
        <w:t xml:space="preserve"> that reads one valid Runtime Conditions Profile, discovers which cataloged services satisfy its HTTP Conditions, resolves those providers to live Kubernetes Services, and renders a CiliumNetworkPolicy.</w:t>
      </w:r>
    </w:p>
    <w:p w14:paraId="13664C63" w14:textId="77777777" w:rsidR="00455809" w:rsidRDefault="00000000">
      <w:pPr>
        <w:pStyle w:val="Heading2"/>
      </w:pPr>
      <w:r>
        <w:t>The proof in one sentence</w:t>
      </w:r>
    </w:p>
    <w:tbl>
      <w:tblPr>
        <w:tblW w:w="9360" w:type="dxa"/>
        <w:tblInd w:w="120" w:type="dxa"/>
        <w:tblBorders>
          <w:top w:val="single" w:sz="8" w:space="0" w:color="C98720"/>
          <w:left w:val="single" w:sz="8" w:space="0" w:color="C98720"/>
          <w:bottom w:val="single" w:sz="8" w:space="0" w:color="C98720"/>
          <w:right w:val="single" w:sz="8" w:space="0" w:color="C98720"/>
        </w:tblBorders>
        <w:tblLayout w:type="fixed"/>
        <w:tblLook w:val="04A0" w:firstRow="1" w:lastRow="0" w:firstColumn="1" w:lastColumn="0" w:noHBand="0" w:noVBand="1"/>
      </w:tblPr>
      <w:tblGrid>
        <w:gridCol w:w="9360"/>
      </w:tblGrid>
      <w:tr w:rsidR="00455809" w14:paraId="001BAF24" w14:textId="77777777">
        <w:trPr>
          <w:cantSplit/>
        </w:trPr>
        <w:tc>
          <w:tcPr>
            <w:tcW w:w="9360" w:type="dxa"/>
            <w:shd w:val="clear" w:color="auto" w:fill="FFF7E8"/>
            <w:tcMar>
              <w:top w:w="130" w:type="dxa"/>
              <w:left w:w="180" w:type="dxa"/>
              <w:bottom w:w="130" w:type="dxa"/>
              <w:right w:w="180" w:type="dxa"/>
            </w:tcMar>
            <w:vAlign w:val="center"/>
          </w:tcPr>
          <w:p w14:paraId="568D26F0" w14:textId="77777777" w:rsidR="00455809" w:rsidRDefault="00000000">
            <w:pPr>
              <w:spacing w:after="40" w:line="259" w:lineRule="auto"/>
            </w:pPr>
            <w:r>
              <w:rPr>
                <w:b/>
                <w:color w:val="C98720"/>
                <w:sz w:val="18"/>
              </w:rPr>
              <w:t xml:space="preserve">EXPECTED DEMONSTRATION  </w:t>
            </w:r>
            <w:r>
              <w:rPr>
                <w:b/>
                <w:sz w:val="21"/>
              </w:rPr>
              <w:t>Before the generated policy, the request coordinator can resolve service names but cannot call its providers. After the policy is applied, the declared calls succeed and nearby undeclared calls still fail.</w:t>
            </w:r>
          </w:p>
        </w:tc>
      </w:tr>
    </w:tbl>
    <w:p w14:paraId="411AA569" w14:textId="77777777" w:rsidR="00455809" w:rsidRDefault="00455809">
      <w:pPr>
        <w:spacing w:after="80"/>
      </w:pPr>
    </w:p>
    <w:p w14:paraId="364882DD" w14:textId="77777777" w:rsidR="00455809" w:rsidRDefault="00000000">
      <w:pPr>
        <w:pStyle w:val="Heading2"/>
      </w:pPr>
      <w:r>
        <w:t>What the first milestone proves</w:t>
      </w:r>
    </w:p>
    <w:p w14:paraId="16D138B9" w14:textId="77777777" w:rsidR="00455809" w:rsidRDefault="00000000">
      <w:pPr>
        <w:numPr>
          <w:ilvl w:val="0"/>
          <w:numId w:val="1"/>
        </w:numPr>
      </w:pPr>
      <w:r>
        <w:t>A profile Condition can drive a materially different platform decision.</w:t>
      </w:r>
    </w:p>
    <w:p w14:paraId="7379BBEA" w14:textId="77777777" w:rsidR="00455809" w:rsidRDefault="00000000">
      <w:pPr>
        <w:numPr>
          <w:ilvl w:val="0"/>
          <w:numId w:val="1"/>
        </w:numPr>
      </w:pPr>
      <w:r>
        <w:t>Backstage can represent supply through API contracts, provider relations, and Kubernetes provenance.</w:t>
      </w:r>
    </w:p>
    <w:p w14:paraId="202AEE61" w14:textId="77777777" w:rsidR="00455809" w:rsidRDefault="00000000">
      <w:pPr>
        <w:numPr>
          <w:ilvl w:val="0"/>
          <w:numId w:val="1"/>
        </w:numPr>
      </w:pPr>
      <w:r>
        <w:t>The adapter can avoid hard-coded provider names by matching capabilities and resolving live objects.</w:t>
      </w:r>
    </w:p>
    <w:p w14:paraId="2A07C825" w14:textId="77777777" w:rsidR="00455809" w:rsidRDefault="00000000">
      <w:pPr>
        <w:numPr>
          <w:ilvl w:val="0"/>
          <w:numId w:val="1"/>
        </w:numPr>
      </w:pPr>
      <w:r>
        <w:lastRenderedPageBreak/>
        <w:t>Cilium can enforce the result at destination, port, HTTP method, and HTTP path.</w:t>
      </w:r>
    </w:p>
    <w:p w14:paraId="0796032B" w14:textId="77777777" w:rsidR="00455809" w:rsidRDefault="00000000">
      <w:pPr>
        <w:numPr>
          <w:ilvl w:val="0"/>
          <w:numId w:val="1"/>
        </w:numPr>
      </w:pPr>
      <w:r>
        <w:t>Negative tests can show that generated access is narrower than general service reachability.</w:t>
      </w:r>
    </w:p>
    <w:p w14:paraId="2104464A" w14:textId="7565102E" w:rsidR="00455809" w:rsidRDefault="00C34B8B">
      <w:pPr>
        <w:pStyle w:val="Heading2"/>
      </w:pPr>
      <w:r>
        <w:t>Planning for extensibility</w:t>
      </w:r>
    </w:p>
    <w:p w14:paraId="3C094B2B" w14:textId="02012C49" w:rsidR="00455809" w:rsidRDefault="00000000">
      <w:r>
        <w:t xml:space="preserve">This milestone </w:t>
      </w:r>
      <w:r w:rsidR="00C34B8B">
        <w:t>adapter should be able to consume any profile that has an API Condition, and compare it to an API catalog to determine if the right target service exists, and if it has been deployed. In any case – whether there is indeed a downstream deployment to allocate access to, or if there is not, the adapter should handle it gracefully</w:t>
      </w:r>
      <w:r>
        <w:t>.</w:t>
      </w:r>
    </w:p>
    <w:p w14:paraId="4B9572A2" w14:textId="77777777" w:rsidR="00455809" w:rsidRDefault="00000000">
      <w:pPr>
        <w:keepNext/>
        <w:spacing w:after="60"/>
      </w:pPr>
      <w:r>
        <w:rPr>
          <w:b/>
          <w:color w:val="178F8B"/>
          <w:sz w:val="20"/>
        </w:rPr>
        <w:t>03 · SCENARIO</w:t>
      </w:r>
    </w:p>
    <w:p w14:paraId="3F5B8BAA" w14:textId="77777777" w:rsidR="00455809" w:rsidRDefault="00000000">
      <w:pPr>
        <w:pStyle w:val="Heading1"/>
        <w:spacing w:before="0"/>
      </w:pPr>
      <w:r>
        <w:t>A concrete workload with meaningful dependencies</w:t>
      </w:r>
    </w:p>
    <w:p w14:paraId="3609D84B" w14:textId="21DDE298" w:rsidR="00455809" w:rsidRDefault="00000000">
      <w:pPr>
        <w:spacing w:after="240" w:line="269" w:lineRule="auto"/>
      </w:pPr>
      <w:r>
        <w:rPr>
          <w:color w:val="536273"/>
          <w:sz w:val="25"/>
        </w:rPr>
        <w:t xml:space="preserve">The demo uses a community resource fulfillment workflow so the network graph feels like </w:t>
      </w:r>
      <w:r w:rsidR="00C34B8B">
        <w:rPr>
          <w:color w:val="536273"/>
          <w:sz w:val="25"/>
        </w:rPr>
        <w:t>a real-world application</w:t>
      </w:r>
      <w:r>
        <w:rPr>
          <w:color w:val="536273"/>
          <w:sz w:val="25"/>
        </w:rPr>
        <w:t>.</w:t>
      </w:r>
    </w:p>
    <w:p w14:paraId="32BB7F6D" w14:textId="77777777" w:rsidR="00455809" w:rsidRDefault="00000000">
      <w:r>
        <w:rPr>
          <w:noProof/>
        </w:rPr>
        <w:drawing>
          <wp:inline distT="0" distB="0" distL="0" distR="0" wp14:anchorId="320A7CF1" wp14:editId="5767E831">
            <wp:extent cx="5943600" cy="3434080"/>
            <wp:effectExtent l="0" t="0" r="0" b="0"/>
            <wp:docPr id="2" name="Picture 2" descr="A request coordinator calls inventory and fulfillment APIs, stores state in Postgres and Redis, and publishes events through NATS to a notification worker." title="Community resource fulfill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9"/>
                    <a:stretch>
                      <a:fillRect/>
                    </a:stretch>
                  </pic:blipFill>
                  <pic:spPr>
                    <a:xfrm>
                      <a:off x="0" y="0"/>
                      <a:ext cx="5943600" cy="3434080"/>
                    </a:xfrm>
                    <a:prstGeom prst="rect">
                      <a:avLst/>
                    </a:prstGeom>
                  </pic:spPr>
                </pic:pic>
              </a:graphicData>
            </a:graphic>
          </wp:inline>
        </w:drawing>
      </w:r>
    </w:p>
    <w:p w14:paraId="5E144BB1" w14:textId="77777777" w:rsidR="00455809" w:rsidRDefault="00000000">
      <w:pPr>
        <w:pStyle w:val="CaptionCustom"/>
      </w:pPr>
      <w:r>
        <w:t>Figure 2. Target application topology. Teal arrows are the initial API-policy path; stateful and messaging integrations are follow-on work.</w:t>
      </w:r>
    </w:p>
    <w:p w14:paraId="4BA8B000" w14:textId="77777777" w:rsidR="00455809" w:rsidRDefault="00000000">
      <w:r>
        <w:t>A user submits a request for an item to the request coordinator. The coordinator checks current availability, creates a reservation, creates a durable fulfillment task, stores request state, updates its cache, and publishes a fulfillment event. A notification worker consumes that event. The topology gives the adapter two API providers to discover and several non-HTTP integrations to support later.</w:t>
      </w:r>
    </w:p>
    <w:p w14:paraId="7686BA12" w14:textId="77777777" w:rsidR="00C34B8B" w:rsidRDefault="00C34B8B"/>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2400"/>
        <w:gridCol w:w="6960"/>
      </w:tblGrid>
      <w:tr w:rsidR="00455809" w14:paraId="4D8AF4ED" w14:textId="77777777">
        <w:trPr>
          <w:cantSplit/>
          <w:tblHeader/>
        </w:trPr>
        <w:tc>
          <w:tcPr>
            <w:tcW w:w="2400" w:type="dxa"/>
            <w:shd w:val="clear" w:color="auto" w:fill="0B2545"/>
            <w:tcMar>
              <w:top w:w="90" w:type="dxa"/>
              <w:left w:w="120" w:type="dxa"/>
              <w:bottom w:w="90" w:type="dxa"/>
              <w:right w:w="120" w:type="dxa"/>
            </w:tcMar>
            <w:vAlign w:val="center"/>
          </w:tcPr>
          <w:p w14:paraId="2174BCA7" w14:textId="77777777" w:rsidR="00455809" w:rsidRDefault="00000000">
            <w:pPr>
              <w:spacing w:after="0"/>
            </w:pPr>
            <w:r>
              <w:rPr>
                <w:b/>
                <w:color w:val="FFFFFF"/>
                <w:sz w:val="19"/>
              </w:rPr>
              <w:t>Actor</w:t>
            </w:r>
          </w:p>
        </w:tc>
        <w:tc>
          <w:tcPr>
            <w:tcW w:w="6960" w:type="dxa"/>
            <w:shd w:val="clear" w:color="auto" w:fill="0B2545"/>
            <w:tcMar>
              <w:top w:w="90" w:type="dxa"/>
              <w:left w:w="120" w:type="dxa"/>
              <w:bottom w:w="90" w:type="dxa"/>
              <w:right w:w="120" w:type="dxa"/>
            </w:tcMar>
            <w:vAlign w:val="center"/>
          </w:tcPr>
          <w:p w14:paraId="1676258B" w14:textId="77777777" w:rsidR="00455809" w:rsidRDefault="00000000">
            <w:pPr>
              <w:spacing w:after="0"/>
            </w:pPr>
            <w:r>
              <w:rPr>
                <w:b/>
                <w:color w:val="FFFFFF"/>
                <w:sz w:val="19"/>
              </w:rPr>
              <w:t>Role in the demonstration</w:t>
            </w:r>
          </w:p>
        </w:tc>
      </w:tr>
      <w:tr w:rsidR="00455809" w14:paraId="1B88B584" w14:textId="77777777">
        <w:trPr>
          <w:cantSplit/>
        </w:trPr>
        <w:tc>
          <w:tcPr>
            <w:tcW w:w="2400" w:type="dxa"/>
            <w:shd w:val="clear" w:color="auto" w:fill="FAFBFC"/>
            <w:tcMar>
              <w:top w:w="90" w:type="dxa"/>
              <w:left w:w="120" w:type="dxa"/>
              <w:bottom w:w="90" w:type="dxa"/>
              <w:right w:w="120" w:type="dxa"/>
            </w:tcMar>
            <w:vAlign w:val="center"/>
          </w:tcPr>
          <w:p w14:paraId="66E3011C" w14:textId="77777777" w:rsidR="00455809" w:rsidRDefault="00000000">
            <w:pPr>
              <w:spacing w:after="20" w:line="252" w:lineRule="auto"/>
            </w:pPr>
            <w:r>
              <w:rPr>
                <w:b/>
                <w:color w:val="0B2545"/>
                <w:sz w:val="19"/>
              </w:rPr>
              <w:t>Request coordinator</w:t>
            </w:r>
          </w:p>
        </w:tc>
        <w:tc>
          <w:tcPr>
            <w:tcW w:w="6960" w:type="dxa"/>
            <w:shd w:val="clear" w:color="auto" w:fill="FAFBFC"/>
            <w:tcMar>
              <w:top w:w="90" w:type="dxa"/>
              <w:left w:w="120" w:type="dxa"/>
              <w:bottom w:w="90" w:type="dxa"/>
              <w:right w:w="120" w:type="dxa"/>
            </w:tcMar>
            <w:vAlign w:val="center"/>
          </w:tcPr>
          <w:p w14:paraId="2DAE8749" w14:textId="77777777" w:rsidR="00455809" w:rsidRDefault="00000000">
            <w:pPr>
              <w:spacing w:after="20" w:line="252" w:lineRule="auto"/>
            </w:pPr>
            <w:r>
              <w:rPr>
                <w:sz w:val="19"/>
              </w:rPr>
              <w:t>The workload under test. It owns the Runtime Conditions Profile and is selected by policy labels.</w:t>
            </w:r>
          </w:p>
        </w:tc>
      </w:tr>
      <w:tr w:rsidR="00455809" w14:paraId="77AC2038" w14:textId="77777777">
        <w:trPr>
          <w:cantSplit/>
        </w:trPr>
        <w:tc>
          <w:tcPr>
            <w:tcW w:w="2400" w:type="dxa"/>
            <w:tcMar>
              <w:top w:w="90" w:type="dxa"/>
              <w:left w:w="120" w:type="dxa"/>
              <w:bottom w:w="90" w:type="dxa"/>
              <w:right w:w="120" w:type="dxa"/>
            </w:tcMar>
            <w:vAlign w:val="center"/>
          </w:tcPr>
          <w:p w14:paraId="66A8530E" w14:textId="77777777" w:rsidR="00455809" w:rsidRDefault="00000000">
            <w:pPr>
              <w:spacing w:after="20" w:line="252" w:lineRule="auto"/>
            </w:pPr>
            <w:r>
              <w:rPr>
                <w:b/>
                <w:color w:val="0B2545"/>
                <w:sz w:val="19"/>
              </w:rPr>
              <w:t>Inventory service</w:t>
            </w:r>
          </w:p>
        </w:tc>
        <w:tc>
          <w:tcPr>
            <w:tcW w:w="6960" w:type="dxa"/>
            <w:tcMar>
              <w:top w:w="90" w:type="dxa"/>
              <w:left w:w="120" w:type="dxa"/>
              <w:bottom w:w="90" w:type="dxa"/>
              <w:right w:w="120" w:type="dxa"/>
            </w:tcMar>
            <w:vAlign w:val="center"/>
          </w:tcPr>
          <w:p w14:paraId="62873293" w14:textId="77777777" w:rsidR="00455809" w:rsidRDefault="00000000">
            <w:pPr>
              <w:spacing w:after="20" w:line="252" w:lineRule="auto"/>
            </w:pPr>
            <w:r>
              <w:rPr>
                <w:sz w:val="19"/>
              </w:rPr>
              <w:t>Provides item availability and reservation operations. Its Kubernetes Service name is intentionally environment-specific.</w:t>
            </w:r>
          </w:p>
        </w:tc>
      </w:tr>
      <w:tr w:rsidR="00455809" w14:paraId="5CE39C96" w14:textId="77777777">
        <w:trPr>
          <w:cantSplit/>
        </w:trPr>
        <w:tc>
          <w:tcPr>
            <w:tcW w:w="2400" w:type="dxa"/>
            <w:shd w:val="clear" w:color="auto" w:fill="FAFBFC"/>
            <w:tcMar>
              <w:top w:w="90" w:type="dxa"/>
              <w:left w:w="120" w:type="dxa"/>
              <w:bottom w:w="90" w:type="dxa"/>
              <w:right w:w="120" w:type="dxa"/>
            </w:tcMar>
            <w:vAlign w:val="center"/>
          </w:tcPr>
          <w:p w14:paraId="215CF6FC" w14:textId="77777777" w:rsidR="00455809" w:rsidRDefault="00000000">
            <w:pPr>
              <w:spacing w:after="20" w:line="252" w:lineRule="auto"/>
            </w:pPr>
            <w:r>
              <w:rPr>
                <w:b/>
                <w:color w:val="0B2545"/>
                <w:sz w:val="19"/>
              </w:rPr>
              <w:t>Fulfillment service</w:t>
            </w:r>
          </w:p>
        </w:tc>
        <w:tc>
          <w:tcPr>
            <w:tcW w:w="6960" w:type="dxa"/>
            <w:shd w:val="clear" w:color="auto" w:fill="FAFBFC"/>
            <w:tcMar>
              <w:top w:w="90" w:type="dxa"/>
              <w:left w:w="120" w:type="dxa"/>
              <w:bottom w:w="90" w:type="dxa"/>
              <w:right w:w="120" w:type="dxa"/>
            </w:tcMar>
            <w:vAlign w:val="center"/>
          </w:tcPr>
          <w:p w14:paraId="067BF7F1" w14:textId="77777777" w:rsidR="00455809" w:rsidRDefault="00000000">
            <w:pPr>
              <w:spacing w:after="20" w:line="252" w:lineRule="auto"/>
            </w:pPr>
            <w:r>
              <w:rPr>
                <w:sz w:val="19"/>
              </w:rPr>
              <w:t>Creates durable fulfillment tasks. It is independently cataloged and deployed.</w:t>
            </w:r>
          </w:p>
        </w:tc>
      </w:tr>
      <w:tr w:rsidR="00455809" w14:paraId="02AAAC8D" w14:textId="77777777">
        <w:trPr>
          <w:cantSplit/>
        </w:trPr>
        <w:tc>
          <w:tcPr>
            <w:tcW w:w="2400" w:type="dxa"/>
            <w:tcMar>
              <w:top w:w="90" w:type="dxa"/>
              <w:left w:w="120" w:type="dxa"/>
              <w:bottom w:w="90" w:type="dxa"/>
              <w:right w:w="120" w:type="dxa"/>
            </w:tcMar>
            <w:vAlign w:val="center"/>
          </w:tcPr>
          <w:p w14:paraId="22FAFDA3" w14:textId="77777777" w:rsidR="00455809" w:rsidRDefault="00000000">
            <w:pPr>
              <w:spacing w:after="20" w:line="252" w:lineRule="auto"/>
            </w:pPr>
            <w:r>
              <w:rPr>
                <w:b/>
                <w:color w:val="0B2545"/>
                <w:sz w:val="19"/>
              </w:rPr>
              <w:t>Donor directory</w:t>
            </w:r>
          </w:p>
        </w:tc>
        <w:tc>
          <w:tcPr>
            <w:tcW w:w="6960" w:type="dxa"/>
            <w:tcMar>
              <w:top w:w="90" w:type="dxa"/>
              <w:left w:w="120" w:type="dxa"/>
              <w:bottom w:w="90" w:type="dxa"/>
              <w:right w:w="120" w:type="dxa"/>
            </w:tcMar>
            <w:vAlign w:val="center"/>
          </w:tcPr>
          <w:p w14:paraId="11E11336" w14:textId="77777777" w:rsidR="00455809" w:rsidRDefault="00000000">
            <w:pPr>
              <w:spacing w:after="20" w:line="252" w:lineRule="auto"/>
            </w:pPr>
            <w:r>
              <w:rPr>
                <w:sz w:val="19"/>
              </w:rPr>
              <w:t>A decoy API. It proves that a plausible but incompatible catalog entry is not selected.</w:t>
            </w:r>
          </w:p>
        </w:tc>
      </w:tr>
      <w:tr w:rsidR="00455809" w14:paraId="345E5E11" w14:textId="77777777">
        <w:trPr>
          <w:cantSplit/>
        </w:trPr>
        <w:tc>
          <w:tcPr>
            <w:tcW w:w="2400" w:type="dxa"/>
            <w:shd w:val="clear" w:color="auto" w:fill="FAFBFC"/>
            <w:tcMar>
              <w:top w:w="90" w:type="dxa"/>
              <w:left w:w="120" w:type="dxa"/>
              <w:bottom w:w="90" w:type="dxa"/>
              <w:right w:w="120" w:type="dxa"/>
            </w:tcMar>
            <w:vAlign w:val="center"/>
          </w:tcPr>
          <w:p w14:paraId="68AA5DF5" w14:textId="77777777" w:rsidR="00455809" w:rsidRDefault="00000000">
            <w:pPr>
              <w:spacing w:after="20" w:line="252" w:lineRule="auto"/>
            </w:pPr>
            <w:r>
              <w:rPr>
                <w:b/>
                <w:color w:val="0B2545"/>
                <w:sz w:val="19"/>
              </w:rPr>
              <w:t>Postgres + Redis</w:t>
            </w:r>
          </w:p>
        </w:tc>
        <w:tc>
          <w:tcPr>
            <w:tcW w:w="6960" w:type="dxa"/>
            <w:shd w:val="clear" w:color="auto" w:fill="FAFBFC"/>
            <w:tcMar>
              <w:top w:w="90" w:type="dxa"/>
              <w:left w:w="120" w:type="dxa"/>
              <w:bottom w:w="90" w:type="dxa"/>
              <w:right w:w="120" w:type="dxa"/>
            </w:tcMar>
            <w:vAlign w:val="center"/>
          </w:tcPr>
          <w:p w14:paraId="6AE37DCF" w14:textId="77777777" w:rsidR="00455809" w:rsidRDefault="00000000">
            <w:pPr>
              <w:spacing w:after="20" w:line="252" w:lineRule="auto"/>
            </w:pPr>
            <w:r>
              <w:rPr>
                <w:sz w:val="19"/>
              </w:rPr>
              <w:t>Real backing services included to extend the adapter after the API milestone.</w:t>
            </w:r>
          </w:p>
        </w:tc>
      </w:tr>
      <w:tr w:rsidR="00455809" w14:paraId="1474F94D" w14:textId="77777777">
        <w:trPr>
          <w:cantSplit/>
        </w:trPr>
        <w:tc>
          <w:tcPr>
            <w:tcW w:w="2400" w:type="dxa"/>
            <w:tcMar>
              <w:top w:w="90" w:type="dxa"/>
              <w:left w:w="120" w:type="dxa"/>
              <w:bottom w:w="90" w:type="dxa"/>
              <w:right w:w="120" w:type="dxa"/>
            </w:tcMar>
            <w:vAlign w:val="center"/>
          </w:tcPr>
          <w:p w14:paraId="234B935C" w14:textId="77777777" w:rsidR="00455809" w:rsidRDefault="00000000">
            <w:pPr>
              <w:spacing w:after="20" w:line="252" w:lineRule="auto"/>
            </w:pPr>
            <w:r>
              <w:rPr>
                <w:b/>
                <w:color w:val="0B2545"/>
                <w:sz w:val="19"/>
              </w:rPr>
              <w:t>NATS + notification worker</w:t>
            </w:r>
          </w:p>
        </w:tc>
        <w:tc>
          <w:tcPr>
            <w:tcW w:w="6960" w:type="dxa"/>
            <w:tcMar>
              <w:top w:w="90" w:type="dxa"/>
              <w:left w:w="120" w:type="dxa"/>
              <w:bottom w:w="90" w:type="dxa"/>
              <w:right w:w="120" w:type="dxa"/>
            </w:tcMar>
            <w:vAlign w:val="center"/>
          </w:tcPr>
          <w:p w14:paraId="2560FA74" w14:textId="77777777" w:rsidR="00455809" w:rsidRDefault="00000000">
            <w:pPr>
              <w:spacing w:after="20" w:line="252" w:lineRule="auto"/>
            </w:pPr>
            <w:r>
              <w:rPr>
                <w:sz w:val="19"/>
              </w:rPr>
              <w:t>An event path included as a later vocabulary and policy exercise.</w:t>
            </w:r>
          </w:p>
        </w:tc>
      </w:tr>
    </w:tbl>
    <w:p w14:paraId="668CCB8C" w14:textId="77777777" w:rsidR="00455809" w:rsidRDefault="00455809">
      <w:pPr>
        <w:spacing w:after="40"/>
      </w:pPr>
    </w:p>
    <w:p w14:paraId="4269AC20" w14:textId="77777777" w:rsidR="00455809" w:rsidRDefault="00000000">
      <w:pPr>
        <w:pStyle w:val="Heading2"/>
      </w:pPr>
      <w:r>
        <w:t>Naming is intentionally asymmetric</w:t>
      </w:r>
    </w:p>
    <w:p w14:paraId="6AFD2189" w14:textId="77777777" w:rsidR="00455809" w:rsidRDefault="00000000">
      <w:r>
        <w:t>The workload-local Condition names, Backstage entity names, and Kubernetes Service names do not need to match. For example, a Condition named stock-read-and-reserve may resolve to the Backstage API inventory-api, then to the Component inventory-service, then to a live Service named stock-provider-v2. Renaming the Condition must not change the result because its method/path requirements—not its label—carry the portable meaning.</w:t>
      </w:r>
    </w:p>
    <w:p w14:paraId="0BFC83C7" w14:textId="77777777" w:rsidR="00455809" w:rsidRDefault="00000000">
      <w:pPr>
        <w:keepNext/>
        <w:spacing w:after="60"/>
      </w:pPr>
      <w:r>
        <w:rPr>
          <w:b/>
          <w:color w:val="178F8B"/>
          <w:sz w:val="20"/>
        </w:rPr>
        <w:t>04 · INPUT</w:t>
      </w:r>
    </w:p>
    <w:p w14:paraId="71581845" w14:textId="77777777" w:rsidR="00455809" w:rsidRDefault="00000000">
      <w:pPr>
        <w:pStyle w:val="Heading1"/>
        <w:spacing w:before="0"/>
      </w:pPr>
      <w:r>
        <w:t>The profile is a demand document</w:t>
      </w:r>
    </w:p>
    <w:p w14:paraId="5BA80AFF" w14:textId="77777777" w:rsidR="00455809" w:rsidRDefault="00000000">
      <w:pPr>
        <w:spacing w:after="240" w:line="269" w:lineRule="auto"/>
      </w:pPr>
      <w:r>
        <w:rPr>
          <w:color w:val="536273"/>
          <w:sz w:val="25"/>
        </w:rPr>
        <w:t>It says what the coordinator must be able to do, not where to send traffic.</w:t>
      </w:r>
    </w:p>
    <w:p w14:paraId="58BAC31C" w14:textId="77777777" w:rsidR="00455809" w:rsidRDefault="00000000">
      <w:r>
        <w:t>For the first milestone, the adapter needs only the two HTTP API Conditions below. The full application can still use Postgres, Redis, and NATS; those become follow-on fixtures once the API path is proven.</w:t>
      </w:r>
    </w:p>
    <w:p w14:paraId="0FDBE749" w14:textId="77777777" w:rsidR="00455809" w:rsidRDefault="00000000">
      <w:pPr>
        <w:pStyle w:val="CodeBlock"/>
        <w:keepLines/>
        <w:pBdr>
          <w:left w:val="single" w:sz="20" w:space="8" w:color="178F8B"/>
        </w:pBdr>
        <w:shd w:val="clear" w:color="auto" w:fill="F4F6F9"/>
      </w:pPr>
      <w:r>
        <w:lastRenderedPageBreak/>
        <w:t>conditions:</w:t>
      </w:r>
      <w:r>
        <w:br/>
        <w:t xml:space="preserve">  - name: stock-read-and-reserve</w:t>
      </w:r>
      <w:r>
        <w:br/>
        <w:t xml:space="preserve">    kind: api</w:t>
      </w:r>
      <w:r>
        <w:br/>
        <w:t xml:space="preserve">    interface:</w:t>
      </w:r>
      <w:r>
        <w:br/>
        <w:t xml:space="preserve">      type: http</w:t>
      </w:r>
      <w:r>
        <w:br/>
        <w:t xml:space="preserve">      operations:</w:t>
      </w:r>
      <w:r>
        <w:br/>
        <w:t xml:space="preserve">        - method: GET</w:t>
      </w:r>
      <w:r>
        <w:br/>
        <w:t xml:space="preserve">          path: /items/{itemId}/availability</w:t>
      </w:r>
      <w:r>
        <w:br/>
        <w:t xml:space="preserve">        - method: POST</w:t>
      </w:r>
      <w:r>
        <w:br/>
        <w:t xml:space="preserve">          path: /reservations</w:t>
      </w:r>
      <w:r>
        <w:br/>
        <w:t xml:space="preserve">  - name: durable-work-creation</w:t>
      </w:r>
      <w:r>
        <w:br/>
        <w:t xml:space="preserve">    kind: api</w:t>
      </w:r>
      <w:r>
        <w:br/>
        <w:t xml:space="preserve">    interface:</w:t>
      </w:r>
      <w:r>
        <w:br/>
        <w:t xml:space="preserve">      type: http</w:t>
      </w:r>
      <w:r>
        <w:br/>
        <w:t xml:space="preserve">      operations:</w:t>
      </w:r>
      <w:r>
        <w:br/>
        <w:t xml:space="preserve">        - method: POST</w:t>
      </w:r>
      <w:r>
        <w:br/>
        <w:t xml:space="preserve">          path: /fulfillment-tasks</w:t>
      </w:r>
    </w:p>
    <w:p w14:paraId="02449465" w14:textId="77777777" w:rsidR="00455809" w:rsidRDefault="00000000">
      <w:pPr>
        <w:spacing w:after="200"/>
      </w:pPr>
      <w:r>
        <w:rPr>
          <w:i/>
          <w:color w:val="536273"/>
          <w:sz w:val="18"/>
        </w:rPr>
        <w:t>Illustrative Conditions excerpt from the request-coordinator profile. The complete fixture also carries the standard profile envelope, workload identity, and exact Common Integrations extension URI.</w:t>
      </w:r>
    </w:p>
    <w:p w14:paraId="1BFD9500" w14:textId="77777777" w:rsidR="00455809" w:rsidRDefault="00000000">
      <w:pPr>
        <w:pStyle w:val="Heading2"/>
      </w:pPr>
      <w:r>
        <w:t>What the adapter may rely on</w:t>
      </w:r>
    </w:p>
    <w:p w14:paraId="6A49DE37" w14:textId="77777777" w:rsidR="00455809" w:rsidRDefault="00000000" w:rsidP="00C34B8B">
      <w:pPr>
        <w:pStyle w:val="ListBullet"/>
        <w:spacing w:after="160" w:line="281" w:lineRule="auto"/>
        <w:contextualSpacing w:val="0"/>
      </w:pPr>
      <w:r>
        <w:t>The profile has already passed core and extension-aware validation.</w:t>
      </w:r>
    </w:p>
    <w:p w14:paraId="2EDEE42F" w14:textId="38484F98" w:rsidR="00455809" w:rsidRDefault="00000000" w:rsidP="00C34B8B">
      <w:pPr>
        <w:pStyle w:val="ListBullet"/>
        <w:spacing w:after="160" w:line="281" w:lineRule="auto"/>
        <w:contextualSpacing w:val="0"/>
      </w:pPr>
      <w:r>
        <w:t xml:space="preserve">Each API Condition contains at least one HTTP </w:t>
      </w:r>
      <w:r w:rsidR="00C34B8B">
        <w:t>operation</w:t>
      </w:r>
    </w:p>
    <w:p w14:paraId="37E4B0BF" w14:textId="77777777" w:rsidR="00455809" w:rsidRDefault="00000000" w:rsidP="00C34B8B">
      <w:pPr>
        <w:pStyle w:val="ListBullet"/>
        <w:spacing w:after="160" w:line="281" w:lineRule="auto"/>
        <w:contextualSpacing w:val="0"/>
      </w:pPr>
      <w:r>
        <w:t>HTTP method and path are adapter-actionable because they directly change the network policy.</w:t>
      </w:r>
    </w:p>
    <w:p w14:paraId="5B5D68C6" w14:textId="77777777" w:rsidR="00455809" w:rsidRDefault="00000000" w:rsidP="00C34B8B">
      <w:pPr>
        <w:pStyle w:val="ListBullet"/>
        <w:spacing w:after="160" w:line="281" w:lineRule="auto"/>
        <w:contextualSpacing w:val="0"/>
      </w:pPr>
      <w:r>
        <w:t>The profile identifies one workload, while deployment labels provide the platform-specific selector.</w:t>
      </w:r>
    </w:p>
    <w:p w14:paraId="29896885" w14:textId="77777777" w:rsidR="00455809" w:rsidRDefault="00000000">
      <w:pPr>
        <w:pStyle w:val="Heading2"/>
      </w:pPr>
      <w:r>
        <w:t>What must stay out of the profile</w:t>
      </w:r>
    </w:p>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2400"/>
        <w:gridCol w:w="3300"/>
        <w:gridCol w:w="3660"/>
      </w:tblGrid>
      <w:tr w:rsidR="00455809" w14:paraId="19236657" w14:textId="77777777">
        <w:trPr>
          <w:cantSplit/>
          <w:tblHeader/>
        </w:trPr>
        <w:tc>
          <w:tcPr>
            <w:tcW w:w="2400" w:type="dxa"/>
            <w:shd w:val="clear" w:color="auto" w:fill="0B2545"/>
            <w:tcMar>
              <w:top w:w="90" w:type="dxa"/>
              <w:left w:w="120" w:type="dxa"/>
              <w:bottom w:w="90" w:type="dxa"/>
              <w:right w:w="120" w:type="dxa"/>
            </w:tcMar>
            <w:vAlign w:val="center"/>
          </w:tcPr>
          <w:p w14:paraId="177B8212" w14:textId="77777777" w:rsidR="00455809" w:rsidRDefault="00000000">
            <w:pPr>
              <w:spacing w:after="0"/>
            </w:pPr>
            <w:r>
              <w:rPr>
                <w:b/>
                <w:color w:val="FFFFFF"/>
                <w:sz w:val="18"/>
              </w:rPr>
              <w:t>Do not embed</w:t>
            </w:r>
          </w:p>
        </w:tc>
        <w:tc>
          <w:tcPr>
            <w:tcW w:w="3300" w:type="dxa"/>
            <w:shd w:val="clear" w:color="auto" w:fill="0B2545"/>
            <w:tcMar>
              <w:top w:w="90" w:type="dxa"/>
              <w:left w:w="120" w:type="dxa"/>
              <w:bottom w:w="90" w:type="dxa"/>
              <w:right w:w="120" w:type="dxa"/>
            </w:tcMar>
            <w:vAlign w:val="center"/>
          </w:tcPr>
          <w:p w14:paraId="7839B883" w14:textId="77777777" w:rsidR="00455809" w:rsidRDefault="00000000">
            <w:pPr>
              <w:spacing w:after="0"/>
            </w:pPr>
            <w:r>
              <w:rPr>
                <w:b/>
                <w:color w:val="FFFFFF"/>
                <w:sz w:val="18"/>
              </w:rPr>
              <w:t>Why</w:t>
            </w:r>
          </w:p>
        </w:tc>
        <w:tc>
          <w:tcPr>
            <w:tcW w:w="3660" w:type="dxa"/>
            <w:shd w:val="clear" w:color="auto" w:fill="0B2545"/>
            <w:tcMar>
              <w:top w:w="90" w:type="dxa"/>
              <w:left w:w="120" w:type="dxa"/>
              <w:bottom w:w="90" w:type="dxa"/>
              <w:right w:w="120" w:type="dxa"/>
            </w:tcMar>
            <w:vAlign w:val="center"/>
          </w:tcPr>
          <w:p w14:paraId="596880D6" w14:textId="77777777" w:rsidR="00455809" w:rsidRDefault="00000000">
            <w:pPr>
              <w:spacing w:after="0"/>
            </w:pPr>
            <w:r>
              <w:rPr>
                <w:b/>
                <w:color w:val="FFFFFF"/>
                <w:sz w:val="18"/>
              </w:rPr>
              <w:t>Where it belongs</w:t>
            </w:r>
          </w:p>
        </w:tc>
      </w:tr>
      <w:tr w:rsidR="00455809" w14:paraId="4BB01262" w14:textId="77777777">
        <w:trPr>
          <w:cantSplit/>
        </w:trPr>
        <w:tc>
          <w:tcPr>
            <w:tcW w:w="2400" w:type="dxa"/>
            <w:tcMar>
              <w:top w:w="90" w:type="dxa"/>
              <w:left w:w="120" w:type="dxa"/>
              <w:bottom w:w="90" w:type="dxa"/>
              <w:right w:w="120" w:type="dxa"/>
            </w:tcMar>
            <w:vAlign w:val="center"/>
          </w:tcPr>
          <w:p w14:paraId="7E19CDDA" w14:textId="77777777" w:rsidR="00455809" w:rsidRDefault="00000000">
            <w:pPr>
              <w:spacing w:after="20" w:line="250" w:lineRule="auto"/>
            </w:pPr>
            <w:r>
              <w:rPr>
                <w:b/>
                <w:color w:val="0B2545"/>
                <w:sz w:val="17"/>
              </w:rPr>
              <w:t>stock-provider-v2</w:t>
            </w:r>
          </w:p>
        </w:tc>
        <w:tc>
          <w:tcPr>
            <w:tcW w:w="3300" w:type="dxa"/>
            <w:tcMar>
              <w:top w:w="90" w:type="dxa"/>
              <w:left w:w="120" w:type="dxa"/>
              <w:bottom w:w="90" w:type="dxa"/>
              <w:right w:w="120" w:type="dxa"/>
            </w:tcMar>
            <w:vAlign w:val="center"/>
          </w:tcPr>
          <w:p w14:paraId="3EFB1184" w14:textId="77777777" w:rsidR="00455809" w:rsidRDefault="00000000">
            <w:pPr>
              <w:spacing w:after="20" w:line="250" w:lineRule="auto"/>
            </w:pPr>
            <w:r>
              <w:rPr>
                <w:sz w:val="17"/>
              </w:rPr>
              <w:t>Environment-specific Service identity</w:t>
            </w:r>
          </w:p>
        </w:tc>
        <w:tc>
          <w:tcPr>
            <w:tcW w:w="3660" w:type="dxa"/>
            <w:tcMar>
              <w:top w:w="90" w:type="dxa"/>
              <w:left w:w="120" w:type="dxa"/>
              <w:bottom w:w="90" w:type="dxa"/>
              <w:right w:w="120" w:type="dxa"/>
            </w:tcMar>
            <w:vAlign w:val="center"/>
          </w:tcPr>
          <w:p w14:paraId="40DBCF64" w14:textId="77777777" w:rsidR="00455809" w:rsidRDefault="00000000">
            <w:pPr>
              <w:spacing w:after="20" w:line="250" w:lineRule="auto"/>
            </w:pPr>
            <w:r>
              <w:rPr>
                <w:sz w:val="17"/>
              </w:rPr>
              <w:t>Backstage provenance and Kubernetes</w:t>
            </w:r>
          </w:p>
        </w:tc>
      </w:tr>
      <w:tr w:rsidR="00455809" w14:paraId="30E39231" w14:textId="77777777">
        <w:trPr>
          <w:cantSplit/>
        </w:trPr>
        <w:tc>
          <w:tcPr>
            <w:tcW w:w="2400" w:type="dxa"/>
            <w:shd w:val="clear" w:color="auto" w:fill="FAFBFC"/>
            <w:tcMar>
              <w:top w:w="90" w:type="dxa"/>
              <w:left w:w="120" w:type="dxa"/>
              <w:bottom w:w="90" w:type="dxa"/>
              <w:right w:w="120" w:type="dxa"/>
            </w:tcMar>
            <w:vAlign w:val="center"/>
          </w:tcPr>
          <w:p w14:paraId="3CBE1863" w14:textId="77777777" w:rsidR="00455809" w:rsidRDefault="00000000">
            <w:pPr>
              <w:spacing w:after="20" w:line="250" w:lineRule="auto"/>
            </w:pPr>
            <w:r>
              <w:rPr>
                <w:b/>
                <w:color w:val="0B2545"/>
                <w:sz w:val="17"/>
              </w:rPr>
              <w:t>Cluster IP or DNS name</w:t>
            </w:r>
          </w:p>
        </w:tc>
        <w:tc>
          <w:tcPr>
            <w:tcW w:w="3300" w:type="dxa"/>
            <w:shd w:val="clear" w:color="auto" w:fill="FAFBFC"/>
            <w:tcMar>
              <w:top w:w="90" w:type="dxa"/>
              <w:left w:w="120" w:type="dxa"/>
              <w:bottom w:w="90" w:type="dxa"/>
              <w:right w:w="120" w:type="dxa"/>
            </w:tcMar>
            <w:vAlign w:val="center"/>
          </w:tcPr>
          <w:p w14:paraId="63BA5F2F" w14:textId="77777777" w:rsidR="00455809" w:rsidRDefault="00000000">
            <w:pPr>
              <w:spacing w:after="20" w:line="250" w:lineRule="auto"/>
            </w:pPr>
            <w:r>
              <w:rPr>
                <w:sz w:val="17"/>
              </w:rPr>
              <w:t>Changes by cluster and deployment</w:t>
            </w:r>
          </w:p>
        </w:tc>
        <w:tc>
          <w:tcPr>
            <w:tcW w:w="3660" w:type="dxa"/>
            <w:shd w:val="clear" w:color="auto" w:fill="FAFBFC"/>
            <w:tcMar>
              <w:top w:w="90" w:type="dxa"/>
              <w:left w:w="120" w:type="dxa"/>
              <w:bottom w:w="90" w:type="dxa"/>
              <w:right w:w="120" w:type="dxa"/>
            </w:tcMar>
            <w:vAlign w:val="center"/>
          </w:tcPr>
          <w:p w14:paraId="7FE28A60" w14:textId="77777777" w:rsidR="00455809" w:rsidRDefault="00000000">
            <w:pPr>
              <w:spacing w:after="20" w:line="250" w:lineRule="auto"/>
            </w:pPr>
            <w:r>
              <w:rPr>
                <w:sz w:val="17"/>
              </w:rPr>
              <w:t>Live cluster resolution</w:t>
            </w:r>
          </w:p>
        </w:tc>
      </w:tr>
      <w:tr w:rsidR="00455809" w14:paraId="2912399A" w14:textId="77777777">
        <w:trPr>
          <w:cantSplit/>
        </w:trPr>
        <w:tc>
          <w:tcPr>
            <w:tcW w:w="2400" w:type="dxa"/>
            <w:tcMar>
              <w:top w:w="90" w:type="dxa"/>
              <w:left w:w="120" w:type="dxa"/>
              <w:bottom w:w="90" w:type="dxa"/>
              <w:right w:w="120" w:type="dxa"/>
            </w:tcMar>
            <w:vAlign w:val="center"/>
          </w:tcPr>
          <w:p w14:paraId="256C2B4F" w14:textId="77777777" w:rsidR="00455809" w:rsidRDefault="00000000">
            <w:pPr>
              <w:spacing w:after="20" w:line="250" w:lineRule="auto"/>
            </w:pPr>
            <w:r>
              <w:rPr>
                <w:b/>
                <w:color w:val="0B2545"/>
                <w:sz w:val="17"/>
              </w:rPr>
              <w:t>Credentials or tokens</w:t>
            </w:r>
          </w:p>
        </w:tc>
        <w:tc>
          <w:tcPr>
            <w:tcW w:w="3300" w:type="dxa"/>
            <w:tcMar>
              <w:top w:w="90" w:type="dxa"/>
              <w:left w:w="120" w:type="dxa"/>
              <w:bottom w:w="90" w:type="dxa"/>
              <w:right w:w="120" w:type="dxa"/>
            </w:tcMar>
            <w:vAlign w:val="center"/>
          </w:tcPr>
          <w:p w14:paraId="41C63071" w14:textId="77777777" w:rsidR="00455809" w:rsidRDefault="00000000">
            <w:pPr>
              <w:spacing w:after="20" w:line="250" w:lineRule="auto"/>
            </w:pPr>
            <w:r>
              <w:rPr>
                <w:sz w:val="17"/>
              </w:rPr>
              <w:t>Sensitive fulfillment values</w:t>
            </w:r>
          </w:p>
        </w:tc>
        <w:tc>
          <w:tcPr>
            <w:tcW w:w="3660" w:type="dxa"/>
            <w:tcMar>
              <w:top w:w="90" w:type="dxa"/>
              <w:left w:w="120" w:type="dxa"/>
              <w:bottom w:w="90" w:type="dxa"/>
              <w:right w:w="120" w:type="dxa"/>
            </w:tcMar>
            <w:vAlign w:val="center"/>
          </w:tcPr>
          <w:p w14:paraId="6B3D4879" w14:textId="77777777" w:rsidR="00455809" w:rsidRDefault="00000000">
            <w:pPr>
              <w:spacing w:after="20" w:line="250" w:lineRule="auto"/>
            </w:pPr>
            <w:r>
              <w:rPr>
                <w:sz w:val="17"/>
              </w:rPr>
              <w:t>Platform secret mechanism</w:t>
            </w:r>
          </w:p>
        </w:tc>
      </w:tr>
      <w:tr w:rsidR="00455809" w14:paraId="7CDF6C9E" w14:textId="77777777">
        <w:trPr>
          <w:cantSplit/>
        </w:trPr>
        <w:tc>
          <w:tcPr>
            <w:tcW w:w="2400" w:type="dxa"/>
            <w:shd w:val="clear" w:color="auto" w:fill="FAFBFC"/>
            <w:tcMar>
              <w:top w:w="90" w:type="dxa"/>
              <w:left w:w="120" w:type="dxa"/>
              <w:bottom w:w="90" w:type="dxa"/>
              <w:right w:w="120" w:type="dxa"/>
            </w:tcMar>
            <w:vAlign w:val="center"/>
          </w:tcPr>
          <w:p w14:paraId="3B389526" w14:textId="77777777" w:rsidR="00455809" w:rsidRDefault="00000000">
            <w:pPr>
              <w:spacing w:after="20" w:line="250" w:lineRule="auto"/>
            </w:pPr>
            <w:r>
              <w:rPr>
                <w:b/>
                <w:color w:val="0B2545"/>
                <w:sz w:val="17"/>
              </w:rPr>
              <w:t>Cilium selectors</w:t>
            </w:r>
          </w:p>
        </w:tc>
        <w:tc>
          <w:tcPr>
            <w:tcW w:w="3300" w:type="dxa"/>
            <w:shd w:val="clear" w:color="auto" w:fill="FAFBFC"/>
            <w:tcMar>
              <w:top w:w="90" w:type="dxa"/>
              <w:left w:w="120" w:type="dxa"/>
              <w:bottom w:w="90" w:type="dxa"/>
              <w:right w:w="120" w:type="dxa"/>
            </w:tcMar>
            <w:vAlign w:val="center"/>
          </w:tcPr>
          <w:p w14:paraId="04BEA23C" w14:textId="77777777" w:rsidR="00455809" w:rsidRDefault="00000000">
            <w:pPr>
              <w:spacing w:after="20" w:line="250" w:lineRule="auto"/>
            </w:pPr>
            <w:r>
              <w:rPr>
                <w:sz w:val="17"/>
              </w:rPr>
              <w:t>Provider-specific policy syntax</w:t>
            </w:r>
          </w:p>
        </w:tc>
        <w:tc>
          <w:tcPr>
            <w:tcW w:w="3660" w:type="dxa"/>
            <w:shd w:val="clear" w:color="auto" w:fill="FAFBFC"/>
            <w:tcMar>
              <w:top w:w="90" w:type="dxa"/>
              <w:left w:w="120" w:type="dxa"/>
              <w:bottom w:w="90" w:type="dxa"/>
              <w:right w:w="120" w:type="dxa"/>
            </w:tcMar>
            <w:vAlign w:val="center"/>
          </w:tcPr>
          <w:p w14:paraId="20627997" w14:textId="77777777" w:rsidR="00455809" w:rsidRDefault="00000000">
            <w:pPr>
              <w:spacing w:after="20" w:line="250" w:lineRule="auto"/>
            </w:pPr>
            <w:r>
              <w:rPr>
                <w:sz w:val="17"/>
              </w:rPr>
              <w:t>Adapter rendering policy</w:t>
            </w:r>
          </w:p>
        </w:tc>
      </w:tr>
    </w:tbl>
    <w:p w14:paraId="2256F6A4" w14:textId="77777777" w:rsidR="00455809" w:rsidRDefault="00455809">
      <w:pPr>
        <w:spacing w:after="40"/>
      </w:pPr>
    </w:p>
    <w:tbl>
      <w:tblPr>
        <w:tblW w:w="9360" w:type="dxa"/>
        <w:tblInd w:w="120" w:type="dxa"/>
        <w:tblBorders>
          <w:top w:val="single" w:sz="8" w:space="0" w:color="0B2545"/>
          <w:left w:val="single" w:sz="8" w:space="0" w:color="0B2545"/>
          <w:bottom w:val="single" w:sz="8" w:space="0" w:color="0B2545"/>
          <w:right w:val="single" w:sz="8" w:space="0" w:color="0B2545"/>
        </w:tblBorders>
        <w:tblLayout w:type="fixed"/>
        <w:tblLook w:val="04A0" w:firstRow="1" w:lastRow="0" w:firstColumn="1" w:lastColumn="0" w:noHBand="0" w:noVBand="1"/>
      </w:tblPr>
      <w:tblGrid>
        <w:gridCol w:w="9360"/>
      </w:tblGrid>
      <w:tr w:rsidR="00455809" w14:paraId="364D81A3" w14:textId="77777777">
        <w:trPr>
          <w:cantSplit/>
        </w:trPr>
        <w:tc>
          <w:tcPr>
            <w:tcW w:w="9360" w:type="dxa"/>
            <w:shd w:val="clear" w:color="auto" w:fill="EDF3F8"/>
            <w:tcMar>
              <w:top w:w="130" w:type="dxa"/>
              <w:left w:w="180" w:type="dxa"/>
              <w:bottom w:w="130" w:type="dxa"/>
              <w:right w:w="180" w:type="dxa"/>
            </w:tcMar>
            <w:vAlign w:val="center"/>
          </w:tcPr>
          <w:p w14:paraId="7D40B430" w14:textId="77777777" w:rsidR="00455809" w:rsidRDefault="00000000">
            <w:pPr>
              <w:spacing w:after="40" w:line="259" w:lineRule="auto"/>
            </w:pPr>
            <w:r>
              <w:rPr>
                <w:b/>
                <w:color w:val="0B2545"/>
                <w:sz w:val="18"/>
              </w:rPr>
              <w:t xml:space="preserve">DESIGN TEST  </w:t>
            </w:r>
            <w:r>
              <w:rPr>
                <w:b/>
                <w:sz w:val="21"/>
              </w:rPr>
              <w:t>If a field does not change a portable adapter decision, it probably does not belong in the extension vocabulary.</w:t>
            </w:r>
          </w:p>
        </w:tc>
      </w:tr>
    </w:tbl>
    <w:p w14:paraId="567308C7" w14:textId="77777777" w:rsidR="00455809" w:rsidRDefault="00455809">
      <w:pPr>
        <w:spacing w:after="80"/>
      </w:pPr>
    </w:p>
    <w:p w14:paraId="1624ADD6" w14:textId="77777777" w:rsidR="00455809" w:rsidRDefault="00000000">
      <w:pPr>
        <w:keepNext/>
        <w:spacing w:after="60"/>
      </w:pPr>
      <w:r>
        <w:rPr>
          <w:b/>
          <w:color w:val="178F8B"/>
          <w:sz w:val="20"/>
        </w:rPr>
        <w:t>05 · RESOLUTION</w:t>
      </w:r>
    </w:p>
    <w:p w14:paraId="182DA1AB" w14:textId="77777777" w:rsidR="00455809" w:rsidRDefault="00000000">
      <w:pPr>
        <w:pStyle w:val="Heading1"/>
        <w:spacing w:before="0"/>
      </w:pPr>
      <w:r>
        <w:t>How the adapter turns demand into a destination</w:t>
      </w:r>
    </w:p>
    <w:p w14:paraId="299FD611" w14:textId="77777777" w:rsidR="00455809" w:rsidRDefault="00000000">
      <w:pPr>
        <w:spacing w:after="240" w:line="269" w:lineRule="auto"/>
      </w:pPr>
      <w:r>
        <w:rPr>
          <w:color w:val="536273"/>
          <w:sz w:val="25"/>
        </w:rPr>
        <w:t>Resolution is evidence-based and fail-closed. Every hop is explainable.</w:t>
      </w:r>
    </w:p>
    <w:p w14:paraId="73E425CF" w14:textId="77777777" w:rsidR="00455809" w:rsidRDefault="00000000">
      <w:r>
        <w:rPr>
          <w:noProof/>
        </w:rPr>
        <w:lastRenderedPageBreak/>
        <w:drawing>
          <wp:inline distT="0" distB="0" distL="0" distR="0" wp14:anchorId="484373F2" wp14:editId="5EC3E414">
            <wp:extent cx="5943600" cy="2971800"/>
            <wp:effectExtent l="0" t="0" r="0" b="0"/>
            <wp:docPr id="3" name="Picture 3" descr="Five steps: read demand, match an OpenAPI entity, follow provider provenance, resolve one Kubernetes Service, and render deterministic Cilium policy; ambiguous evidence fails closed." title="Condition resolu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lution-flow.png"/>
                    <pic:cNvPicPr/>
                  </pic:nvPicPr>
                  <pic:blipFill>
                    <a:blip r:embed="rId10"/>
                    <a:stretch>
                      <a:fillRect/>
                    </a:stretch>
                  </pic:blipFill>
                  <pic:spPr>
                    <a:xfrm>
                      <a:off x="0" y="0"/>
                      <a:ext cx="5943600" cy="2971800"/>
                    </a:xfrm>
                    <a:prstGeom prst="rect">
                      <a:avLst/>
                    </a:prstGeom>
                  </pic:spPr>
                </pic:pic>
              </a:graphicData>
            </a:graphic>
          </wp:inline>
        </w:drawing>
      </w:r>
    </w:p>
    <w:p w14:paraId="128B7C06" w14:textId="77777777" w:rsidR="00455809" w:rsidRDefault="00000000">
      <w:pPr>
        <w:pStyle w:val="CaptionCustom"/>
      </w:pPr>
      <w:r>
        <w:t>Figure 3. Resolution pipeline for one API Condition.</w:t>
      </w:r>
    </w:p>
    <w:p w14:paraId="0C21B565" w14:textId="77777777" w:rsidR="00455809" w:rsidRDefault="00000000" w:rsidP="00C34B8B">
      <w:pPr>
        <w:numPr>
          <w:ilvl w:val="0"/>
          <w:numId w:val="5"/>
        </w:numPr>
        <w:spacing w:after="160" w:line="281" w:lineRule="auto"/>
      </w:pPr>
      <w:r>
        <w:rPr>
          <w:b/>
        </w:rPr>
        <w:t>Parse and normalize.</w:t>
      </w:r>
      <w:r>
        <w:t xml:space="preserve"> Read required operations, normalize method casing, and reject malformed paths before querying the catalog.</w:t>
      </w:r>
    </w:p>
    <w:p w14:paraId="0438948C" w14:textId="77777777" w:rsidR="00455809" w:rsidRDefault="00000000" w:rsidP="00C34B8B">
      <w:pPr>
        <w:numPr>
          <w:ilvl w:val="0"/>
          <w:numId w:val="5"/>
        </w:numPr>
        <w:spacing w:after="160" w:line="281" w:lineRule="auto"/>
      </w:pPr>
      <w:r>
        <w:rPr>
          <w:b/>
        </w:rPr>
        <w:t>Match capabilities.</w:t>
      </w:r>
      <w:r>
        <w:t xml:space="preserve"> Query Backstage API entities of type OpenAPI and retain only those whose documents contain every required method/path pair.</w:t>
      </w:r>
    </w:p>
    <w:p w14:paraId="09A782D3" w14:textId="77777777" w:rsidR="00455809" w:rsidRDefault="00000000" w:rsidP="00C34B8B">
      <w:pPr>
        <w:numPr>
          <w:ilvl w:val="0"/>
          <w:numId w:val="5"/>
        </w:numPr>
        <w:spacing w:after="160" w:line="281" w:lineRule="auto"/>
      </w:pPr>
      <w:r>
        <w:rPr>
          <w:b/>
        </w:rPr>
        <w:t>Follow ownership provenance.</w:t>
      </w:r>
      <w:r>
        <w:t xml:space="preserve"> Use the synthesized apiProvidedBy relation—derived from a Component's providesApis declaration—to identify the provider Component.</w:t>
      </w:r>
    </w:p>
    <w:p w14:paraId="7A528276" w14:textId="77777777" w:rsidR="00455809" w:rsidRDefault="00000000" w:rsidP="00C34B8B">
      <w:pPr>
        <w:numPr>
          <w:ilvl w:val="0"/>
          <w:numId w:val="5"/>
        </w:numPr>
        <w:spacing w:after="160" w:line="281" w:lineRule="auto"/>
      </w:pPr>
      <w:r>
        <w:rPr>
          <w:b/>
        </w:rPr>
        <w:t>Resolve the live Service.</w:t>
      </w:r>
      <w:r>
        <w:t xml:space="preserve"> Read the Component's Kubernetes namespace and identity annotations, then query the cluster for a single matching Service.</w:t>
      </w:r>
    </w:p>
    <w:p w14:paraId="4A63D058" w14:textId="77777777" w:rsidR="00455809" w:rsidRDefault="00000000" w:rsidP="00C34B8B">
      <w:pPr>
        <w:numPr>
          <w:ilvl w:val="0"/>
          <w:numId w:val="5"/>
        </w:numPr>
        <w:spacing w:after="160" w:line="281" w:lineRule="auto"/>
      </w:pPr>
      <w:r>
        <w:rPr>
          <w:b/>
        </w:rPr>
        <w:t>Derive enforceable coordinates.</w:t>
      </w:r>
      <w:r>
        <w:t xml:space="preserve"> Select the service port and protocol, convert templated OpenAPI paths to anchored Cilium-compatible regular expressions, and bind them to the workload selector.</w:t>
      </w:r>
    </w:p>
    <w:p w14:paraId="723C93F6" w14:textId="77777777" w:rsidR="00455809" w:rsidRDefault="00000000" w:rsidP="00C34B8B">
      <w:pPr>
        <w:numPr>
          <w:ilvl w:val="0"/>
          <w:numId w:val="5"/>
        </w:numPr>
        <w:spacing w:after="160" w:line="281" w:lineRule="auto"/>
      </w:pPr>
      <w:r>
        <w:rPr>
          <w:b/>
        </w:rPr>
        <w:t>Render deterministically.</w:t>
      </w:r>
      <w:r>
        <w:t xml:space="preserve"> Sort destinations and rules, emit stable YAML, and include provenance annotations so reviewers can explain where each rule came from.</w:t>
      </w:r>
    </w:p>
    <w:p w14:paraId="190535F6" w14:textId="77777777" w:rsidR="00455809" w:rsidRDefault="00000000">
      <w:pPr>
        <w:pStyle w:val="Heading2"/>
      </w:pPr>
      <w:r>
        <w:t>Ambiguity is an error, not a tie-breaker</w:t>
      </w:r>
    </w:p>
    <w:p w14:paraId="77F3DFED" w14:textId="77777777" w:rsidR="00455809" w:rsidRDefault="00000000">
      <w:r>
        <w:t>A no-match result means the platform cannot fulfill the demand. Multiple matching APIs, missing provider relations, zero matching Services, multiple matching Services, or an unresolvable service port all produce actionable errors. The adapter should not silently choose the first result because that would convert catalog disorder into network authority.</w:t>
      </w:r>
    </w:p>
    <w:p w14:paraId="61E284D3" w14:textId="77777777" w:rsidR="00455809" w:rsidRDefault="00000000">
      <w:pPr>
        <w:keepNext/>
        <w:spacing w:after="60"/>
      </w:pPr>
      <w:r>
        <w:rPr>
          <w:b/>
          <w:color w:val="178F8B"/>
          <w:sz w:val="20"/>
        </w:rPr>
        <w:lastRenderedPageBreak/>
        <w:t>06 · OUTPUT</w:t>
      </w:r>
    </w:p>
    <w:p w14:paraId="4A0E8AE9" w14:textId="77777777" w:rsidR="00455809" w:rsidRDefault="00000000">
      <w:pPr>
        <w:pStyle w:val="Heading1"/>
        <w:spacing w:before="0"/>
      </w:pPr>
      <w:r>
        <w:t>The rendered policy is narrow by construction</w:t>
      </w:r>
    </w:p>
    <w:p w14:paraId="2AF3FAF1" w14:textId="77777777" w:rsidR="00455809" w:rsidRDefault="00000000">
      <w:pPr>
        <w:spacing w:after="240" w:line="269" w:lineRule="auto"/>
      </w:pPr>
      <w:r>
        <w:rPr>
          <w:color w:val="536273"/>
          <w:sz w:val="25"/>
        </w:rPr>
        <w:t>The profile supplies application intent; catalog and cluster metadata supply the concrete target.</w:t>
      </w:r>
    </w:p>
    <w:p w14:paraId="6CEEB169" w14:textId="77777777" w:rsidR="00455809" w:rsidRDefault="00000000">
      <w:pPr>
        <w:pStyle w:val="CodeBlock"/>
        <w:keepLines/>
        <w:pBdr>
          <w:left w:val="single" w:sz="20" w:space="8" w:color="178F8B"/>
        </w:pBdr>
        <w:shd w:val="clear" w:color="auto" w:fill="F4F6F9"/>
      </w:pPr>
      <w:r>
        <w:t>apiVersion: cilium.io/v2</w:t>
      </w:r>
      <w:r>
        <w:br/>
        <w:t>kind: CiliumNetworkPolicy</w:t>
      </w:r>
      <w:r>
        <w:br/>
        <w:t>metadata:</w:t>
      </w:r>
      <w:r>
        <w:br/>
        <w:t xml:space="preserve">  name: request-coordinator-runtime-access</w:t>
      </w:r>
      <w:r>
        <w:br/>
        <w:t xml:space="preserve">  namespace: applications</w:t>
      </w:r>
      <w:r>
        <w:br/>
        <w:t xml:space="preserve">  annotations:</w:t>
      </w:r>
      <w:r>
        <w:br/>
        <w:t xml:space="preserve">    runtimeconditions.io/profile: request-coordinator</w:t>
      </w:r>
      <w:r>
        <w:br/>
        <w:t>spec:</w:t>
      </w:r>
      <w:r>
        <w:br/>
        <w:t xml:space="preserve">  endpointSelector:</w:t>
      </w:r>
      <w:r>
        <w:br/>
        <w:t xml:space="preserve">    matchLabels:</w:t>
      </w:r>
      <w:r>
        <w:br/>
        <w:t xml:space="preserve">      backstage.io/kubernetes-id: request-coordinator</w:t>
      </w:r>
      <w:r>
        <w:br/>
        <w:t xml:space="preserve">  egress:</w:t>
      </w:r>
      <w:r>
        <w:br/>
        <w:t xml:space="preserve">    - toServices:</w:t>
      </w:r>
      <w:r>
        <w:br/>
        <w:t xml:space="preserve">        - k8sService:</w:t>
      </w:r>
      <w:r>
        <w:br/>
        <w:t xml:space="preserve">            serviceName: stock-provider-v2</w:t>
      </w:r>
      <w:r>
        <w:br/>
        <w:t xml:space="preserve">            namespace: applications</w:t>
      </w:r>
      <w:r>
        <w:br/>
        <w:t xml:space="preserve">      toPorts:</w:t>
      </w:r>
      <w:r>
        <w:br/>
        <w:t xml:space="preserve">        - ports:</w:t>
      </w:r>
      <w:r>
        <w:br/>
        <w:t xml:space="preserve">            - port: "8080"</w:t>
      </w:r>
      <w:r>
        <w:br/>
        <w:t xml:space="preserve">              protocol: TCP</w:t>
      </w:r>
      <w:r>
        <w:br/>
        <w:t xml:space="preserve">          rules:</w:t>
      </w:r>
      <w:r>
        <w:br/>
        <w:t xml:space="preserve">            http:</w:t>
      </w:r>
      <w:r>
        <w:br/>
        <w:t xml:space="preserve">              - method: GET</w:t>
      </w:r>
      <w:r>
        <w:br/>
        <w:t xml:space="preserve">                path: "^/items/[^/]+/availability$"</w:t>
      </w:r>
      <w:r>
        <w:br/>
        <w:t xml:space="preserve">              - method: POST</w:t>
      </w:r>
      <w:r>
        <w:br/>
        <w:t xml:space="preserve">                path: "^/reservations$"</w:t>
      </w:r>
    </w:p>
    <w:p w14:paraId="1C18FC63" w14:textId="77777777" w:rsidR="00455809" w:rsidRDefault="00000000">
      <w:pPr>
        <w:spacing w:after="200"/>
      </w:pPr>
      <w:r>
        <w:rPr>
          <w:i/>
          <w:color w:val="536273"/>
          <w:sz w:val="18"/>
        </w:rPr>
        <w:t>Illustrative output for the inventory Condition. The actual adapter should render one egress entry per resolved provider and combine them into one namespaced policy.</w:t>
      </w:r>
    </w:p>
    <w:p w14:paraId="05972362" w14:textId="77777777" w:rsidR="00455809" w:rsidRDefault="00000000">
      <w:pPr>
        <w:pStyle w:val="Heading2"/>
      </w:pPr>
      <w:r>
        <w:t>Why each field exists</w:t>
      </w:r>
    </w:p>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2300"/>
        <w:gridCol w:w="7060"/>
      </w:tblGrid>
      <w:tr w:rsidR="00455809" w14:paraId="58763485" w14:textId="77777777">
        <w:trPr>
          <w:cantSplit/>
        </w:trPr>
        <w:tc>
          <w:tcPr>
            <w:tcW w:w="2300" w:type="dxa"/>
            <w:shd w:val="clear" w:color="auto" w:fill="FAFBFC"/>
            <w:tcMar>
              <w:top w:w="90" w:type="dxa"/>
              <w:left w:w="120" w:type="dxa"/>
              <w:bottom w:w="90" w:type="dxa"/>
              <w:right w:w="120" w:type="dxa"/>
            </w:tcMar>
            <w:vAlign w:val="center"/>
          </w:tcPr>
          <w:p w14:paraId="123509AC" w14:textId="77777777" w:rsidR="00455809" w:rsidRDefault="00000000">
            <w:pPr>
              <w:spacing w:after="20" w:line="252" w:lineRule="auto"/>
            </w:pPr>
            <w:r>
              <w:rPr>
                <w:b/>
                <w:color w:val="0B2545"/>
                <w:sz w:val="19"/>
              </w:rPr>
              <w:t>endpointSelector</w:t>
            </w:r>
          </w:p>
        </w:tc>
        <w:tc>
          <w:tcPr>
            <w:tcW w:w="7060" w:type="dxa"/>
            <w:shd w:val="clear" w:color="auto" w:fill="FAFBFC"/>
            <w:tcMar>
              <w:top w:w="90" w:type="dxa"/>
              <w:left w:w="120" w:type="dxa"/>
              <w:bottom w:w="90" w:type="dxa"/>
              <w:right w:w="120" w:type="dxa"/>
            </w:tcMar>
            <w:vAlign w:val="center"/>
          </w:tcPr>
          <w:p w14:paraId="17C0BF43" w14:textId="77777777" w:rsidR="00455809" w:rsidRDefault="00000000">
            <w:pPr>
              <w:spacing w:after="20" w:line="252" w:lineRule="auto"/>
            </w:pPr>
            <w:r>
              <w:rPr>
                <w:sz w:val="19"/>
              </w:rPr>
              <w:t>Limits the allow policy to the request-coordinator workload rather than the whole namespace.</w:t>
            </w:r>
          </w:p>
        </w:tc>
      </w:tr>
      <w:tr w:rsidR="00455809" w14:paraId="15C88D03" w14:textId="77777777">
        <w:trPr>
          <w:cantSplit/>
        </w:trPr>
        <w:tc>
          <w:tcPr>
            <w:tcW w:w="2300" w:type="dxa"/>
            <w:tcMar>
              <w:top w:w="90" w:type="dxa"/>
              <w:left w:w="120" w:type="dxa"/>
              <w:bottom w:w="90" w:type="dxa"/>
              <w:right w:w="120" w:type="dxa"/>
            </w:tcMar>
            <w:vAlign w:val="center"/>
          </w:tcPr>
          <w:p w14:paraId="49C9C196" w14:textId="77777777" w:rsidR="00455809" w:rsidRDefault="00000000">
            <w:pPr>
              <w:spacing w:after="20" w:line="252" w:lineRule="auto"/>
            </w:pPr>
            <w:r>
              <w:rPr>
                <w:b/>
                <w:color w:val="0B2545"/>
                <w:sz w:val="19"/>
              </w:rPr>
              <w:t>toServices</w:t>
            </w:r>
          </w:p>
        </w:tc>
        <w:tc>
          <w:tcPr>
            <w:tcW w:w="7060" w:type="dxa"/>
            <w:tcMar>
              <w:top w:w="90" w:type="dxa"/>
              <w:left w:w="120" w:type="dxa"/>
              <w:bottom w:w="90" w:type="dxa"/>
              <w:right w:w="120" w:type="dxa"/>
            </w:tcMar>
            <w:vAlign w:val="center"/>
          </w:tcPr>
          <w:p w14:paraId="5C146737" w14:textId="77777777" w:rsidR="00455809" w:rsidRDefault="00000000">
            <w:pPr>
              <w:spacing w:after="20" w:line="252" w:lineRule="auto"/>
            </w:pPr>
            <w:r>
              <w:rPr>
                <w:sz w:val="19"/>
              </w:rPr>
              <w:t>References the resolved Kubernetes Service and lets Cilium track its backing endpoints.</w:t>
            </w:r>
          </w:p>
        </w:tc>
      </w:tr>
      <w:tr w:rsidR="00455809" w14:paraId="54EC7547" w14:textId="77777777">
        <w:trPr>
          <w:cantSplit/>
        </w:trPr>
        <w:tc>
          <w:tcPr>
            <w:tcW w:w="2300" w:type="dxa"/>
            <w:shd w:val="clear" w:color="auto" w:fill="FAFBFC"/>
            <w:tcMar>
              <w:top w:w="90" w:type="dxa"/>
              <w:left w:w="120" w:type="dxa"/>
              <w:bottom w:w="90" w:type="dxa"/>
              <w:right w:w="120" w:type="dxa"/>
            </w:tcMar>
            <w:vAlign w:val="center"/>
          </w:tcPr>
          <w:p w14:paraId="49D6725F" w14:textId="77777777" w:rsidR="00455809" w:rsidRDefault="00000000">
            <w:pPr>
              <w:spacing w:after="20" w:line="252" w:lineRule="auto"/>
            </w:pPr>
            <w:r>
              <w:rPr>
                <w:b/>
                <w:color w:val="0B2545"/>
                <w:sz w:val="19"/>
              </w:rPr>
              <w:t>port + protocol</w:t>
            </w:r>
          </w:p>
        </w:tc>
        <w:tc>
          <w:tcPr>
            <w:tcW w:w="7060" w:type="dxa"/>
            <w:shd w:val="clear" w:color="auto" w:fill="FAFBFC"/>
            <w:tcMar>
              <w:top w:w="90" w:type="dxa"/>
              <w:left w:w="120" w:type="dxa"/>
              <w:bottom w:w="90" w:type="dxa"/>
              <w:right w:w="120" w:type="dxa"/>
            </w:tcMar>
            <w:vAlign w:val="center"/>
          </w:tcPr>
          <w:p w14:paraId="42EE8EE3" w14:textId="77777777" w:rsidR="00455809" w:rsidRDefault="00000000">
            <w:pPr>
              <w:spacing w:after="20" w:line="252" w:lineRule="auto"/>
            </w:pPr>
            <w:r>
              <w:rPr>
                <w:sz w:val="19"/>
              </w:rPr>
              <w:t>Prevents an allowed destination from implying access to unrelated listeners.</w:t>
            </w:r>
          </w:p>
        </w:tc>
      </w:tr>
      <w:tr w:rsidR="00455809" w14:paraId="68D283C2" w14:textId="77777777">
        <w:trPr>
          <w:cantSplit/>
        </w:trPr>
        <w:tc>
          <w:tcPr>
            <w:tcW w:w="2300" w:type="dxa"/>
            <w:tcMar>
              <w:top w:w="90" w:type="dxa"/>
              <w:left w:w="120" w:type="dxa"/>
              <w:bottom w:w="90" w:type="dxa"/>
              <w:right w:w="120" w:type="dxa"/>
            </w:tcMar>
            <w:vAlign w:val="center"/>
          </w:tcPr>
          <w:p w14:paraId="0E5C0454" w14:textId="77777777" w:rsidR="00455809" w:rsidRDefault="00000000">
            <w:pPr>
              <w:spacing w:after="20" w:line="252" w:lineRule="auto"/>
            </w:pPr>
            <w:r>
              <w:rPr>
                <w:b/>
                <w:color w:val="0B2545"/>
                <w:sz w:val="19"/>
              </w:rPr>
              <w:t>HTTP method</w:t>
            </w:r>
          </w:p>
        </w:tc>
        <w:tc>
          <w:tcPr>
            <w:tcW w:w="7060" w:type="dxa"/>
            <w:tcMar>
              <w:top w:w="90" w:type="dxa"/>
              <w:left w:w="120" w:type="dxa"/>
              <w:bottom w:w="90" w:type="dxa"/>
              <w:right w:w="120" w:type="dxa"/>
            </w:tcMar>
            <w:vAlign w:val="center"/>
          </w:tcPr>
          <w:p w14:paraId="7B1ED4B1" w14:textId="77777777" w:rsidR="00455809" w:rsidRDefault="00000000">
            <w:pPr>
              <w:spacing w:after="20" w:line="252" w:lineRule="auto"/>
            </w:pPr>
            <w:r>
              <w:rPr>
                <w:sz w:val="19"/>
              </w:rPr>
              <w:t>Allows only the operations present in the Condition.</w:t>
            </w:r>
          </w:p>
        </w:tc>
      </w:tr>
      <w:tr w:rsidR="00455809" w14:paraId="5843EFC3" w14:textId="77777777">
        <w:trPr>
          <w:cantSplit/>
        </w:trPr>
        <w:tc>
          <w:tcPr>
            <w:tcW w:w="2300" w:type="dxa"/>
            <w:shd w:val="clear" w:color="auto" w:fill="FAFBFC"/>
            <w:tcMar>
              <w:top w:w="90" w:type="dxa"/>
              <w:left w:w="120" w:type="dxa"/>
              <w:bottom w:w="90" w:type="dxa"/>
              <w:right w:w="120" w:type="dxa"/>
            </w:tcMar>
            <w:vAlign w:val="center"/>
          </w:tcPr>
          <w:p w14:paraId="6F15943F" w14:textId="77777777" w:rsidR="00455809" w:rsidRDefault="00000000">
            <w:pPr>
              <w:spacing w:after="20" w:line="252" w:lineRule="auto"/>
            </w:pPr>
            <w:r>
              <w:rPr>
                <w:b/>
                <w:color w:val="0B2545"/>
                <w:sz w:val="19"/>
              </w:rPr>
              <w:t>Anchored path</w:t>
            </w:r>
          </w:p>
        </w:tc>
        <w:tc>
          <w:tcPr>
            <w:tcW w:w="7060" w:type="dxa"/>
            <w:shd w:val="clear" w:color="auto" w:fill="FAFBFC"/>
            <w:tcMar>
              <w:top w:w="90" w:type="dxa"/>
              <w:left w:w="120" w:type="dxa"/>
              <w:bottom w:w="90" w:type="dxa"/>
              <w:right w:w="120" w:type="dxa"/>
            </w:tcMar>
            <w:vAlign w:val="center"/>
          </w:tcPr>
          <w:p w14:paraId="29E52EDF" w14:textId="77777777" w:rsidR="00455809" w:rsidRDefault="00000000">
            <w:pPr>
              <w:spacing w:after="20" w:line="252" w:lineRule="auto"/>
            </w:pPr>
            <w:r>
              <w:rPr>
                <w:sz w:val="19"/>
              </w:rPr>
              <w:t>Converts an OpenAPI template to an enforceable regex without matching sibling routes.</w:t>
            </w:r>
          </w:p>
        </w:tc>
      </w:tr>
      <w:tr w:rsidR="00455809" w14:paraId="3D0B13D9" w14:textId="77777777">
        <w:trPr>
          <w:cantSplit/>
        </w:trPr>
        <w:tc>
          <w:tcPr>
            <w:tcW w:w="2300" w:type="dxa"/>
            <w:tcMar>
              <w:top w:w="90" w:type="dxa"/>
              <w:left w:w="120" w:type="dxa"/>
              <w:bottom w:w="90" w:type="dxa"/>
              <w:right w:w="120" w:type="dxa"/>
            </w:tcMar>
            <w:vAlign w:val="center"/>
          </w:tcPr>
          <w:p w14:paraId="4151E202" w14:textId="77777777" w:rsidR="00455809" w:rsidRDefault="00000000">
            <w:pPr>
              <w:spacing w:after="20" w:line="252" w:lineRule="auto"/>
            </w:pPr>
            <w:r>
              <w:rPr>
                <w:b/>
                <w:color w:val="0B2545"/>
                <w:sz w:val="19"/>
              </w:rPr>
              <w:t>Provenance annotation</w:t>
            </w:r>
          </w:p>
        </w:tc>
        <w:tc>
          <w:tcPr>
            <w:tcW w:w="7060" w:type="dxa"/>
            <w:tcMar>
              <w:top w:w="90" w:type="dxa"/>
              <w:left w:w="120" w:type="dxa"/>
              <w:bottom w:w="90" w:type="dxa"/>
              <w:right w:w="120" w:type="dxa"/>
            </w:tcMar>
            <w:vAlign w:val="center"/>
          </w:tcPr>
          <w:p w14:paraId="7D583C37" w14:textId="77777777" w:rsidR="00455809" w:rsidRDefault="00000000">
            <w:pPr>
              <w:spacing w:after="20" w:line="252" w:lineRule="auto"/>
            </w:pPr>
            <w:r>
              <w:rPr>
                <w:sz w:val="19"/>
              </w:rPr>
              <w:t>Connects generated policy to the profile that justified it.</w:t>
            </w:r>
          </w:p>
        </w:tc>
      </w:tr>
    </w:tbl>
    <w:p w14:paraId="6D054E10" w14:textId="77777777" w:rsidR="00455809" w:rsidRDefault="00455809">
      <w:pPr>
        <w:spacing w:after="40"/>
      </w:pPr>
    </w:p>
    <w:p w14:paraId="7F909AAB" w14:textId="77777777" w:rsidR="00455809" w:rsidRDefault="00000000">
      <w:pPr>
        <w:pStyle w:val="Heading2"/>
      </w:pPr>
      <w:r>
        <w:lastRenderedPageBreak/>
        <w:t>Path translation is a security decision</w:t>
      </w:r>
    </w:p>
    <w:p w14:paraId="698A90AC" w14:textId="77777777" w:rsidR="00455809" w:rsidRDefault="00000000">
      <w:r>
        <w:t>OpenAPI templates are not literal request paths. The adapter must transform each template segment deliberately—for example, {itemId} becomes one non-empty path segment—and anchor the result at both ends. A loose conversion such as /items/.*/availability could admit extra slashes or sibling resources. Unsupported templates should fail rather than degrade to a broader allow.</w:t>
      </w:r>
    </w:p>
    <w:tbl>
      <w:tblPr>
        <w:tblW w:w="9360" w:type="dxa"/>
        <w:tblInd w:w="120" w:type="dxa"/>
        <w:tblBorders>
          <w:top w:val="single" w:sz="8" w:space="0" w:color="C98720"/>
          <w:left w:val="single" w:sz="8" w:space="0" w:color="C98720"/>
          <w:bottom w:val="single" w:sz="8" w:space="0" w:color="C98720"/>
          <w:right w:val="single" w:sz="8" w:space="0" w:color="C98720"/>
        </w:tblBorders>
        <w:tblLayout w:type="fixed"/>
        <w:tblLook w:val="04A0" w:firstRow="1" w:lastRow="0" w:firstColumn="1" w:lastColumn="0" w:noHBand="0" w:noVBand="1"/>
      </w:tblPr>
      <w:tblGrid>
        <w:gridCol w:w="9360"/>
      </w:tblGrid>
      <w:tr w:rsidR="00455809" w14:paraId="528B7D51" w14:textId="77777777">
        <w:trPr>
          <w:cantSplit/>
        </w:trPr>
        <w:tc>
          <w:tcPr>
            <w:tcW w:w="9360" w:type="dxa"/>
            <w:shd w:val="clear" w:color="auto" w:fill="FFF7E8"/>
            <w:tcMar>
              <w:top w:w="130" w:type="dxa"/>
              <w:left w:w="180" w:type="dxa"/>
              <w:bottom w:w="130" w:type="dxa"/>
              <w:right w:w="180" w:type="dxa"/>
            </w:tcMar>
            <w:vAlign w:val="center"/>
          </w:tcPr>
          <w:p w14:paraId="03DD0EC0" w14:textId="77777777" w:rsidR="00455809" w:rsidRDefault="00000000">
            <w:pPr>
              <w:spacing w:after="40" w:line="259" w:lineRule="auto"/>
            </w:pPr>
            <w:r>
              <w:rPr>
                <w:b/>
                <w:color w:val="C98720"/>
                <w:sz w:val="18"/>
              </w:rPr>
              <w:t xml:space="preserve">POLICY COMPOSITION  </w:t>
            </w:r>
            <w:r>
              <w:rPr>
                <w:b/>
                <w:sz w:val="21"/>
              </w:rPr>
              <w:t>The baseline egress policy creates isolation and allows DNS. The generated policy adds only the workload-specific provider access. Both policies must select the coordinator for the before/after proof to be valid.</w:t>
            </w:r>
          </w:p>
        </w:tc>
      </w:tr>
    </w:tbl>
    <w:p w14:paraId="4C5374A7" w14:textId="77777777" w:rsidR="00455809" w:rsidRDefault="00455809">
      <w:pPr>
        <w:spacing w:after="80"/>
      </w:pPr>
    </w:p>
    <w:p w14:paraId="38AEF78C" w14:textId="77777777" w:rsidR="00455809" w:rsidRDefault="00000000">
      <w:pPr>
        <w:keepNext/>
        <w:spacing w:after="60"/>
      </w:pPr>
      <w:r>
        <w:rPr>
          <w:b/>
          <w:color w:val="178F8B"/>
          <w:sz w:val="20"/>
        </w:rPr>
        <w:t>07 · EXPERIENCE</w:t>
      </w:r>
    </w:p>
    <w:p w14:paraId="2B5B7746" w14:textId="77777777" w:rsidR="00455809" w:rsidRDefault="00000000">
      <w:pPr>
        <w:pStyle w:val="Heading1"/>
        <w:spacing w:before="0"/>
      </w:pPr>
      <w:r>
        <w:t>What a reviewer should see in the demo</w:t>
      </w:r>
    </w:p>
    <w:p w14:paraId="6EFB81DB" w14:textId="77777777" w:rsidR="00455809" w:rsidRDefault="00000000">
      <w:pPr>
        <w:spacing w:after="240" w:line="269" w:lineRule="auto"/>
      </w:pPr>
      <w:r>
        <w:rPr>
          <w:color w:val="536273"/>
          <w:sz w:val="25"/>
        </w:rPr>
        <w:t>The demonstration is a sequence of observable claims, not just a successful apply.</w:t>
      </w:r>
    </w:p>
    <w:p w14:paraId="41B1AF10" w14:textId="77777777" w:rsidR="00455809" w:rsidRDefault="00000000">
      <w:pPr>
        <w:numPr>
          <w:ilvl w:val="0"/>
          <w:numId w:val="2"/>
        </w:numPr>
      </w:pPr>
      <w:r>
        <w:rPr>
          <w:b/>
        </w:rPr>
        <w:t>Start the prepared environment.</w:t>
      </w:r>
      <w:r>
        <w:t xml:space="preserve"> KinD, Cilium, Backstage, the application, providers, and backing services become healthy from version-pinned manifests and scripts.</w:t>
      </w:r>
    </w:p>
    <w:p w14:paraId="5895C011" w14:textId="77777777" w:rsidR="00455809" w:rsidRDefault="00000000">
      <w:pPr>
        <w:numPr>
          <w:ilvl w:val="0"/>
          <w:numId w:val="2"/>
        </w:numPr>
      </w:pPr>
      <w:r>
        <w:rPr>
          <w:b/>
        </w:rPr>
        <w:t>Confirm the blocked baseline.</w:t>
      </w:r>
      <w:r>
        <w:t xml:space="preserve"> DNS resolution succeeds, but the coordinator's provider calls time out or are denied because no workload-specific allow exists.</w:t>
      </w:r>
    </w:p>
    <w:p w14:paraId="03F6426B" w14:textId="77777777" w:rsidR="00455809" w:rsidRDefault="00000000">
      <w:pPr>
        <w:numPr>
          <w:ilvl w:val="0"/>
          <w:numId w:val="2"/>
        </w:numPr>
      </w:pPr>
      <w:r>
        <w:rPr>
          <w:b/>
        </w:rPr>
        <w:t>Inspect demand and supply separately.</w:t>
      </w:r>
      <w:r>
        <w:t xml:space="preserve"> The profile shows required operations; Backstage shows OpenAPI contracts and provider Components; Kubernetes shows actual Service names.</w:t>
      </w:r>
    </w:p>
    <w:p w14:paraId="195EA81D" w14:textId="23B2B4B1" w:rsidR="00455809" w:rsidRDefault="00000000">
      <w:pPr>
        <w:numPr>
          <w:ilvl w:val="0"/>
          <w:numId w:val="2"/>
        </w:numPr>
      </w:pPr>
      <w:r>
        <w:rPr>
          <w:b/>
        </w:rPr>
        <w:t>Run the contributor-built adapter.</w:t>
      </w:r>
      <w:r>
        <w:t xml:space="preserve"> The </w:t>
      </w:r>
      <w:r w:rsidR="00C34B8B">
        <w:t>platform adapter</w:t>
      </w:r>
      <w:r>
        <w:t xml:space="preserve"> reports each resolution hop and </w:t>
      </w:r>
      <w:r w:rsidR="00C34B8B">
        <w:t>applies</w:t>
      </w:r>
      <w:r>
        <w:t xml:space="preserve"> deterministic policy YAML </w:t>
      </w:r>
      <w:r w:rsidR="00C34B8B">
        <w:t>to</w:t>
      </w:r>
      <w:r>
        <w:t xml:space="preserve"> the cluster.</w:t>
      </w:r>
    </w:p>
    <w:p w14:paraId="5F641E93" w14:textId="7A0DA4A1" w:rsidR="00455809" w:rsidRDefault="00000000">
      <w:pPr>
        <w:numPr>
          <w:ilvl w:val="0"/>
          <w:numId w:val="2"/>
        </w:numPr>
      </w:pPr>
      <w:r>
        <w:rPr>
          <w:b/>
        </w:rPr>
        <w:t>Review the policy.</w:t>
      </w:r>
      <w:r>
        <w:t xml:space="preserve"> A human can </w:t>
      </w:r>
      <w:r w:rsidR="00C34B8B">
        <w:t xml:space="preserve">review the policy YAML to </w:t>
      </w:r>
      <w:r>
        <w:t>see exactly which workload, Services, ports, methods, and paths will be authorized.</w:t>
      </w:r>
    </w:p>
    <w:p w14:paraId="1EF5D687" w14:textId="77777777" w:rsidR="00455809" w:rsidRDefault="00000000">
      <w:pPr>
        <w:numPr>
          <w:ilvl w:val="0"/>
          <w:numId w:val="2"/>
        </w:numPr>
      </w:pPr>
      <w:r>
        <w:rPr>
          <w:b/>
        </w:rPr>
        <w:t>Prove least privilege.</w:t>
      </w:r>
      <w:r>
        <w:t xml:space="preserve"> The intended workflow succeeds. Calls to the donor directory, the inventory admin endpoint, undeclared methods, and unrelated ports remain blocked.</w:t>
      </w:r>
    </w:p>
    <w:p w14:paraId="5833CCD0" w14:textId="77777777" w:rsidR="00455809" w:rsidRDefault="00000000">
      <w:pPr>
        <w:pStyle w:val="Heading2"/>
      </w:pPr>
      <w:r>
        <w:t>Acceptance matrix</w:t>
      </w:r>
    </w:p>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2550"/>
        <w:gridCol w:w="2400"/>
        <w:gridCol w:w="4410"/>
      </w:tblGrid>
      <w:tr w:rsidR="00455809" w14:paraId="60D84251" w14:textId="77777777">
        <w:trPr>
          <w:cantSplit/>
          <w:tblHeader/>
        </w:trPr>
        <w:tc>
          <w:tcPr>
            <w:tcW w:w="2550" w:type="dxa"/>
            <w:shd w:val="clear" w:color="auto" w:fill="0B2545"/>
            <w:tcMar>
              <w:top w:w="90" w:type="dxa"/>
              <w:left w:w="120" w:type="dxa"/>
              <w:bottom w:w="90" w:type="dxa"/>
              <w:right w:w="120" w:type="dxa"/>
            </w:tcMar>
            <w:vAlign w:val="center"/>
          </w:tcPr>
          <w:p w14:paraId="5645243F" w14:textId="77777777" w:rsidR="00455809" w:rsidRDefault="00000000">
            <w:pPr>
              <w:spacing w:after="0"/>
            </w:pPr>
            <w:r>
              <w:rPr>
                <w:b/>
                <w:color w:val="FFFFFF"/>
                <w:sz w:val="18"/>
              </w:rPr>
              <w:t>Check</w:t>
            </w:r>
          </w:p>
        </w:tc>
        <w:tc>
          <w:tcPr>
            <w:tcW w:w="2400" w:type="dxa"/>
            <w:shd w:val="clear" w:color="auto" w:fill="0B2545"/>
            <w:tcMar>
              <w:top w:w="90" w:type="dxa"/>
              <w:left w:w="120" w:type="dxa"/>
              <w:bottom w:w="90" w:type="dxa"/>
              <w:right w:w="120" w:type="dxa"/>
            </w:tcMar>
            <w:vAlign w:val="center"/>
          </w:tcPr>
          <w:p w14:paraId="358C792D" w14:textId="77777777" w:rsidR="00455809" w:rsidRDefault="00000000">
            <w:pPr>
              <w:spacing w:after="0"/>
            </w:pPr>
            <w:r>
              <w:rPr>
                <w:b/>
                <w:color w:val="FFFFFF"/>
                <w:sz w:val="18"/>
              </w:rPr>
              <w:t>Expected result</w:t>
            </w:r>
          </w:p>
        </w:tc>
        <w:tc>
          <w:tcPr>
            <w:tcW w:w="4410" w:type="dxa"/>
            <w:shd w:val="clear" w:color="auto" w:fill="0B2545"/>
            <w:tcMar>
              <w:top w:w="90" w:type="dxa"/>
              <w:left w:w="120" w:type="dxa"/>
              <w:bottom w:w="90" w:type="dxa"/>
              <w:right w:w="120" w:type="dxa"/>
            </w:tcMar>
            <w:vAlign w:val="center"/>
          </w:tcPr>
          <w:p w14:paraId="69118997" w14:textId="77777777" w:rsidR="00455809" w:rsidRDefault="00000000">
            <w:pPr>
              <w:spacing w:after="0"/>
            </w:pPr>
            <w:r>
              <w:rPr>
                <w:b/>
                <w:color w:val="FFFFFF"/>
                <w:sz w:val="18"/>
              </w:rPr>
              <w:t>What it proves</w:t>
            </w:r>
          </w:p>
        </w:tc>
      </w:tr>
      <w:tr w:rsidR="00455809" w14:paraId="19BE5EF0" w14:textId="77777777">
        <w:trPr>
          <w:cantSplit/>
        </w:trPr>
        <w:tc>
          <w:tcPr>
            <w:tcW w:w="2550" w:type="dxa"/>
            <w:tcMar>
              <w:top w:w="90" w:type="dxa"/>
              <w:left w:w="120" w:type="dxa"/>
              <w:bottom w:w="90" w:type="dxa"/>
              <w:right w:w="120" w:type="dxa"/>
            </w:tcMar>
            <w:vAlign w:val="center"/>
          </w:tcPr>
          <w:p w14:paraId="6374FCCF" w14:textId="77777777" w:rsidR="00455809" w:rsidRDefault="00000000">
            <w:pPr>
              <w:spacing w:after="20" w:line="250" w:lineRule="auto"/>
            </w:pPr>
            <w:r>
              <w:rPr>
                <w:b/>
                <w:color w:val="0B2545"/>
                <w:sz w:val="17"/>
              </w:rPr>
              <w:t>Baseline workflow</w:t>
            </w:r>
          </w:p>
        </w:tc>
        <w:tc>
          <w:tcPr>
            <w:tcW w:w="2400" w:type="dxa"/>
            <w:tcMar>
              <w:top w:w="90" w:type="dxa"/>
              <w:left w:w="120" w:type="dxa"/>
              <w:bottom w:w="90" w:type="dxa"/>
              <w:right w:w="120" w:type="dxa"/>
            </w:tcMar>
            <w:vAlign w:val="center"/>
          </w:tcPr>
          <w:p w14:paraId="1A1373CF" w14:textId="77777777" w:rsidR="00455809" w:rsidRDefault="00000000">
            <w:pPr>
              <w:spacing w:after="20" w:line="250" w:lineRule="auto"/>
            </w:pPr>
            <w:r>
              <w:rPr>
                <w:sz w:val="17"/>
              </w:rPr>
              <w:t>Blocked</w:t>
            </w:r>
          </w:p>
        </w:tc>
        <w:tc>
          <w:tcPr>
            <w:tcW w:w="4410" w:type="dxa"/>
            <w:tcMar>
              <w:top w:w="90" w:type="dxa"/>
              <w:left w:w="120" w:type="dxa"/>
              <w:bottom w:w="90" w:type="dxa"/>
              <w:right w:w="120" w:type="dxa"/>
            </w:tcMar>
            <w:vAlign w:val="center"/>
          </w:tcPr>
          <w:p w14:paraId="774E812C" w14:textId="77777777" w:rsidR="00455809" w:rsidRDefault="00000000">
            <w:pPr>
              <w:spacing w:after="20" w:line="250" w:lineRule="auto"/>
            </w:pPr>
            <w:r>
              <w:rPr>
                <w:sz w:val="17"/>
              </w:rPr>
              <w:t>Isolation exists before generated fulfillment</w:t>
            </w:r>
          </w:p>
        </w:tc>
      </w:tr>
      <w:tr w:rsidR="00455809" w14:paraId="535E6E4B" w14:textId="77777777">
        <w:trPr>
          <w:cantSplit/>
        </w:trPr>
        <w:tc>
          <w:tcPr>
            <w:tcW w:w="2550" w:type="dxa"/>
            <w:shd w:val="clear" w:color="auto" w:fill="FAFBFC"/>
            <w:tcMar>
              <w:top w:w="90" w:type="dxa"/>
              <w:left w:w="120" w:type="dxa"/>
              <w:bottom w:w="90" w:type="dxa"/>
              <w:right w:w="120" w:type="dxa"/>
            </w:tcMar>
            <w:vAlign w:val="center"/>
          </w:tcPr>
          <w:p w14:paraId="374CCA85" w14:textId="77777777" w:rsidR="00455809" w:rsidRDefault="00000000">
            <w:pPr>
              <w:spacing w:after="20" w:line="250" w:lineRule="auto"/>
            </w:pPr>
            <w:r>
              <w:rPr>
                <w:b/>
                <w:color w:val="0B2545"/>
                <w:sz w:val="17"/>
              </w:rPr>
              <w:t>Declared inventory GET</w:t>
            </w:r>
          </w:p>
        </w:tc>
        <w:tc>
          <w:tcPr>
            <w:tcW w:w="2400" w:type="dxa"/>
            <w:shd w:val="clear" w:color="auto" w:fill="FAFBFC"/>
            <w:tcMar>
              <w:top w:w="90" w:type="dxa"/>
              <w:left w:w="120" w:type="dxa"/>
              <w:bottom w:w="90" w:type="dxa"/>
              <w:right w:w="120" w:type="dxa"/>
            </w:tcMar>
            <w:vAlign w:val="center"/>
          </w:tcPr>
          <w:p w14:paraId="1802260A" w14:textId="77777777" w:rsidR="00455809" w:rsidRDefault="00000000">
            <w:pPr>
              <w:spacing w:after="20" w:line="250" w:lineRule="auto"/>
            </w:pPr>
            <w:r>
              <w:rPr>
                <w:sz w:val="17"/>
              </w:rPr>
              <w:t>Allowed</w:t>
            </w:r>
          </w:p>
        </w:tc>
        <w:tc>
          <w:tcPr>
            <w:tcW w:w="4410" w:type="dxa"/>
            <w:shd w:val="clear" w:color="auto" w:fill="FAFBFC"/>
            <w:tcMar>
              <w:top w:w="90" w:type="dxa"/>
              <w:left w:w="120" w:type="dxa"/>
              <w:bottom w:w="90" w:type="dxa"/>
              <w:right w:w="120" w:type="dxa"/>
            </w:tcMar>
            <w:vAlign w:val="center"/>
          </w:tcPr>
          <w:p w14:paraId="2579F951" w14:textId="77777777" w:rsidR="00455809" w:rsidRDefault="00000000">
            <w:pPr>
              <w:spacing w:after="20" w:line="250" w:lineRule="auto"/>
            </w:pPr>
            <w:r>
              <w:rPr>
                <w:sz w:val="17"/>
              </w:rPr>
              <w:t>Capability matched and rendered correctly</w:t>
            </w:r>
          </w:p>
        </w:tc>
      </w:tr>
      <w:tr w:rsidR="00455809" w14:paraId="1B9C5DA9" w14:textId="77777777">
        <w:trPr>
          <w:cantSplit/>
        </w:trPr>
        <w:tc>
          <w:tcPr>
            <w:tcW w:w="2550" w:type="dxa"/>
            <w:tcMar>
              <w:top w:w="90" w:type="dxa"/>
              <w:left w:w="120" w:type="dxa"/>
              <w:bottom w:w="90" w:type="dxa"/>
              <w:right w:w="120" w:type="dxa"/>
            </w:tcMar>
            <w:vAlign w:val="center"/>
          </w:tcPr>
          <w:p w14:paraId="68BA133A" w14:textId="77777777" w:rsidR="00455809" w:rsidRDefault="00000000">
            <w:pPr>
              <w:spacing w:after="20" w:line="250" w:lineRule="auto"/>
            </w:pPr>
            <w:r>
              <w:rPr>
                <w:b/>
                <w:color w:val="0B2545"/>
                <w:sz w:val="17"/>
              </w:rPr>
              <w:t>Declared reservation POST</w:t>
            </w:r>
          </w:p>
        </w:tc>
        <w:tc>
          <w:tcPr>
            <w:tcW w:w="2400" w:type="dxa"/>
            <w:tcMar>
              <w:top w:w="90" w:type="dxa"/>
              <w:left w:w="120" w:type="dxa"/>
              <w:bottom w:w="90" w:type="dxa"/>
              <w:right w:w="120" w:type="dxa"/>
            </w:tcMar>
            <w:vAlign w:val="center"/>
          </w:tcPr>
          <w:p w14:paraId="45808C0F" w14:textId="77777777" w:rsidR="00455809" w:rsidRDefault="00000000">
            <w:pPr>
              <w:spacing w:after="20" w:line="250" w:lineRule="auto"/>
            </w:pPr>
            <w:r>
              <w:rPr>
                <w:sz w:val="17"/>
              </w:rPr>
              <w:t>Allowed</w:t>
            </w:r>
          </w:p>
        </w:tc>
        <w:tc>
          <w:tcPr>
            <w:tcW w:w="4410" w:type="dxa"/>
            <w:tcMar>
              <w:top w:w="90" w:type="dxa"/>
              <w:left w:w="120" w:type="dxa"/>
              <w:bottom w:w="90" w:type="dxa"/>
              <w:right w:w="120" w:type="dxa"/>
            </w:tcMar>
            <w:vAlign w:val="center"/>
          </w:tcPr>
          <w:p w14:paraId="6F89FC2E" w14:textId="77777777" w:rsidR="00455809" w:rsidRDefault="00000000">
            <w:pPr>
              <w:spacing w:after="20" w:line="250" w:lineRule="auto"/>
            </w:pPr>
            <w:r>
              <w:rPr>
                <w:sz w:val="17"/>
              </w:rPr>
              <w:t>Multiple operations can share one provider rule</w:t>
            </w:r>
          </w:p>
        </w:tc>
      </w:tr>
      <w:tr w:rsidR="00455809" w14:paraId="77426DE7" w14:textId="77777777">
        <w:trPr>
          <w:cantSplit/>
        </w:trPr>
        <w:tc>
          <w:tcPr>
            <w:tcW w:w="2550" w:type="dxa"/>
            <w:shd w:val="clear" w:color="auto" w:fill="FAFBFC"/>
            <w:tcMar>
              <w:top w:w="90" w:type="dxa"/>
              <w:left w:w="120" w:type="dxa"/>
              <w:bottom w:w="90" w:type="dxa"/>
              <w:right w:w="120" w:type="dxa"/>
            </w:tcMar>
            <w:vAlign w:val="center"/>
          </w:tcPr>
          <w:p w14:paraId="58C1D3EA" w14:textId="77777777" w:rsidR="00455809" w:rsidRDefault="00000000">
            <w:pPr>
              <w:spacing w:after="20" w:line="250" w:lineRule="auto"/>
            </w:pPr>
            <w:r>
              <w:rPr>
                <w:b/>
                <w:color w:val="0B2545"/>
                <w:sz w:val="17"/>
              </w:rPr>
              <w:t>Declared fulfillment POST</w:t>
            </w:r>
          </w:p>
        </w:tc>
        <w:tc>
          <w:tcPr>
            <w:tcW w:w="2400" w:type="dxa"/>
            <w:shd w:val="clear" w:color="auto" w:fill="FAFBFC"/>
            <w:tcMar>
              <w:top w:w="90" w:type="dxa"/>
              <w:left w:w="120" w:type="dxa"/>
              <w:bottom w:w="90" w:type="dxa"/>
              <w:right w:w="120" w:type="dxa"/>
            </w:tcMar>
            <w:vAlign w:val="center"/>
          </w:tcPr>
          <w:p w14:paraId="1EEBA8B4" w14:textId="77777777" w:rsidR="00455809" w:rsidRDefault="00000000">
            <w:pPr>
              <w:spacing w:after="20" w:line="250" w:lineRule="auto"/>
            </w:pPr>
            <w:r>
              <w:rPr>
                <w:sz w:val="17"/>
              </w:rPr>
              <w:t>Allowed</w:t>
            </w:r>
          </w:p>
        </w:tc>
        <w:tc>
          <w:tcPr>
            <w:tcW w:w="4410" w:type="dxa"/>
            <w:shd w:val="clear" w:color="auto" w:fill="FAFBFC"/>
            <w:tcMar>
              <w:top w:w="90" w:type="dxa"/>
              <w:left w:w="120" w:type="dxa"/>
              <w:bottom w:w="90" w:type="dxa"/>
              <w:right w:w="120" w:type="dxa"/>
            </w:tcMar>
            <w:vAlign w:val="center"/>
          </w:tcPr>
          <w:p w14:paraId="51B3BC0F" w14:textId="77777777" w:rsidR="00455809" w:rsidRDefault="00000000">
            <w:pPr>
              <w:spacing w:after="20" w:line="250" w:lineRule="auto"/>
            </w:pPr>
            <w:r>
              <w:rPr>
                <w:sz w:val="17"/>
              </w:rPr>
              <w:t>Multiple providers resolve independently</w:t>
            </w:r>
          </w:p>
        </w:tc>
      </w:tr>
      <w:tr w:rsidR="00455809" w14:paraId="5B10EF70" w14:textId="77777777">
        <w:trPr>
          <w:cantSplit/>
        </w:trPr>
        <w:tc>
          <w:tcPr>
            <w:tcW w:w="2550" w:type="dxa"/>
            <w:tcMar>
              <w:top w:w="90" w:type="dxa"/>
              <w:left w:w="120" w:type="dxa"/>
              <w:bottom w:w="90" w:type="dxa"/>
              <w:right w:w="120" w:type="dxa"/>
            </w:tcMar>
            <w:vAlign w:val="center"/>
          </w:tcPr>
          <w:p w14:paraId="4A7F2AAF" w14:textId="77777777" w:rsidR="00455809" w:rsidRDefault="00000000">
            <w:pPr>
              <w:spacing w:after="20" w:line="250" w:lineRule="auto"/>
            </w:pPr>
            <w:r>
              <w:rPr>
                <w:b/>
                <w:color w:val="0B2545"/>
                <w:sz w:val="17"/>
              </w:rPr>
              <w:lastRenderedPageBreak/>
              <w:t>Inventory admin POST</w:t>
            </w:r>
          </w:p>
        </w:tc>
        <w:tc>
          <w:tcPr>
            <w:tcW w:w="2400" w:type="dxa"/>
            <w:tcMar>
              <w:top w:w="90" w:type="dxa"/>
              <w:left w:w="120" w:type="dxa"/>
              <w:bottom w:w="90" w:type="dxa"/>
              <w:right w:w="120" w:type="dxa"/>
            </w:tcMar>
            <w:vAlign w:val="center"/>
          </w:tcPr>
          <w:p w14:paraId="0B95477B" w14:textId="77777777" w:rsidR="00455809" w:rsidRDefault="00000000">
            <w:pPr>
              <w:spacing w:after="20" w:line="250" w:lineRule="auto"/>
            </w:pPr>
            <w:r>
              <w:rPr>
                <w:sz w:val="17"/>
              </w:rPr>
              <w:t>Blocked</w:t>
            </w:r>
          </w:p>
        </w:tc>
        <w:tc>
          <w:tcPr>
            <w:tcW w:w="4410" w:type="dxa"/>
            <w:tcMar>
              <w:top w:w="90" w:type="dxa"/>
              <w:left w:w="120" w:type="dxa"/>
              <w:bottom w:w="90" w:type="dxa"/>
              <w:right w:w="120" w:type="dxa"/>
            </w:tcMar>
            <w:vAlign w:val="center"/>
          </w:tcPr>
          <w:p w14:paraId="78E3ED3B" w14:textId="77777777" w:rsidR="00455809" w:rsidRDefault="00000000">
            <w:pPr>
              <w:spacing w:after="20" w:line="250" w:lineRule="auto"/>
            </w:pPr>
            <w:r>
              <w:rPr>
                <w:sz w:val="17"/>
              </w:rPr>
              <w:t>Path scope is least privilege</w:t>
            </w:r>
          </w:p>
        </w:tc>
      </w:tr>
      <w:tr w:rsidR="00455809" w14:paraId="11193313" w14:textId="77777777">
        <w:trPr>
          <w:cantSplit/>
        </w:trPr>
        <w:tc>
          <w:tcPr>
            <w:tcW w:w="2550" w:type="dxa"/>
            <w:shd w:val="clear" w:color="auto" w:fill="FAFBFC"/>
            <w:tcMar>
              <w:top w:w="90" w:type="dxa"/>
              <w:left w:w="120" w:type="dxa"/>
              <w:bottom w:w="90" w:type="dxa"/>
              <w:right w:w="120" w:type="dxa"/>
            </w:tcMar>
            <w:vAlign w:val="center"/>
          </w:tcPr>
          <w:p w14:paraId="33BE7108" w14:textId="77777777" w:rsidR="00455809" w:rsidRDefault="00000000">
            <w:pPr>
              <w:spacing w:after="20" w:line="250" w:lineRule="auto"/>
            </w:pPr>
            <w:r>
              <w:rPr>
                <w:b/>
                <w:color w:val="0B2545"/>
                <w:sz w:val="17"/>
              </w:rPr>
              <w:t>DELETE on reservations</w:t>
            </w:r>
          </w:p>
        </w:tc>
        <w:tc>
          <w:tcPr>
            <w:tcW w:w="2400" w:type="dxa"/>
            <w:shd w:val="clear" w:color="auto" w:fill="FAFBFC"/>
            <w:tcMar>
              <w:top w:w="90" w:type="dxa"/>
              <w:left w:w="120" w:type="dxa"/>
              <w:bottom w:w="90" w:type="dxa"/>
              <w:right w:w="120" w:type="dxa"/>
            </w:tcMar>
            <w:vAlign w:val="center"/>
          </w:tcPr>
          <w:p w14:paraId="2C03157A" w14:textId="77777777" w:rsidR="00455809" w:rsidRDefault="00000000">
            <w:pPr>
              <w:spacing w:after="20" w:line="250" w:lineRule="auto"/>
            </w:pPr>
            <w:r>
              <w:rPr>
                <w:sz w:val="17"/>
              </w:rPr>
              <w:t>Blocked</w:t>
            </w:r>
          </w:p>
        </w:tc>
        <w:tc>
          <w:tcPr>
            <w:tcW w:w="4410" w:type="dxa"/>
            <w:shd w:val="clear" w:color="auto" w:fill="FAFBFC"/>
            <w:tcMar>
              <w:top w:w="90" w:type="dxa"/>
              <w:left w:w="120" w:type="dxa"/>
              <w:bottom w:w="90" w:type="dxa"/>
              <w:right w:w="120" w:type="dxa"/>
            </w:tcMar>
            <w:vAlign w:val="center"/>
          </w:tcPr>
          <w:p w14:paraId="0D5BAD6F" w14:textId="77777777" w:rsidR="00455809" w:rsidRDefault="00000000">
            <w:pPr>
              <w:spacing w:after="20" w:line="250" w:lineRule="auto"/>
            </w:pPr>
            <w:r>
              <w:rPr>
                <w:sz w:val="17"/>
              </w:rPr>
              <w:t>Method scope is least privilege</w:t>
            </w:r>
          </w:p>
        </w:tc>
      </w:tr>
      <w:tr w:rsidR="00455809" w14:paraId="29A7F318" w14:textId="77777777">
        <w:trPr>
          <w:cantSplit/>
        </w:trPr>
        <w:tc>
          <w:tcPr>
            <w:tcW w:w="2550" w:type="dxa"/>
            <w:tcMar>
              <w:top w:w="90" w:type="dxa"/>
              <w:left w:w="120" w:type="dxa"/>
              <w:bottom w:w="90" w:type="dxa"/>
              <w:right w:w="120" w:type="dxa"/>
            </w:tcMar>
            <w:vAlign w:val="center"/>
          </w:tcPr>
          <w:p w14:paraId="0EC918C7" w14:textId="77777777" w:rsidR="00455809" w:rsidRDefault="00000000">
            <w:pPr>
              <w:spacing w:after="20" w:line="250" w:lineRule="auto"/>
            </w:pPr>
            <w:r>
              <w:rPr>
                <w:b/>
                <w:color w:val="0B2545"/>
                <w:sz w:val="17"/>
              </w:rPr>
              <w:t>Donor directory call</w:t>
            </w:r>
          </w:p>
        </w:tc>
        <w:tc>
          <w:tcPr>
            <w:tcW w:w="2400" w:type="dxa"/>
            <w:tcMar>
              <w:top w:w="90" w:type="dxa"/>
              <w:left w:w="120" w:type="dxa"/>
              <w:bottom w:w="90" w:type="dxa"/>
              <w:right w:w="120" w:type="dxa"/>
            </w:tcMar>
            <w:vAlign w:val="center"/>
          </w:tcPr>
          <w:p w14:paraId="53C83899" w14:textId="77777777" w:rsidR="00455809" w:rsidRDefault="00000000">
            <w:pPr>
              <w:spacing w:after="20" w:line="250" w:lineRule="auto"/>
            </w:pPr>
            <w:r>
              <w:rPr>
                <w:sz w:val="17"/>
              </w:rPr>
              <w:t>Blocked</w:t>
            </w:r>
          </w:p>
        </w:tc>
        <w:tc>
          <w:tcPr>
            <w:tcW w:w="4410" w:type="dxa"/>
            <w:tcMar>
              <w:top w:w="90" w:type="dxa"/>
              <w:left w:w="120" w:type="dxa"/>
              <w:bottom w:w="90" w:type="dxa"/>
              <w:right w:w="120" w:type="dxa"/>
            </w:tcMar>
            <w:vAlign w:val="center"/>
          </w:tcPr>
          <w:p w14:paraId="43302929" w14:textId="77777777" w:rsidR="00455809" w:rsidRDefault="00000000">
            <w:pPr>
              <w:spacing w:after="20" w:line="250" w:lineRule="auto"/>
            </w:pPr>
            <w:r>
              <w:rPr>
                <w:sz w:val="17"/>
              </w:rPr>
              <w:t>Catalog decoys do not gain access</w:t>
            </w:r>
          </w:p>
        </w:tc>
      </w:tr>
      <w:tr w:rsidR="00455809" w14:paraId="735255D3" w14:textId="77777777">
        <w:trPr>
          <w:cantSplit/>
        </w:trPr>
        <w:tc>
          <w:tcPr>
            <w:tcW w:w="2550" w:type="dxa"/>
            <w:shd w:val="clear" w:color="auto" w:fill="FAFBFC"/>
            <w:tcMar>
              <w:top w:w="90" w:type="dxa"/>
              <w:left w:w="120" w:type="dxa"/>
              <w:bottom w:w="90" w:type="dxa"/>
              <w:right w:w="120" w:type="dxa"/>
            </w:tcMar>
            <w:vAlign w:val="center"/>
          </w:tcPr>
          <w:p w14:paraId="2B25BA75" w14:textId="77777777" w:rsidR="00455809" w:rsidRDefault="00000000">
            <w:pPr>
              <w:spacing w:after="20" w:line="250" w:lineRule="auto"/>
            </w:pPr>
            <w:r>
              <w:rPr>
                <w:b/>
                <w:color w:val="0B2545"/>
                <w:sz w:val="17"/>
              </w:rPr>
              <w:t>Condition renamed</w:t>
            </w:r>
          </w:p>
        </w:tc>
        <w:tc>
          <w:tcPr>
            <w:tcW w:w="2400" w:type="dxa"/>
            <w:shd w:val="clear" w:color="auto" w:fill="FAFBFC"/>
            <w:tcMar>
              <w:top w:w="90" w:type="dxa"/>
              <w:left w:w="120" w:type="dxa"/>
              <w:bottom w:w="90" w:type="dxa"/>
              <w:right w:w="120" w:type="dxa"/>
            </w:tcMar>
            <w:vAlign w:val="center"/>
          </w:tcPr>
          <w:p w14:paraId="616EF311" w14:textId="77777777" w:rsidR="00455809" w:rsidRDefault="00000000">
            <w:pPr>
              <w:spacing w:after="20" w:line="250" w:lineRule="auto"/>
            </w:pPr>
            <w:r>
              <w:rPr>
                <w:sz w:val="17"/>
              </w:rPr>
              <w:t>Same provider selected</w:t>
            </w:r>
          </w:p>
        </w:tc>
        <w:tc>
          <w:tcPr>
            <w:tcW w:w="4410" w:type="dxa"/>
            <w:shd w:val="clear" w:color="auto" w:fill="FAFBFC"/>
            <w:tcMar>
              <w:top w:w="90" w:type="dxa"/>
              <w:left w:w="120" w:type="dxa"/>
              <w:bottom w:w="90" w:type="dxa"/>
              <w:right w:w="120" w:type="dxa"/>
            </w:tcMar>
            <w:vAlign w:val="center"/>
          </w:tcPr>
          <w:p w14:paraId="786FC7D6" w14:textId="77777777" w:rsidR="00455809" w:rsidRDefault="00000000">
            <w:pPr>
              <w:spacing w:after="20" w:line="250" w:lineRule="auto"/>
            </w:pPr>
            <w:r>
              <w:rPr>
                <w:sz w:val="17"/>
              </w:rPr>
              <w:t>Names are not fulfillment identities</w:t>
            </w:r>
          </w:p>
        </w:tc>
      </w:tr>
      <w:tr w:rsidR="00455809" w14:paraId="29CE0C1B" w14:textId="77777777">
        <w:trPr>
          <w:cantSplit/>
        </w:trPr>
        <w:tc>
          <w:tcPr>
            <w:tcW w:w="2550" w:type="dxa"/>
            <w:tcMar>
              <w:top w:w="90" w:type="dxa"/>
              <w:left w:w="120" w:type="dxa"/>
              <w:bottom w:w="90" w:type="dxa"/>
              <w:right w:w="120" w:type="dxa"/>
            </w:tcMar>
            <w:vAlign w:val="center"/>
          </w:tcPr>
          <w:p w14:paraId="38B36DDF" w14:textId="77777777" w:rsidR="00455809" w:rsidRDefault="00000000">
            <w:pPr>
              <w:spacing w:after="20" w:line="250" w:lineRule="auto"/>
            </w:pPr>
            <w:r>
              <w:rPr>
                <w:b/>
                <w:color w:val="0B2545"/>
                <w:sz w:val="17"/>
              </w:rPr>
              <w:t>Second matching API added</w:t>
            </w:r>
          </w:p>
        </w:tc>
        <w:tc>
          <w:tcPr>
            <w:tcW w:w="2400" w:type="dxa"/>
            <w:tcMar>
              <w:top w:w="90" w:type="dxa"/>
              <w:left w:w="120" w:type="dxa"/>
              <w:bottom w:w="90" w:type="dxa"/>
              <w:right w:w="120" w:type="dxa"/>
            </w:tcMar>
            <w:vAlign w:val="center"/>
          </w:tcPr>
          <w:p w14:paraId="568AE558" w14:textId="77777777" w:rsidR="00455809" w:rsidRDefault="00000000">
            <w:pPr>
              <w:spacing w:after="20" w:line="250" w:lineRule="auto"/>
            </w:pPr>
            <w:r>
              <w:rPr>
                <w:sz w:val="17"/>
              </w:rPr>
              <w:t>Adapter errors</w:t>
            </w:r>
          </w:p>
        </w:tc>
        <w:tc>
          <w:tcPr>
            <w:tcW w:w="4410" w:type="dxa"/>
            <w:tcMar>
              <w:top w:w="90" w:type="dxa"/>
              <w:left w:w="120" w:type="dxa"/>
              <w:bottom w:w="90" w:type="dxa"/>
              <w:right w:w="120" w:type="dxa"/>
            </w:tcMar>
            <w:vAlign w:val="center"/>
          </w:tcPr>
          <w:p w14:paraId="298D38F0" w14:textId="77777777" w:rsidR="00455809" w:rsidRDefault="00000000">
            <w:pPr>
              <w:spacing w:after="20" w:line="250" w:lineRule="auto"/>
            </w:pPr>
            <w:r>
              <w:rPr>
                <w:sz w:val="17"/>
              </w:rPr>
              <w:t>Resolution fails closed on ambiguity</w:t>
            </w:r>
          </w:p>
        </w:tc>
      </w:tr>
    </w:tbl>
    <w:p w14:paraId="60B33522" w14:textId="77777777" w:rsidR="00455809" w:rsidRDefault="00455809">
      <w:pPr>
        <w:spacing w:after="40"/>
      </w:pPr>
    </w:p>
    <w:p w14:paraId="560A4493" w14:textId="77777777" w:rsidR="00455809" w:rsidRDefault="00000000">
      <w:pPr>
        <w:keepNext/>
        <w:spacing w:after="60"/>
      </w:pPr>
      <w:r>
        <w:rPr>
          <w:b/>
          <w:color w:val="178F8B"/>
          <w:sz w:val="20"/>
        </w:rPr>
        <w:t>08 · OWNERSHIP</w:t>
      </w:r>
    </w:p>
    <w:p w14:paraId="62F59278" w14:textId="77777777" w:rsidR="00455809" w:rsidRDefault="00000000">
      <w:pPr>
        <w:pStyle w:val="Heading1"/>
        <w:spacing w:before="0"/>
      </w:pPr>
      <w:r>
        <w:t>A clean contributor boundary</w:t>
      </w:r>
    </w:p>
    <w:p w14:paraId="0200E1FC" w14:textId="77777777" w:rsidR="00455809" w:rsidRDefault="00000000">
      <w:pPr>
        <w:spacing w:after="240" w:line="269" w:lineRule="auto"/>
      </w:pPr>
      <w:r>
        <w:rPr>
          <w:color w:val="536273"/>
          <w:sz w:val="25"/>
        </w:rPr>
        <w:t>The environment should arrive complete enough that the contributor can spend time on interpretation, not platform assembly.</w:t>
      </w:r>
    </w:p>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3150"/>
        <w:gridCol w:w="3150"/>
        <w:gridCol w:w="3060"/>
      </w:tblGrid>
      <w:tr w:rsidR="00455809" w14:paraId="0F1F742A" w14:textId="77777777">
        <w:trPr>
          <w:cantSplit/>
          <w:tblHeader/>
        </w:trPr>
        <w:tc>
          <w:tcPr>
            <w:tcW w:w="3150" w:type="dxa"/>
            <w:shd w:val="clear" w:color="auto" w:fill="0B2545"/>
            <w:tcMar>
              <w:top w:w="90" w:type="dxa"/>
              <w:left w:w="120" w:type="dxa"/>
              <w:bottom w:w="90" w:type="dxa"/>
              <w:right w:w="120" w:type="dxa"/>
            </w:tcMar>
            <w:vAlign w:val="center"/>
          </w:tcPr>
          <w:p w14:paraId="76EA3299" w14:textId="77777777" w:rsidR="00455809" w:rsidRDefault="00000000">
            <w:pPr>
              <w:spacing w:after="0"/>
            </w:pPr>
            <w:r>
              <w:rPr>
                <w:b/>
                <w:color w:val="FFFFFF"/>
                <w:sz w:val="18"/>
              </w:rPr>
              <w:t>Provided by the project</w:t>
            </w:r>
          </w:p>
        </w:tc>
        <w:tc>
          <w:tcPr>
            <w:tcW w:w="3150" w:type="dxa"/>
            <w:shd w:val="clear" w:color="auto" w:fill="0B2545"/>
            <w:tcMar>
              <w:top w:w="90" w:type="dxa"/>
              <w:left w:w="120" w:type="dxa"/>
              <w:bottom w:w="90" w:type="dxa"/>
              <w:right w:w="120" w:type="dxa"/>
            </w:tcMar>
            <w:vAlign w:val="center"/>
          </w:tcPr>
          <w:p w14:paraId="11A3FE50" w14:textId="77777777" w:rsidR="00455809" w:rsidRDefault="00000000">
            <w:pPr>
              <w:spacing w:after="0"/>
            </w:pPr>
            <w:r>
              <w:rPr>
                <w:b/>
                <w:color w:val="FFFFFF"/>
                <w:sz w:val="18"/>
              </w:rPr>
              <w:t>Owned by the contributor</w:t>
            </w:r>
          </w:p>
        </w:tc>
        <w:tc>
          <w:tcPr>
            <w:tcW w:w="3060" w:type="dxa"/>
            <w:shd w:val="clear" w:color="auto" w:fill="0B2545"/>
            <w:tcMar>
              <w:top w:w="90" w:type="dxa"/>
              <w:left w:w="120" w:type="dxa"/>
              <w:bottom w:w="90" w:type="dxa"/>
              <w:right w:w="120" w:type="dxa"/>
            </w:tcMar>
            <w:vAlign w:val="center"/>
          </w:tcPr>
          <w:p w14:paraId="5B600EAA" w14:textId="77777777" w:rsidR="00455809" w:rsidRDefault="00000000">
            <w:pPr>
              <w:spacing w:after="0"/>
            </w:pPr>
            <w:r>
              <w:rPr>
                <w:b/>
                <w:color w:val="FFFFFF"/>
                <w:sz w:val="18"/>
              </w:rPr>
              <w:t>Explicitly deferred</w:t>
            </w:r>
          </w:p>
        </w:tc>
      </w:tr>
      <w:tr w:rsidR="00455809" w14:paraId="1AACB2A4" w14:textId="77777777">
        <w:trPr>
          <w:cantSplit/>
        </w:trPr>
        <w:tc>
          <w:tcPr>
            <w:tcW w:w="3150" w:type="dxa"/>
            <w:tcMar>
              <w:top w:w="90" w:type="dxa"/>
              <w:left w:w="120" w:type="dxa"/>
              <w:bottom w:w="90" w:type="dxa"/>
              <w:right w:w="120" w:type="dxa"/>
            </w:tcMar>
            <w:vAlign w:val="center"/>
          </w:tcPr>
          <w:p w14:paraId="44B83205" w14:textId="77777777" w:rsidR="00455809" w:rsidRDefault="00000000">
            <w:pPr>
              <w:spacing w:after="20" w:line="250" w:lineRule="auto"/>
            </w:pPr>
            <w:r>
              <w:rPr>
                <w:b/>
                <w:color w:val="0B2545"/>
                <w:sz w:val="17"/>
              </w:rPr>
              <w:t>KinD topology, Cilium, namespaces</w:t>
            </w:r>
          </w:p>
        </w:tc>
        <w:tc>
          <w:tcPr>
            <w:tcW w:w="3150" w:type="dxa"/>
            <w:tcMar>
              <w:top w:w="90" w:type="dxa"/>
              <w:left w:w="120" w:type="dxa"/>
              <w:bottom w:w="90" w:type="dxa"/>
              <w:right w:w="120" w:type="dxa"/>
            </w:tcMar>
            <w:vAlign w:val="center"/>
          </w:tcPr>
          <w:p w14:paraId="6963BD96" w14:textId="77777777" w:rsidR="00455809" w:rsidRDefault="00000000">
            <w:pPr>
              <w:spacing w:after="20" w:line="250" w:lineRule="auto"/>
            </w:pPr>
            <w:r>
              <w:rPr>
                <w:sz w:val="17"/>
              </w:rPr>
              <w:t>Profile parsing and validation handoff</w:t>
            </w:r>
          </w:p>
        </w:tc>
        <w:tc>
          <w:tcPr>
            <w:tcW w:w="3060" w:type="dxa"/>
            <w:tcMar>
              <w:top w:w="90" w:type="dxa"/>
              <w:left w:w="120" w:type="dxa"/>
              <w:bottom w:w="90" w:type="dxa"/>
              <w:right w:w="120" w:type="dxa"/>
            </w:tcMar>
            <w:vAlign w:val="center"/>
          </w:tcPr>
          <w:p w14:paraId="326D002E" w14:textId="77777777" w:rsidR="00455809" w:rsidRDefault="00000000">
            <w:pPr>
              <w:spacing w:after="20" w:line="250" w:lineRule="auto"/>
            </w:pPr>
            <w:r>
              <w:rPr>
                <w:sz w:val="17"/>
              </w:rPr>
              <w:t>Production multi-cluster operation</w:t>
            </w:r>
          </w:p>
        </w:tc>
      </w:tr>
      <w:tr w:rsidR="00455809" w14:paraId="1A40D725" w14:textId="77777777">
        <w:trPr>
          <w:cantSplit/>
        </w:trPr>
        <w:tc>
          <w:tcPr>
            <w:tcW w:w="3150" w:type="dxa"/>
            <w:shd w:val="clear" w:color="auto" w:fill="FAFBFC"/>
            <w:tcMar>
              <w:top w:w="90" w:type="dxa"/>
              <w:left w:w="120" w:type="dxa"/>
              <w:bottom w:w="90" w:type="dxa"/>
              <w:right w:w="120" w:type="dxa"/>
            </w:tcMar>
            <w:vAlign w:val="center"/>
          </w:tcPr>
          <w:p w14:paraId="6E4DED74" w14:textId="77777777" w:rsidR="00455809" w:rsidRDefault="00000000">
            <w:pPr>
              <w:spacing w:after="20" w:line="250" w:lineRule="auto"/>
            </w:pPr>
            <w:r>
              <w:rPr>
                <w:b/>
                <w:color w:val="0B2545"/>
                <w:sz w:val="17"/>
              </w:rPr>
              <w:t>Backstage deployment and catalog data</w:t>
            </w:r>
          </w:p>
        </w:tc>
        <w:tc>
          <w:tcPr>
            <w:tcW w:w="3150" w:type="dxa"/>
            <w:shd w:val="clear" w:color="auto" w:fill="FAFBFC"/>
            <w:tcMar>
              <w:top w:w="90" w:type="dxa"/>
              <w:left w:w="120" w:type="dxa"/>
              <w:bottom w:w="90" w:type="dxa"/>
              <w:right w:w="120" w:type="dxa"/>
            </w:tcMar>
            <w:vAlign w:val="center"/>
          </w:tcPr>
          <w:p w14:paraId="3E9B7DF7" w14:textId="77777777" w:rsidR="00455809" w:rsidRDefault="00000000">
            <w:pPr>
              <w:spacing w:after="20" w:line="250" w:lineRule="auto"/>
            </w:pPr>
            <w:r>
              <w:rPr>
                <w:sz w:val="17"/>
              </w:rPr>
              <w:t>OpenAPI capability matching</w:t>
            </w:r>
          </w:p>
        </w:tc>
        <w:tc>
          <w:tcPr>
            <w:tcW w:w="3060" w:type="dxa"/>
            <w:shd w:val="clear" w:color="auto" w:fill="FAFBFC"/>
            <w:tcMar>
              <w:top w:w="90" w:type="dxa"/>
              <w:left w:w="120" w:type="dxa"/>
              <w:bottom w:w="90" w:type="dxa"/>
              <w:right w:w="120" w:type="dxa"/>
            </w:tcMar>
            <w:vAlign w:val="center"/>
          </w:tcPr>
          <w:p w14:paraId="6E3C4C1D" w14:textId="77777777" w:rsidR="00455809" w:rsidRDefault="00000000">
            <w:pPr>
              <w:spacing w:after="20" w:line="250" w:lineRule="auto"/>
            </w:pPr>
            <w:r>
              <w:rPr>
                <w:sz w:val="17"/>
              </w:rPr>
              <w:t>Generic constraint solving</w:t>
            </w:r>
          </w:p>
        </w:tc>
      </w:tr>
      <w:tr w:rsidR="00455809" w14:paraId="25C7D93F" w14:textId="77777777">
        <w:trPr>
          <w:cantSplit/>
        </w:trPr>
        <w:tc>
          <w:tcPr>
            <w:tcW w:w="3150" w:type="dxa"/>
            <w:tcMar>
              <w:top w:w="90" w:type="dxa"/>
              <w:left w:w="120" w:type="dxa"/>
              <w:bottom w:w="90" w:type="dxa"/>
              <w:right w:w="120" w:type="dxa"/>
            </w:tcMar>
            <w:vAlign w:val="center"/>
          </w:tcPr>
          <w:p w14:paraId="448A5B6A" w14:textId="77777777" w:rsidR="00455809" w:rsidRDefault="00000000">
            <w:pPr>
              <w:spacing w:after="20" w:line="250" w:lineRule="auto"/>
            </w:pPr>
            <w:r>
              <w:rPr>
                <w:b/>
                <w:color w:val="0B2545"/>
                <w:sz w:val="17"/>
              </w:rPr>
              <w:t>Runnable demo services and test data</w:t>
            </w:r>
          </w:p>
        </w:tc>
        <w:tc>
          <w:tcPr>
            <w:tcW w:w="3150" w:type="dxa"/>
            <w:tcMar>
              <w:top w:w="90" w:type="dxa"/>
              <w:left w:w="120" w:type="dxa"/>
              <w:bottom w:w="90" w:type="dxa"/>
              <w:right w:w="120" w:type="dxa"/>
            </w:tcMar>
            <w:vAlign w:val="center"/>
          </w:tcPr>
          <w:p w14:paraId="0AE1DB76" w14:textId="77777777" w:rsidR="00455809" w:rsidRDefault="00000000">
            <w:pPr>
              <w:spacing w:after="20" w:line="250" w:lineRule="auto"/>
            </w:pPr>
            <w:r>
              <w:rPr>
                <w:sz w:val="17"/>
              </w:rPr>
              <w:t>API-to-Component relation traversal</w:t>
            </w:r>
          </w:p>
        </w:tc>
        <w:tc>
          <w:tcPr>
            <w:tcW w:w="3060" w:type="dxa"/>
            <w:tcMar>
              <w:top w:w="90" w:type="dxa"/>
              <w:left w:w="120" w:type="dxa"/>
              <w:bottom w:w="90" w:type="dxa"/>
              <w:right w:w="120" w:type="dxa"/>
            </w:tcMar>
            <w:vAlign w:val="center"/>
          </w:tcPr>
          <w:p w14:paraId="15ACEB34" w14:textId="77777777" w:rsidR="00455809" w:rsidRDefault="00000000">
            <w:pPr>
              <w:spacing w:after="20" w:line="250" w:lineRule="auto"/>
            </w:pPr>
            <w:r>
              <w:rPr>
                <w:sz w:val="17"/>
              </w:rPr>
              <w:t>Service provisioning</w:t>
            </w:r>
          </w:p>
        </w:tc>
      </w:tr>
      <w:tr w:rsidR="00455809" w14:paraId="20C29526" w14:textId="77777777">
        <w:trPr>
          <w:cantSplit/>
        </w:trPr>
        <w:tc>
          <w:tcPr>
            <w:tcW w:w="3150" w:type="dxa"/>
            <w:shd w:val="clear" w:color="auto" w:fill="FAFBFC"/>
            <w:tcMar>
              <w:top w:w="90" w:type="dxa"/>
              <w:left w:w="120" w:type="dxa"/>
              <w:bottom w:w="90" w:type="dxa"/>
              <w:right w:w="120" w:type="dxa"/>
            </w:tcMar>
            <w:vAlign w:val="center"/>
          </w:tcPr>
          <w:p w14:paraId="7EE617EE" w14:textId="77777777" w:rsidR="00455809" w:rsidRDefault="00000000">
            <w:pPr>
              <w:spacing w:after="20" w:line="250" w:lineRule="auto"/>
            </w:pPr>
            <w:r>
              <w:rPr>
                <w:b/>
                <w:color w:val="0B2545"/>
                <w:sz w:val="17"/>
              </w:rPr>
              <w:t>Kubernetes provenance labels</w:t>
            </w:r>
          </w:p>
        </w:tc>
        <w:tc>
          <w:tcPr>
            <w:tcW w:w="3150" w:type="dxa"/>
            <w:shd w:val="clear" w:color="auto" w:fill="FAFBFC"/>
            <w:tcMar>
              <w:top w:w="90" w:type="dxa"/>
              <w:left w:w="120" w:type="dxa"/>
              <w:bottom w:w="90" w:type="dxa"/>
              <w:right w:w="120" w:type="dxa"/>
            </w:tcMar>
            <w:vAlign w:val="center"/>
          </w:tcPr>
          <w:p w14:paraId="5C3101B1" w14:textId="77777777" w:rsidR="00455809" w:rsidRDefault="00000000">
            <w:pPr>
              <w:spacing w:after="20" w:line="250" w:lineRule="auto"/>
            </w:pPr>
            <w:r>
              <w:rPr>
                <w:sz w:val="17"/>
              </w:rPr>
              <w:t>Component-to-Service resolution</w:t>
            </w:r>
          </w:p>
        </w:tc>
        <w:tc>
          <w:tcPr>
            <w:tcW w:w="3060" w:type="dxa"/>
            <w:shd w:val="clear" w:color="auto" w:fill="FAFBFC"/>
            <w:tcMar>
              <w:top w:w="90" w:type="dxa"/>
              <w:left w:w="120" w:type="dxa"/>
              <w:bottom w:w="90" w:type="dxa"/>
              <w:right w:w="120" w:type="dxa"/>
            </w:tcMar>
            <w:vAlign w:val="center"/>
          </w:tcPr>
          <w:p w14:paraId="5F1AC348" w14:textId="77777777" w:rsidR="00455809" w:rsidRDefault="00000000">
            <w:pPr>
              <w:spacing w:after="20" w:line="250" w:lineRule="auto"/>
            </w:pPr>
            <w:r>
              <w:rPr>
                <w:sz w:val="17"/>
              </w:rPr>
              <w:t>Credential delivery</w:t>
            </w:r>
          </w:p>
        </w:tc>
      </w:tr>
      <w:tr w:rsidR="00455809" w14:paraId="6F3CEDA9" w14:textId="77777777">
        <w:trPr>
          <w:cantSplit/>
        </w:trPr>
        <w:tc>
          <w:tcPr>
            <w:tcW w:w="3150" w:type="dxa"/>
            <w:tcMar>
              <w:top w:w="90" w:type="dxa"/>
              <w:left w:w="120" w:type="dxa"/>
              <w:bottom w:w="90" w:type="dxa"/>
              <w:right w:w="120" w:type="dxa"/>
            </w:tcMar>
            <w:vAlign w:val="center"/>
          </w:tcPr>
          <w:p w14:paraId="63E08D2C" w14:textId="77777777" w:rsidR="00455809" w:rsidRDefault="00000000">
            <w:pPr>
              <w:spacing w:after="20" w:line="250" w:lineRule="auto"/>
            </w:pPr>
            <w:r>
              <w:rPr>
                <w:b/>
                <w:color w:val="0B2545"/>
                <w:sz w:val="17"/>
              </w:rPr>
              <w:t>Default-deny baseline and DNS allow</w:t>
            </w:r>
          </w:p>
        </w:tc>
        <w:tc>
          <w:tcPr>
            <w:tcW w:w="3150" w:type="dxa"/>
            <w:tcMar>
              <w:top w:w="90" w:type="dxa"/>
              <w:left w:w="120" w:type="dxa"/>
              <w:bottom w:w="90" w:type="dxa"/>
              <w:right w:w="120" w:type="dxa"/>
            </w:tcMar>
            <w:vAlign w:val="center"/>
          </w:tcPr>
          <w:p w14:paraId="3894BDEE" w14:textId="77777777" w:rsidR="00455809" w:rsidRDefault="00000000">
            <w:pPr>
              <w:spacing w:after="20" w:line="250" w:lineRule="auto"/>
            </w:pPr>
            <w:r>
              <w:rPr>
                <w:sz w:val="17"/>
              </w:rPr>
              <w:t>Path translation and CNP rendering</w:t>
            </w:r>
          </w:p>
        </w:tc>
        <w:tc>
          <w:tcPr>
            <w:tcW w:w="3060" w:type="dxa"/>
            <w:tcMar>
              <w:top w:w="90" w:type="dxa"/>
              <w:left w:w="120" w:type="dxa"/>
              <w:bottom w:w="90" w:type="dxa"/>
              <w:right w:w="120" w:type="dxa"/>
            </w:tcMar>
            <w:vAlign w:val="center"/>
          </w:tcPr>
          <w:p w14:paraId="3D473159" w14:textId="77777777" w:rsidR="00455809" w:rsidRDefault="00000000">
            <w:pPr>
              <w:spacing w:after="20" w:line="250" w:lineRule="auto"/>
            </w:pPr>
            <w:r>
              <w:rPr>
                <w:sz w:val="17"/>
              </w:rPr>
              <w:t>Datastore/cache/broker policy</w:t>
            </w:r>
          </w:p>
        </w:tc>
      </w:tr>
      <w:tr w:rsidR="00455809" w14:paraId="68B3F820" w14:textId="77777777">
        <w:trPr>
          <w:cantSplit/>
        </w:trPr>
        <w:tc>
          <w:tcPr>
            <w:tcW w:w="3150" w:type="dxa"/>
            <w:shd w:val="clear" w:color="auto" w:fill="FAFBFC"/>
            <w:tcMar>
              <w:top w:w="90" w:type="dxa"/>
              <w:left w:w="120" w:type="dxa"/>
              <w:bottom w:w="90" w:type="dxa"/>
              <w:right w:w="120" w:type="dxa"/>
            </w:tcMar>
            <w:vAlign w:val="center"/>
          </w:tcPr>
          <w:p w14:paraId="0F764D6E" w14:textId="77777777" w:rsidR="00455809" w:rsidRDefault="00000000">
            <w:pPr>
              <w:spacing w:after="20" w:line="250" w:lineRule="auto"/>
            </w:pPr>
            <w:r>
              <w:rPr>
                <w:b/>
                <w:color w:val="0B2545"/>
                <w:sz w:val="17"/>
              </w:rPr>
              <w:t>Smoke and adversarial test harness</w:t>
            </w:r>
          </w:p>
        </w:tc>
        <w:tc>
          <w:tcPr>
            <w:tcW w:w="3150" w:type="dxa"/>
            <w:shd w:val="clear" w:color="auto" w:fill="FAFBFC"/>
            <w:tcMar>
              <w:top w:w="90" w:type="dxa"/>
              <w:left w:w="120" w:type="dxa"/>
              <w:bottom w:w="90" w:type="dxa"/>
              <w:right w:w="120" w:type="dxa"/>
            </w:tcMar>
            <w:vAlign w:val="center"/>
          </w:tcPr>
          <w:p w14:paraId="48853121" w14:textId="77777777" w:rsidR="00455809" w:rsidRDefault="00000000">
            <w:pPr>
              <w:spacing w:after="20" w:line="250" w:lineRule="auto"/>
            </w:pPr>
            <w:r>
              <w:rPr>
                <w:sz w:val="17"/>
              </w:rPr>
              <w:t>Deterministic CLI behavior and errors</w:t>
            </w:r>
          </w:p>
        </w:tc>
        <w:tc>
          <w:tcPr>
            <w:tcW w:w="3060" w:type="dxa"/>
            <w:shd w:val="clear" w:color="auto" w:fill="FAFBFC"/>
            <w:tcMar>
              <w:top w:w="90" w:type="dxa"/>
              <w:left w:w="120" w:type="dxa"/>
              <w:bottom w:w="90" w:type="dxa"/>
              <w:right w:w="120" w:type="dxa"/>
            </w:tcMar>
            <w:vAlign w:val="center"/>
          </w:tcPr>
          <w:p w14:paraId="38BA935C" w14:textId="77777777" w:rsidR="00455809" w:rsidRDefault="00000000">
            <w:pPr>
              <w:spacing w:after="20" w:line="250" w:lineRule="auto"/>
            </w:pPr>
            <w:r>
              <w:rPr>
                <w:sz w:val="17"/>
              </w:rPr>
              <w:t>External endpoint policy</w:t>
            </w:r>
          </w:p>
        </w:tc>
      </w:tr>
    </w:tbl>
    <w:p w14:paraId="5B42DD4F" w14:textId="77777777" w:rsidR="00455809" w:rsidRDefault="00455809">
      <w:pPr>
        <w:spacing w:after="40"/>
      </w:pPr>
    </w:p>
    <w:p w14:paraId="2F30F8F1" w14:textId="1E50F0AB" w:rsidR="00455809" w:rsidRDefault="00C34B8B">
      <w:pPr>
        <w:pStyle w:val="Heading2"/>
      </w:pPr>
      <w:r>
        <w:t>Suggested tooling options</w:t>
      </w:r>
    </w:p>
    <w:p w14:paraId="79460D19" w14:textId="77777777" w:rsidR="00455809" w:rsidRDefault="00000000">
      <w:r>
        <w:rPr>
          <w:i/>
          <w:color w:val="536273"/>
          <w:sz w:val="20"/>
        </w:rPr>
        <w:t>The implementation language is intentionally open. The interface is what makes the exercise testable and lets contributors choose familiar tooling.</w:t>
      </w:r>
    </w:p>
    <w:p w14:paraId="1CC00270" w14:textId="763F7715" w:rsidR="00C34B8B" w:rsidRPr="00C34B8B" w:rsidRDefault="00C34B8B" w:rsidP="00C34B8B">
      <w:r w:rsidRPr="00C34B8B">
        <w:t>There are multiple tooling solutions that can be used to build this, all of which have their own viability and trade-offs. There’s no wrong option, but whatever is chosen should be implemented in a way that reflects common understanding and usage of the tool. That is, you don’t have to be an expert, but you’ve at least read through the documentation.</w:t>
      </w:r>
    </w:p>
    <w:p w14:paraId="5DB02F8F" w14:textId="54E2D2DB" w:rsidR="00C34B8B" w:rsidRPr="00C34B8B" w:rsidRDefault="00C34B8B" w:rsidP="00C34B8B">
      <w:pPr>
        <w:numPr>
          <w:ilvl w:val="0"/>
          <w:numId w:val="6"/>
        </w:numPr>
        <w:rPr>
          <w:b/>
          <w:bCs/>
        </w:rPr>
      </w:pPr>
      <w:r>
        <w:rPr>
          <w:b/>
          <w:bCs/>
        </w:rPr>
        <w:t xml:space="preserve">Kratix: </w:t>
      </w:r>
      <w:r w:rsidRPr="00C34B8B">
        <w:t>open source tooling that orchestrates containers based on Promises (</w:t>
      </w:r>
      <w:hyperlink r:id="rId11" w:history="1">
        <w:r w:rsidRPr="00A26AFB">
          <w:rPr>
            <w:rStyle w:val="Hyperlink"/>
          </w:rPr>
          <w:t>https://www.kratix.io/</w:t>
        </w:r>
      </w:hyperlink>
      <w:r w:rsidRPr="00C34B8B">
        <w:t>)</w:t>
      </w:r>
    </w:p>
    <w:p w14:paraId="6920BEB9" w14:textId="32F3F989" w:rsidR="00C34B8B" w:rsidRPr="00C34B8B" w:rsidRDefault="00C34B8B" w:rsidP="00C34B8B">
      <w:pPr>
        <w:numPr>
          <w:ilvl w:val="0"/>
          <w:numId w:val="6"/>
        </w:numPr>
        <w:rPr>
          <w:b/>
          <w:bCs/>
        </w:rPr>
      </w:pPr>
      <w:r>
        <w:rPr>
          <w:b/>
          <w:bCs/>
        </w:rPr>
        <w:t xml:space="preserve">Crossplane: </w:t>
      </w:r>
      <w:r>
        <w:t>open source orchestration platform that creates custom APIs in the form of XRDs (</w:t>
      </w:r>
      <w:hyperlink r:id="rId12" w:history="1">
        <w:r w:rsidRPr="00A26AFB">
          <w:rPr>
            <w:rStyle w:val="Hyperlink"/>
          </w:rPr>
          <w:t>https://www.crossplane.io/</w:t>
        </w:r>
      </w:hyperlink>
      <w:r>
        <w:t xml:space="preserve">) </w:t>
      </w:r>
    </w:p>
    <w:p w14:paraId="78098121" w14:textId="5ECF9B9B" w:rsidR="00C34B8B" w:rsidRPr="00C34B8B" w:rsidRDefault="00C34B8B" w:rsidP="00C34B8B">
      <w:pPr>
        <w:numPr>
          <w:ilvl w:val="0"/>
          <w:numId w:val="6"/>
        </w:numPr>
        <w:rPr>
          <w:b/>
          <w:bCs/>
        </w:rPr>
      </w:pPr>
      <w:r>
        <w:rPr>
          <w:b/>
          <w:bCs/>
        </w:rPr>
        <w:lastRenderedPageBreak/>
        <w:t xml:space="preserve">OpenChoreo: </w:t>
      </w:r>
      <w:r>
        <w:t>relatively new open source IDP that uses different ComponentTypes to orchestrate platform automation (</w:t>
      </w:r>
      <w:hyperlink r:id="rId13" w:history="1">
        <w:r w:rsidRPr="00A26AFB">
          <w:rPr>
            <w:rStyle w:val="Hyperlink"/>
          </w:rPr>
          <w:t>https://openchoreo.dev/</w:t>
        </w:r>
      </w:hyperlink>
      <w:r>
        <w:t xml:space="preserve">) </w:t>
      </w:r>
    </w:p>
    <w:p w14:paraId="60B4474A" w14:textId="47906902" w:rsidR="00C34B8B" w:rsidRPr="00C34B8B" w:rsidRDefault="00C34B8B" w:rsidP="00C34B8B">
      <w:pPr>
        <w:numPr>
          <w:ilvl w:val="0"/>
          <w:numId w:val="6"/>
        </w:numPr>
        <w:rPr>
          <w:b/>
          <w:bCs/>
        </w:rPr>
      </w:pPr>
      <w:r>
        <w:rPr>
          <w:b/>
          <w:bCs/>
        </w:rPr>
        <w:t xml:space="preserve">Terraform/OpenTofu: </w:t>
      </w:r>
      <w:r>
        <w:t>good ol’ IaC, which may not be an obvious choice as a platform automation tool if you’re not already familiar with it (</w:t>
      </w:r>
      <w:hyperlink r:id="rId14" w:history="1">
        <w:r w:rsidRPr="00A26AFB">
          <w:rPr>
            <w:rStyle w:val="Hyperlink"/>
          </w:rPr>
          <w:t>https://opentofu.org/</w:t>
        </w:r>
      </w:hyperlink>
      <w:r>
        <w:t xml:space="preserve">) </w:t>
      </w:r>
    </w:p>
    <w:p w14:paraId="0F7169AD" w14:textId="77777777" w:rsidR="00455809" w:rsidRDefault="00000000">
      <w:pPr>
        <w:pStyle w:val="Heading2"/>
      </w:pPr>
      <w:r>
        <w:t>Quality bar</w:t>
      </w:r>
    </w:p>
    <w:p w14:paraId="0CEFD36A" w14:textId="77777777" w:rsidR="00455809" w:rsidRDefault="00000000" w:rsidP="00C34B8B">
      <w:pPr>
        <w:numPr>
          <w:ilvl w:val="0"/>
          <w:numId w:val="7"/>
        </w:numPr>
        <w:spacing w:after="160" w:line="281" w:lineRule="auto"/>
      </w:pPr>
      <w:r>
        <w:t>No Kubernetes Service names hard-coded in the adapter.</w:t>
      </w:r>
    </w:p>
    <w:p w14:paraId="678E3A82" w14:textId="77777777" w:rsidR="00455809" w:rsidRDefault="00000000" w:rsidP="00C34B8B">
      <w:pPr>
        <w:numPr>
          <w:ilvl w:val="0"/>
          <w:numId w:val="7"/>
        </w:numPr>
        <w:spacing w:after="160" w:line="281" w:lineRule="auto"/>
      </w:pPr>
      <w:r>
        <w:t>Deterministic ordering and byte-stable YAML for the same inputs.</w:t>
      </w:r>
    </w:p>
    <w:p w14:paraId="5667857C" w14:textId="77777777" w:rsidR="00455809" w:rsidRDefault="00000000" w:rsidP="00C34B8B">
      <w:pPr>
        <w:numPr>
          <w:ilvl w:val="0"/>
          <w:numId w:val="7"/>
        </w:numPr>
        <w:spacing w:after="160" w:line="281" w:lineRule="auto"/>
      </w:pPr>
      <w:r>
        <w:t>Readable errors that identify the Condition and failed resolution stage.</w:t>
      </w:r>
    </w:p>
    <w:p w14:paraId="5C78D457" w14:textId="77777777" w:rsidR="00455809" w:rsidRDefault="00000000" w:rsidP="00C34B8B">
      <w:pPr>
        <w:numPr>
          <w:ilvl w:val="0"/>
          <w:numId w:val="7"/>
        </w:numPr>
        <w:spacing w:after="160" w:line="281" w:lineRule="auto"/>
      </w:pPr>
      <w:r>
        <w:t>Dry rendering by default; cluster mutation remains an explicit operator step.</w:t>
      </w:r>
    </w:p>
    <w:p w14:paraId="2276F5D5" w14:textId="77777777" w:rsidR="00455809" w:rsidRDefault="00000000" w:rsidP="00C34B8B">
      <w:pPr>
        <w:numPr>
          <w:ilvl w:val="0"/>
          <w:numId w:val="7"/>
        </w:numPr>
        <w:spacing w:after="160" w:line="281" w:lineRule="auto"/>
      </w:pPr>
      <w:r>
        <w:t>Unit tests for capability matching and path conversion; integration tests for catalog and cluster resolution.</w:t>
      </w:r>
    </w:p>
    <w:p w14:paraId="48C1B941" w14:textId="77777777" w:rsidR="00455809" w:rsidRDefault="00000000" w:rsidP="00C34B8B">
      <w:pPr>
        <w:numPr>
          <w:ilvl w:val="0"/>
          <w:numId w:val="7"/>
        </w:numPr>
        <w:spacing w:after="160" w:line="281" w:lineRule="auto"/>
      </w:pPr>
      <w:r>
        <w:t>Negative tests are first-class acceptance criteria, not optional extras.</w:t>
      </w:r>
    </w:p>
    <w:p w14:paraId="4AECDA63" w14:textId="77777777" w:rsidR="00455809" w:rsidRDefault="00000000">
      <w:pPr>
        <w:keepNext/>
        <w:spacing w:after="60"/>
      </w:pPr>
      <w:r>
        <w:rPr>
          <w:b/>
          <w:color w:val="178F8B"/>
          <w:sz w:val="20"/>
        </w:rPr>
        <w:t>09 · STATUS</w:t>
      </w:r>
    </w:p>
    <w:p w14:paraId="7B82F7C1" w14:textId="77777777" w:rsidR="00455809" w:rsidRDefault="00000000">
      <w:pPr>
        <w:pStyle w:val="Heading1"/>
        <w:spacing w:before="0"/>
      </w:pPr>
      <w:r>
        <w:t>What exists today—and what still must be built</w:t>
      </w:r>
    </w:p>
    <w:p w14:paraId="6A67A79D" w14:textId="77777777" w:rsidR="00455809" w:rsidRDefault="00000000">
      <w:pPr>
        <w:spacing w:after="240" w:line="269" w:lineRule="auto"/>
      </w:pPr>
      <w:r>
        <w:rPr>
          <w:color w:val="536273"/>
          <w:sz w:val="25"/>
        </w:rPr>
        <w:t>The repository currently contains a useful foundation, but it should not yet be presented as a runnable lab.</w:t>
      </w:r>
    </w:p>
    <w:tbl>
      <w:tblPr>
        <w:tblW w:w="9360" w:type="dxa"/>
        <w:tblInd w:w="120" w:type="dxa"/>
        <w:tblBorders>
          <w:top w:val="single" w:sz="8" w:space="0" w:color="A33A3A"/>
          <w:left w:val="single" w:sz="8" w:space="0" w:color="A33A3A"/>
          <w:bottom w:val="single" w:sz="8" w:space="0" w:color="A33A3A"/>
          <w:right w:val="single" w:sz="8" w:space="0" w:color="A33A3A"/>
        </w:tblBorders>
        <w:tblLayout w:type="fixed"/>
        <w:tblLook w:val="04A0" w:firstRow="1" w:lastRow="0" w:firstColumn="1" w:lastColumn="0" w:noHBand="0" w:noVBand="1"/>
      </w:tblPr>
      <w:tblGrid>
        <w:gridCol w:w="9360"/>
      </w:tblGrid>
      <w:tr w:rsidR="00455809" w14:paraId="0B493FE9" w14:textId="77777777">
        <w:trPr>
          <w:cantSplit/>
        </w:trPr>
        <w:tc>
          <w:tcPr>
            <w:tcW w:w="9360" w:type="dxa"/>
            <w:shd w:val="clear" w:color="auto" w:fill="FFF1F1"/>
            <w:tcMar>
              <w:top w:w="130" w:type="dxa"/>
              <w:left w:w="180" w:type="dxa"/>
              <w:bottom w:w="130" w:type="dxa"/>
              <w:right w:w="180" w:type="dxa"/>
            </w:tcMar>
            <w:vAlign w:val="center"/>
          </w:tcPr>
          <w:p w14:paraId="25961FA8" w14:textId="77777777" w:rsidR="00455809" w:rsidRDefault="00000000">
            <w:pPr>
              <w:spacing w:after="40" w:line="259" w:lineRule="auto"/>
            </w:pPr>
            <w:r>
              <w:rPr>
                <w:b/>
                <w:color w:val="A33A3A"/>
                <w:sz w:val="18"/>
              </w:rPr>
              <w:t xml:space="preserve">CURRENT STATE  </w:t>
            </w:r>
            <w:r>
              <w:rPr>
                <w:b/>
                <w:sz w:val="21"/>
              </w:rPr>
              <w:t>The cilium-policy directory is an untracked, partial scaffold. The target architecture is coherent; the end-to-end application and proof path are incomplete.</w:t>
            </w:r>
          </w:p>
        </w:tc>
      </w:tr>
    </w:tbl>
    <w:p w14:paraId="142572E3" w14:textId="77777777" w:rsidR="00455809" w:rsidRDefault="00455809">
      <w:pPr>
        <w:spacing w:after="80"/>
      </w:pPr>
    </w:p>
    <w:p w14:paraId="7BB52C81" w14:textId="77777777" w:rsidR="00455809" w:rsidRDefault="00000000">
      <w:pPr>
        <w:pStyle w:val="Heading2"/>
      </w:pPr>
      <w:r>
        <w:t>Implemented scaffold</w:t>
      </w:r>
    </w:p>
    <w:p w14:paraId="707939FC" w14:textId="77777777" w:rsidR="00455809" w:rsidRDefault="00000000" w:rsidP="00C34B8B">
      <w:pPr>
        <w:numPr>
          <w:ilvl w:val="0"/>
          <w:numId w:val="8"/>
        </w:numPr>
        <w:spacing w:after="160" w:line="281" w:lineRule="auto"/>
      </w:pPr>
      <w:r>
        <w:t>KinD cluster configuration with the default CNI disabled, plus applications, dependencies, and backstage namespaces.</w:t>
      </w:r>
    </w:p>
    <w:p w14:paraId="75B272C1" w14:textId="77777777" w:rsidR="00455809" w:rsidRDefault="00000000" w:rsidP="00C34B8B">
      <w:pPr>
        <w:numPr>
          <w:ilvl w:val="0"/>
          <w:numId w:val="8"/>
        </w:numPr>
        <w:spacing w:after="160" w:line="281" w:lineRule="auto"/>
      </w:pPr>
      <w:r>
        <w:t>Helm values for Cilium, Backstage, and a three-replica NATS cluster.</w:t>
      </w:r>
    </w:p>
    <w:p w14:paraId="59E939D7" w14:textId="77777777" w:rsidR="00455809" w:rsidRDefault="00000000" w:rsidP="00C34B8B">
      <w:pPr>
        <w:numPr>
          <w:ilvl w:val="0"/>
          <w:numId w:val="8"/>
        </w:numPr>
        <w:spacing w:after="160" w:line="281" w:lineRule="auto"/>
      </w:pPr>
      <w:r>
        <w:t>Backstage catalog entities for the coordinator, providers, a decoy API, and backing resources.</w:t>
      </w:r>
    </w:p>
    <w:p w14:paraId="635CE451" w14:textId="77777777" w:rsidR="00455809" w:rsidRDefault="00000000" w:rsidP="00C34B8B">
      <w:pPr>
        <w:numPr>
          <w:ilvl w:val="0"/>
          <w:numId w:val="8"/>
        </w:numPr>
        <w:spacing w:after="160" w:line="281" w:lineRule="auto"/>
      </w:pPr>
      <w:r>
        <w:t>OpenAPI fixtures for inventory, fulfillment, and donor-directory APIs.</w:t>
      </w:r>
    </w:p>
    <w:p w14:paraId="7DAFD0E3" w14:textId="77777777" w:rsidR="00455809" w:rsidRDefault="00000000" w:rsidP="00C34B8B">
      <w:pPr>
        <w:numPr>
          <w:ilvl w:val="0"/>
          <w:numId w:val="8"/>
        </w:numPr>
        <w:spacing w:after="160" w:line="281" w:lineRule="auto"/>
      </w:pPr>
      <w:r>
        <w:t>Postgres and Redis manifests, Backstage read-only RBAC, and a label-scoped DNS-only baseline Cilium policy.</w:t>
      </w:r>
    </w:p>
    <w:p w14:paraId="5CED9005" w14:textId="77777777" w:rsidR="00455809" w:rsidRDefault="00000000" w:rsidP="00C34B8B">
      <w:pPr>
        <w:numPr>
          <w:ilvl w:val="0"/>
          <w:numId w:val="8"/>
        </w:numPr>
        <w:spacing w:after="160" w:line="281" w:lineRule="auto"/>
      </w:pPr>
      <w:r>
        <w:t>README material that defines the intended contributor exercise.</w:t>
      </w:r>
    </w:p>
    <w:p w14:paraId="20BAFDE3" w14:textId="77777777" w:rsidR="00455809" w:rsidRDefault="00000000">
      <w:pPr>
        <w:pStyle w:val="Heading2"/>
      </w:pPr>
      <w:r>
        <w:lastRenderedPageBreak/>
        <w:t>Missing for a runnable handoff</w:t>
      </w:r>
    </w:p>
    <w:p w14:paraId="40AAC0C9" w14:textId="77777777" w:rsidR="00455809" w:rsidRDefault="00000000" w:rsidP="00C34B8B">
      <w:pPr>
        <w:numPr>
          <w:ilvl w:val="0"/>
          <w:numId w:val="9"/>
        </w:numPr>
        <w:spacing w:after="160" w:line="281" w:lineRule="auto"/>
      </w:pPr>
      <w:r>
        <w:t>Application source and container image for the coordinator, inventory, fulfillment, donor directory, and notification roles.</w:t>
      </w:r>
    </w:p>
    <w:p w14:paraId="71B2B842" w14:textId="77777777" w:rsidR="00455809" w:rsidRDefault="00000000" w:rsidP="00C34B8B">
      <w:pPr>
        <w:numPr>
          <w:ilvl w:val="0"/>
          <w:numId w:val="9"/>
        </w:numPr>
        <w:spacing w:after="160" w:line="281" w:lineRule="auto"/>
      </w:pPr>
      <w:r>
        <w:t>Kubernetes application Deployments and Services, including the intentionally asymmetric Service names.</w:t>
      </w:r>
    </w:p>
    <w:p w14:paraId="7053A2A0" w14:textId="77777777" w:rsidR="00455809" w:rsidRDefault="00000000" w:rsidP="00C34B8B">
      <w:pPr>
        <w:numPr>
          <w:ilvl w:val="0"/>
          <w:numId w:val="9"/>
        </w:numPr>
        <w:spacing w:after="160" w:line="281" w:lineRule="auto"/>
      </w:pPr>
      <w:r>
        <w:t>The request-coordinator Runtime Conditions Profile fixture.</w:t>
      </w:r>
    </w:p>
    <w:p w14:paraId="5392CE7B" w14:textId="77777777" w:rsidR="00455809" w:rsidRDefault="00000000" w:rsidP="00C34B8B">
      <w:pPr>
        <w:numPr>
          <w:ilvl w:val="0"/>
          <w:numId w:val="9"/>
        </w:numPr>
        <w:spacing w:after="160" w:line="281" w:lineRule="auto"/>
      </w:pPr>
      <w:r>
        <w:t>Idempotent setup, build, deploy, readiness, teardown, and smoke-test scripts.</w:t>
      </w:r>
    </w:p>
    <w:p w14:paraId="4208365A" w14:textId="77777777" w:rsidR="00455809" w:rsidRDefault="00000000" w:rsidP="00C34B8B">
      <w:pPr>
        <w:numPr>
          <w:ilvl w:val="0"/>
          <w:numId w:val="9"/>
        </w:numPr>
        <w:spacing w:after="160" w:line="281" w:lineRule="auto"/>
      </w:pPr>
      <w:r>
        <w:t>Before/after and adversarial policy tests.</w:t>
      </w:r>
    </w:p>
    <w:p w14:paraId="5019E33A" w14:textId="77777777" w:rsidR="00455809" w:rsidRDefault="00000000" w:rsidP="00C34B8B">
      <w:pPr>
        <w:numPr>
          <w:ilvl w:val="0"/>
          <w:numId w:val="9"/>
        </w:numPr>
        <w:spacing w:after="160" w:line="281" w:lineRule="auto"/>
      </w:pPr>
      <w:r>
        <w:t>A reference output policy for comparison, while keeping the adapter implementation itself contributor-owned.</w:t>
      </w:r>
    </w:p>
    <w:p w14:paraId="0C2EFB52" w14:textId="77777777" w:rsidR="00455809" w:rsidRDefault="00000000">
      <w:pPr>
        <w:pStyle w:val="Heading2"/>
      </w:pPr>
      <w:r>
        <w:t>Recommended completion order</w:t>
      </w:r>
    </w:p>
    <w:p w14:paraId="016C24B4" w14:textId="77777777" w:rsidR="00455809" w:rsidRDefault="00000000">
      <w:pPr>
        <w:numPr>
          <w:ilvl w:val="0"/>
          <w:numId w:val="3"/>
        </w:numPr>
      </w:pPr>
      <w:r>
        <w:t>Finish the runnable application and Kubernetes manifests.</w:t>
      </w:r>
    </w:p>
    <w:p w14:paraId="2CC8AB70" w14:textId="77777777" w:rsidR="00455809" w:rsidRDefault="00000000">
      <w:pPr>
        <w:numPr>
          <w:ilvl w:val="0"/>
          <w:numId w:val="3"/>
        </w:numPr>
      </w:pPr>
      <w:r>
        <w:t>Add the valid profile fixture and one intentionally ambiguous catalog fixture.</w:t>
      </w:r>
    </w:p>
    <w:p w14:paraId="2965BB4F" w14:textId="77777777" w:rsidR="00455809" w:rsidRDefault="00000000">
      <w:pPr>
        <w:numPr>
          <w:ilvl w:val="0"/>
          <w:numId w:val="3"/>
        </w:numPr>
      </w:pPr>
      <w:r>
        <w:t>Create idempotent setup and smoke-test scripts; verify all pinned versions together.</w:t>
      </w:r>
    </w:p>
    <w:p w14:paraId="3ECF9FF3" w14:textId="77777777" w:rsidR="00455809" w:rsidRDefault="00000000">
      <w:pPr>
        <w:numPr>
          <w:ilvl w:val="0"/>
          <w:numId w:val="3"/>
        </w:numPr>
      </w:pPr>
      <w:r>
        <w:t>Prove the default-deny baseline and label selection before handing off adapter work.</w:t>
      </w:r>
    </w:p>
    <w:p w14:paraId="3E381218" w14:textId="77777777" w:rsidR="00455809" w:rsidRDefault="00000000">
      <w:pPr>
        <w:numPr>
          <w:ilvl w:val="0"/>
          <w:numId w:val="3"/>
        </w:numPr>
      </w:pPr>
      <w:r>
        <w:t>Add golden policy and negative acceptance tests without shipping a completed adapter.</w:t>
      </w:r>
    </w:p>
    <w:p w14:paraId="081AF8AA" w14:textId="77777777" w:rsidR="00455809" w:rsidRDefault="00000000">
      <w:pPr>
        <w:keepNext/>
        <w:spacing w:after="60"/>
      </w:pPr>
      <w:r>
        <w:rPr>
          <w:b/>
          <w:color w:val="178F8B"/>
          <w:sz w:val="20"/>
        </w:rPr>
        <w:t>10 · DECISIONS</w:t>
      </w:r>
    </w:p>
    <w:p w14:paraId="0DC25259" w14:textId="77777777" w:rsidR="00455809" w:rsidRDefault="00000000">
      <w:pPr>
        <w:pStyle w:val="Heading1"/>
        <w:spacing w:before="0"/>
      </w:pPr>
      <w:r>
        <w:t>Principles that keep the demo honest</w:t>
      </w:r>
    </w:p>
    <w:p w14:paraId="72DDE9D5" w14:textId="77777777" w:rsidR="00455809" w:rsidRDefault="00000000">
      <w:pPr>
        <w:spacing w:after="240" w:line="269" w:lineRule="auto"/>
      </w:pPr>
      <w:r>
        <w:rPr>
          <w:color w:val="536273"/>
          <w:sz w:val="25"/>
        </w:rPr>
        <w:t>These choices make the proof narrow, repeatable, and aligned with the Runtime Conditions model.</w:t>
      </w:r>
    </w:p>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3100"/>
        <w:gridCol w:w="6260"/>
      </w:tblGrid>
      <w:tr w:rsidR="00455809" w14:paraId="733D3241" w14:textId="77777777">
        <w:trPr>
          <w:cantSplit/>
          <w:tblHeader/>
        </w:trPr>
        <w:tc>
          <w:tcPr>
            <w:tcW w:w="3100" w:type="dxa"/>
            <w:shd w:val="clear" w:color="auto" w:fill="0B2545"/>
            <w:tcMar>
              <w:top w:w="90" w:type="dxa"/>
              <w:left w:w="120" w:type="dxa"/>
              <w:bottom w:w="90" w:type="dxa"/>
              <w:right w:w="120" w:type="dxa"/>
            </w:tcMar>
            <w:vAlign w:val="center"/>
          </w:tcPr>
          <w:p w14:paraId="466097D9" w14:textId="77777777" w:rsidR="00455809" w:rsidRDefault="00000000">
            <w:pPr>
              <w:spacing w:after="0"/>
            </w:pPr>
            <w:r>
              <w:rPr>
                <w:b/>
                <w:color w:val="FFFFFF"/>
                <w:sz w:val="19"/>
              </w:rPr>
              <w:t>Decision</w:t>
            </w:r>
          </w:p>
        </w:tc>
        <w:tc>
          <w:tcPr>
            <w:tcW w:w="6260" w:type="dxa"/>
            <w:shd w:val="clear" w:color="auto" w:fill="0B2545"/>
            <w:tcMar>
              <w:top w:w="90" w:type="dxa"/>
              <w:left w:w="120" w:type="dxa"/>
              <w:bottom w:w="90" w:type="dxa"/>
              <w:right w:w="120" w:type="dxa"/>
            </w:tcMar>
            <w:vAlign w:val="center"/>
          </w:tcPr>
          <w:p w14:paraId="02AE4943" w14:textId="77777777" w:rsidR="00455809" w:rsidRDefault="00000000">
            <w:pPr>
              <w:spacing w:after="0"/>
            </w:pPr>
            <w:r>
              <w:rPr>
                <w:b/>
                <w:color w:val="FFFFFF"/>
                <w:sz w:val="19"/>
              </w:rPr>
              <w:t>Reason</w:t>
            </w:r>
          </w:p>
        </w:tc>
      </w:tr>
      <w:tr w:rsidR="00455809" w14:paraId="7B670D2A" w14:textId="77777777">
        <w:trPr>
          <w:cantSplit/>
        </w:trPr>
        <w:tc>
          <w:tcPr>
            <w:tcW w:w="3100" w:type="dxa"/>
            <w:shd w:val="clear" w:color="auto" w:fill="FAFBFC"/>
            <w:tcMar>
              <w:top w:w="90" w:type="dxa"/>
              <w:left w:w="120" w:type="dxa"/>
              <w:bottom w:w="90" w:type="dxa"/>
              <w:right w:w="120" w:type="dxa"/>
            </w:tcMar>
            <w:vAlign w:val="center"/>
          </w:tcPr>
          <w:p w14:paraId="0DBDDA2F" w14:textId="77777777" w:rsidR="00455809" w:rsidRDefault="00000000">
            <w:pPr>
              <w:spacing w:after="20" w:line="252" w:lineRule="auto"/>
            </w:pPr>
            <w:r>
              <w:rPr>
                <w:b/>
                <w:color w:val="0B2545"/>
                <w:sz w:val="19"/>
              </w:rPr>
              <w:t>Capability matching over name matching</w:t>
            </w:r>
          </w:p>
        </w:tc>
        <w:tc>
          <w:tcPr>
            <w:tcW w:w="6260" w:type="dxa"/>
            <w:shd w:val="clear" w:color="auto" w:fill="FAFBFC"/>
            <w:tcMar>
              <w:top w:w="90" w:type="dxa"/>
              <w:left w:w="120" w:type="dxa"/>
              <w:bottom w:w="90" w:type="dxa"/>
              <w:right w:w="120" w:type="dxa"/>
            </w:tcMar>
            <w:vAlign w:val="center"/>
          </w:tcPr>
          <w:p w14:paraId="4767FD23" w14:textId="77777777" w:rsidR="00455809" w:rsidRDefault="00000000">
            <w:pPr>
              <w:spacing w:after="20" w:line="252" w:lineRule="auto"/>
            </w:pPr>
            <w:r>
              <w:rPr>
                <w:sz w:val="19"/>
              </w:rPr>
              <w:t>Provider identity is environment-specific; required operations are portable demand.</w:t>
            </w:r>
          </w:p>
        </w:tc>
      </w:tr>
      <w:tr w:rsidR="00455809" w14:paraId="27A8A2AD" w14:textId="77777777">
        <w:trPr>
          <w:cantSplit/>
        </w:trPr>
        <w:tc>
          <w:tcPr>
            <w:tcW w:w="3100" w:type="dxa"/>
            <w:tcMar>
              <w:top w:w="90" w:type="dxa"/>
              <w:left w:w="120" w:type="dxa"/>
              <w:bottom w:w="90" w:type="dxa"/>
              <w:right w:w="120" w:type="dxa"/>
            </w:tcMar>
            <w:vAlign w:val="center"/>
          </w:tcPr>
          <w:p w14:paraId="3B710236" w14:textId="77777777" w:rsidR="00455809" w:rsidRDefault="00000000">
            <w:pPr>
              <w:spacing w:after="20" w:line="252" w:lineRule="auto"/>
            </w:pPr>
            <w:r>
              <w:rPr>
                <w:b/>
                <w:color w:val="0B2545"/>
                <w:sz w:val="19"/>
              </w:rPr>
              <w:t>Catalog supply plus live-cluster truth</w:t>
            </w:r>
          </w:p>
        </w:tc>
        <w:tc>
          <w:tcPr>
            <w:tcW w:w="6260" w:type="dxa"/>
            <w:tcMar>
              <w:top w:w="90" w:type="dxa"/>
              <w:left w:w="120" w:type="dxa"/>
              <w:bottom w:w="90" w:type="dxa"/>
              <w:right w:w="120" w:type="dxa"/>
            </w:tcMar>
            <w:vAlign w:val="center"/>
          </w:tcPr>
          <w:p w14:paraId="796EB87E" w14:textId="77777777" w:rsidR="00455809" w:rsidRDefault="00000000">
            <w:pPr>
              <w:spacing w:after="20" w:line="252" w:lineRule="auto"/>
            </w:pPr>
            <w:r>
              <w:rPr>
                <w:sz w:val="19"/>
              </w:rPr>
              <w:t>Backstage explains ownership and contracts; Kubernetes supplies current enforcement coordinates.</w:t>
            </w:r>
          </w:p>
        </w:tc>
      </w:tr>
      <w:tr w:rsidR="00455809" w14:paraId="6D1CBE6C" w14:textId="77777777">
        <w:trPr>
          <w:cantSplit/>
        </w:trPr>
        <w:tc>
          <w:tcPr>
            <w:tcW w:w="3100" w:type="dxa"/>
            <w:shd w:val="clear" w:color="auto" w:fill="FAFBFC"/>
            <w:tcMar>
              <w:top w:w="90" w:type="dxa"/>
              <w:left w:w="120" w:type="dxa"/>
              <w:bottom w:w="90" w:type="dxa"/>
              <w:right w:w="120" w:type="dxa"/>
            </w:tcMar>
            <w:vAlign w:val="center"/>
          </w:tcPr>
          <w:p w14:paraId="0B7585B7" w14:textId="77777777" w:rsidR="00455809" w:rsidRDefault="00000000">
            <w:pPr>
              <w:spacing w:after="20" w:line="252" w:lineRule="auto"/>
            </w:pPr>
            <w:r>
              <w:rPr>
                <w:b/>
                <w:color w:val="0B2545"/>
                <w:sz w:val="19"/>
              </w:rPr>
              <w:t>Pre-existing providers in milestone one</w:t>
            </w:r>
          </w:p>
        </w:tc>
        <w:tc>
          <w:tcPr>
            <w:tcW w:w="6260" w:type="dxa"/>
            <w:shd w:val="clear" w:color="auto" w:fill="FAFBFC"/>
            <w:tcMar>
              <w:top w:w="90" w:type="dxa"/>
              <w:left w:w="120" w:type="dxa"/>
              <w:bottom w:w="90" w:type="dxa"/>
              <w:right w:w="120" w:type="dxa"/>
            </w:tcMar>
            <w:vAlign w:val="center"/>
          </w:tcPr>
          <w:p w14:paraId="3697802B" w14:textId="77777777" w:rsidR="00455809" w:rsidRDefault="00000000">
            <w:pPr>
              <w:spacing w:after="20" w:line="252" w:lineRule="auto"/>
            </w:pPr>
            <w:r>
              <w:rPr>
                <w:sz w:val="19"/>
              </w:rPr>
              <w:t>The adapter demonstrates selection and authorization before taking on provisioning.</w:t>
            </w:r>
          </w:p>
        </w:tc>
      </w:tr>
      <w:tr w:rsidR="00455809" w14:paraId="7314E19F" w14:textId="77777777">
        <w:trPr>
          <w:cantSplit/>
        </w:trPr>
        <w:tc>
          <w:tcPr>
            <w:tcW w:w="3100" w:type="dxa"/>
            <w:tcMar>
              <w:top w:w="90" w:type="dxa"/>
              <w:left w:w="120" w:type="dxa"/>
              <w:bottom w:w="90" w:type="dxa"/>
              <w:right w:w="120" w:type="dxa"/>
            </w:tcMar>
            <w:vAlign w:val="center"/>
          </w:tcPr>
          <w:p w14:paraId="02C2160C" w14:textId="77777777" w:rsidR="00455809" w:rsidRDefault="00000000">
            <w:pPr>
              <w:spacing w:after="20" w:line="252" w:lineRule="auto"/>
            </w:pPr>
            <w:r>
              <w:rPr>
                <w:b/>
                <w:color w:val="0B2545"/>
                <w:sz w:val="19"/>
              </w:rPr>
              <w:t>Plaintext internal HTTP</w:t>
            </w:r>
          </w:p>
        </w:tc>
        <w:tc>
          <w:tcPr>
            <w:tcW w:w="6260" w:type="dxa"/>
            <w:tcMar>
              <w:top w:w="90" w:type="dxa"/>
              <w:left w:w="120" w:type="dxa"/>
              <w:bottom w:w="90" w:type="dxa"/>
              <w:right w:w="120" w:type="dxa"/>
            </w:tcMar>
            <w:vAlign w:val="center"/>
          </w:tcPr>
          <w:p w14:paraId="6AD4718B" w14:textId="77777777" w:rsidR="00455809" w:rsidRDefault="00000000">
            <w:pPr>
              <w:spacing w:after="20" w:line="252" w:lineRule="auto"/>
            </w:pPr>
            <w:r>
              <w:rPr>
                <w:sz w:val="19"/>
              </w:rPr>
              <w:t>Cilium must observe HTTP semantics to enforce method and path in this lab.</w:t>
            </w:r>
          </w:p>
        </w:tc>
      </w:tr>
      <w:tr w:rsidR="00455809" w14:paraId="1D539E50" w14:textId="77777777">
        <w:trPr>
          <w:cantSplit/>
        </w:trPr>
        <w:tc>
          <w:tcPr>
            <w:tcW w:w="3100" w:type="dxa"/>
            <w:shd w:val="clear" w:color="auto" w:fill="FAFBFC"/>
            <w:tcMar>
              <w:top w:w="90" w:type="dxa"/>
              <w:left w:w="120" w:type="dxa"/>
              <w:bottom w:w="90" w:type="dxa"/>
              <w:right w:w="120" w:type="dxa"/>
            </w:tcMar>
            <w:vAlign w:val="center"/>
          </w:tcPr>
          <w:p w14:paraId="032098C3" w14:textId="77777777" w:rsidR="00455809" w:rsidRDefault="00000000">
            <w:pPr>
              <w:spacing w:after="20" w:line="252" w:lineRule="auto"/>
            </w:pPr>
            <w:r>
              <w:rPr>
                <w:b/>
                <w:color w:val="0B2545"/>
                <w:sz w:val="19"/>
              </w:rPr>
              <w:t>Fail closed on ambiguity</w:t>
            </w:r>
          </w:p>
        </w:tc>
        <w:tc>
          <w:tcPr>
            <w:tcW w:w="6260" w:type="dxa"/>
            <w:shd w:val="clear" w:color="auto" w:fill="FAFBFC"/>
            <w:tcMar>
              <w:top w:w="90" w:type="dxa"/>
              <w:left w:w="120" w:type="dxa"/>
              <w:bottom w:w="90" w:type="dxa"/>
              <w:right w:w="120" w:type="dxa"/>
            </w:tcMar>
            <w:vAlign w:val="center"/>
          </w:tcPr>
          <w:p w14:paraId="14911808" w14:textId="77777777" w:rsidR="00455809" w:rsidRDefault="00000000">
            <w:pPr>
              <w:spacing w:after="20" w:line="252" w:lineRule="auto"/>
            </w:pPr>
            <w:r>
              <w:rPr>
                <w:sz w:val="19"/>
              </w:rPr>
              <w:t>Incorrect authority is worse than a visible fulfillment failure.</w:t>
            </w:r>
          </w:p>
        </w:tc>
      </w:tr>
      <w:tr w:rsidR="00455809" w14:paraId="1A768FBF" w14:textId="77777777">
        <w:trPr>
          <w:cantSplit/>
        </w:trPr>
        <w:tc>
          <w:tcPr>
            <w:tcW w:w="3100" w:type="dxa"/>
            <w:tcMar>
              <w:top w:w="90" w:type="dxa"/>
              <w:left w:w="120" w:type="dxa"/>
              <w:bottom w:w="90" w:type="dxa"/>
              <w:right w:w="120" w:type="dxa"/>
            </w:tcMar>
            <w:vAlign w:val="center"/>
          </w:tcPr>
          <w:p w14:paraId="2BED1E68" w14:textId="765ED0AC" w:rsidR="00455809" w:rsidRDefault="00000000">
            <w:pPr>
              <w:spacing w:after="20" w:line="252" w:lineRule="auto"/>
            </w:pPr>
            <w:r>
              <w:rPr>
                <w:b/>
                <w:color w:val="0B2545"/>
                <w:sz w:val="19"/>
              </w:rPr>
              <w:lastRenderedPageBreak/>
              <w:t>Review before apply</w:t>
            </w:r>
            <w:r w:rsidR="00C34B8B">
              <w:rPr>
                <w:b/>
                <w:color w:val="0B2545"/>
                <w:sz w:val="19"/>
              </w:rPr>
              <w:t xml:space="preserve"> as optional</w:t>
            </w:r>
          </w:p>
        </w:tc>
        <w:tc>
          <w:tcPr>
            <w:tcW w:w="6260" w:type="dxa"/>
            <w:tcMar>
              <w:top w:w="90" w:type="dxa"/>
              <w:left w:w="120" w:type="dxa"/>
              <w:bottom w:w="90" w:type="dxa"/>
              <w:right w:w="120" w:type="dxa"/>
            </w:tcMar>
            <w:vAlign w:val="center"/>
          </w:tcPr>
          <w:p w14:paraId="42B4503A" w14:textId="0A10F77E" w:rsidR="00455809" w:rsidRDefault="00000000">
            <w:pPr>
              <w:spacing w:after="20" w:line="252" w:lineRule="auto"/>
            </w:pPr>
            <w:r>
              <w:rPr>
                <w:sz w:val="19"/>
              </w:rPr>
              <w:t xml:space="preserve">Rendering and mutation </w:t>
            </w:r>
            <w:r w:rsidR="00C34B8B">
              <w:rPr>
                <w:sz w:val="19"/>
              </w:rPr>
              <w:t xml:space="preserve">can </w:t>
            </w:r>
            <w:r>
              <w:rPr>
                <w:sz w:val="19"/>
              </w:rPr>
              <w:t>stay separate so generated authority remains inspectable.</w:t>
            </w:r>
          </w:p>
        </w:tc>
      </w:tr>
      <w:tr w:rsidR="00455809" w14:paraId="32249BF1" w14:textId="77777777">
        <w:trPr>
          <w:cantSplit/>
        </w:trPr>
        <w:tc>
          <w:tcPr>
            <w:tcW w:w="3100" w:type="dxa"/>
            <w:shd w:val="clear" w:color="auto" w:fill="FAFBFC"/>
            <w:tcMar>
              <w:top w:w="90" w:type="dxa"/>
              <w:left w:w="120" w:type="dxa"/>
              <w:bottom w:w="90" w:type="dxa"/>
              <w:right w:w="120" w:type="dxa"/>
            </w:tcMar>
            <w:vAlign w:val="center"/>
          </w:tcPr>
          <w:p w14:paraId="51756196" w14:textId="77777777" w:rsidR="00455809" w:rsidRDefault="00000000">
            <w:pPr>
              <w:spacing w:after="20" w:line="252" w:lineRule="auto"/>
            </w:pPr>
            <w:r>
              <w:rPr>
                <w:b/>
                <w:color w:val="0B2545"/>
                <w:sz w:val="19"/>
              </w:rPr>
              <w:t>Negative tests as product behavior</w:t>
            </w:r>
          </w:p>
        </w:tc>
        <w:tc>
          <w:tcPr>
            <w:tcW w:w="6260" w:type="dxa"/>
            <w:shd w:val="clear" w:color="auto" w:fill="FAFBFC"/>
            <w:tcMar>
              <w:top w:w="90" w:type="dxa"/>
              <w:left w:w="120" w:type="dxa"/>
              <w:bottom w:w="90" w:type="dxa"/>
              <w:right w:w="120" w:type="dxa"/>
            </w:tcMar>
            <w:vAlign w:val="center"/>
          </w:tcPr>
          <w:p w14:paraId="1F2D911C" w14:textId="77777777" w:rsidR="00455809" w:rsidRDefault="00000000">
            <w:pPr>
              <w:spacing w:after="20" w:line="252" w:lineRule="auto"/>
            </w:pPr>
            <w:r>
              <w:rPr>
                <w:sz w:val="19"/>
              </w:rPr>
              <w:t>Least privilege is demonstrated by what remains inaccessible.</w:t>
            </w:r>
          </w:p>
        </w:tc>
      </w:tr>
      <w:tr w:rsidR="00455809" w14:paraId="233EA1FD" w14:textId="77777777">
        <w:trPr>
          <w:cantSplit/>
        </w:trPr>
        <w:tc>
          <w:tcPr>
            <w:tcW w:w="3100" w:type="dxa"/>
            <w:tcMar>
              <w:top w:w="90" w:type="dxa"/>
              <w:left w:w="120" w:type="dxa"/>
              <w:bottom w:w="90" w:type="dxa"/>
              <w:right w:w="120" w:type="dxa"/>
            </w:tcMar>
            <w:vAlign w:val="center"/>
          </w:tcPr>
          <w:p w14:paraId="417F2BF1" w14:textId="77777777" w:rsidR="00455809" w:rsidRDefault="00000000">
            <w:pPr>
              <w:spacing w:after="20" w:line="252" w:lineRule="auto"/>
            </w:pPr>
            <w:r>
              <w:rPr>
                <w:b/>
                <w:color w:val="0B2545"/>
                <w:sz w:val="19"/>
              </w:rPr>
              <w:t>One workload per profile</w:t>
            </w:r>
          </w:p>
        </w:tc>
        <w:tc>
          <w:tcPr>
            <w:tcW w:w="6260" w:type="dxa"/>
            <w:tcMar>
              <w:top w:w="90" w:type="dxa"/>
              <w:left w:w="120" w:type="dxa"/>
              <w:bottom w:w="90" w:type="dxa"/>
              <w:right w:w="120" w:type="dxa"/>
            </w:tcMar>
            <w:vAlign w:val="center"/>
          </w:tcPr>
          <w:p w14:paraId="46C589A7" w14:textId="77777777" w:rsidR="00455809" w:rsidRDefault="00000000">
            <w:pPr>
              <w:spacing w:after="20" w:line="252" w:lineRule="auto"/>
            </w:pPr>
            <w:r>
              <w:rPr>
                <w:sz w:val="19"/>
              </w:rPr>
              <w:t>The output policy has an explainable relationship to one declared demand document.</w:t>
            </w:r>
          </w:p>
        </w:tc>
      </w:tr>
    </w:tbl>
    <w:p w14:paraId="34D923FA" w14:textId="77777777" w:rsidR="00455809" w:rsidRDefault="00455809">
      <w:pPr>
        <w:spacing w:after="40"/>
      </w:pPr>
    </w:p>
    <w:p w14:paraId="09460916" w14:textId="77777777" w:rsidR="00455809" w:rsidRDefault="00000000">
      <w:pPr>
        <w:pStyle w:val="Heading2"/>
      </w:pPr>
      <w:r>
        <w:t>Known limitations</w:t>
      </w:r>
    </w:p>
    <w:p w14:paraId="5ED74D9C" w14:textId="77777777" w:rsidR="00455809" w:rsidRDefault="00000000" w:rsidP="00C34B8B">
      <w:pPr>
        <w:numPr>
          <w:ilvl w:val="0"/>
          <w:numId w:val="10"/>
        </w:numPr>
        <w:spacing w:after="160" w:line="281" w:lineRule="auto"/>
      </w:pPr>
      <w:r>
        <w:t>Method/path matching does not yet validate request or response schema compatibility.</w:t>
      </w:r>
    </w:p>
    <w:p w14:paraId="04C9317E" w14:textId="77777777" w:rsidR="00455809" w:rsidRDefault="00000000" w:rsidP="00C34B8B">
      <w:pPr>
        <w:numPr>
          <w:ilvl w:val="0"/>
          <w:numId w:val="10"/>
        </w:numPr>
        <w:spacing w:after="160" w:line="281" w:lineRule="auto"/>
      </w:pPr>
      <w:r>
        <w:t>Every provider Component is assumed to resolve to exactly one Service in one namespace.</w:t>
      </w:r>
    </w:p>
    <w:p w14:paraId="357C5DC1" w14:textId="77777777" w:rsidR="00455809" w:rsidRDefault="00000000" w:rsidP="00C34B8B">
      <w:pPr>
        <w:numPr>
          <w:ilvl w:val="0"/>
          <w:numId w:val="10"/>
        </w:numPr>
        <w:spacing w:after="160" w:line="281" w:lineRule="auto"/>
      </w:pPr>
      <w:r>
        <w:t>Port selection needs a documented rule when a Service exposes multiple HTTP ports.</w:t>
      </w:r>
    </w:p>
    <w:p w14:paraId="7F258AAE" w14:textId="77777777" w:rsidR="00455809" w:rsidRDefault="00000000" w:rsidP="00C34B8B">
      <w:pPr>
        <w:numPr>
          <w:ilvl w:val="0"/>
          <w:numId w:val="10"/>
        </w:numPr>
        <w:spacing w:after="160" w:line="281" w:lineRule="auto"/>
      </w:pPr>
      <w:r>
        <w:t>Cilium L7 policy behavior depends on proxy visibility and protocol configuration.</w:t>
      </w:r>
    </w:p>
    <w:p w14:paraId="5E461FAF" w14:textId="77777777" w:rsidR="00455809" w:rsidRDefault="00000000" w:rsidP="00C34B8B">
      <w:pPr>
        <w:numPr>
          <w:ilvl w:val="0"/>
          <w:numId w:val="10"/>
        </w:numPr>
        <w:spacing w:after="160" w:line="281" w:lineRule="auto"/>
      </w:pPr>
      <w:r>
        <w:t>Version pins become trustworthy only after the complete stack is installed and exercised together.</w:t>
      </w:r>
    </w:p>
    <w:p w14:paraId="433A5AC2" w14:textId="77777777" w:rsidR="00455809" w:rsidRDefault="00000000" w:rsidP="00C34B8B">
      <w:pPr>
        <w:numPr>
          <w:ilvl w:val="0"/>
          <w:numId w:val="10"/>
        </w:numPr>
        <w:spacing w:after="160" w:line="281" w:lineRule="auto"/>
      </w:pPr>
      <w:r>
        <w:t>The lab does not address TLS interception, service mesh policy composition, or cross-cluster discovery.</w:t>
      </w:r>
    </w:p>
    <w:p w14:paraId="30B8AAAE" w14:textId="77777777" w:rsidR="00455809" w:rsidRDefault="00000000">
      <w:pPr>
        <w:pStyle w:val="Heading2"/>
      </w:pPr>
      <w:r>
        <w:t>Follow-on milestones</w:t>
      </w:r>
    </w:p>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2100"/>
        <w:gridCol w:w="3300"/>
        <w:gridCol w:w="3960"/>
      </w:tblGrid>
      <w:tr w:rsidR="00455809" w14:paraId="7F0AF5B5" w14:textId="77777777">
        <w:trPr>
          <w:cantSplit/>
          <w:tblHeader/>
        </w:trPr>
        <w:tc>
          <w:tcPr>
            <w:tcW w:w="2100" w:type="dxa"/>
            <w:shd w:val="clear" w:color="auto" w:fill="0B2545"/>
            <w:tcMar>
              <w:top w:w="90" w:type="dxa"/>
              <w:left w:w="120" w:type="dxa"/>
              <w:bottom w:w="90" w:type="dxa"/>
              <w:right w:w="120" w:type="dxa"/>
            </w:tcMar>
            <w:vAlign w:val="center"/>
          </w:tcPr>
          <w:p w14:paraId="3778A5C2" w14:textId="77777777" w:rsidR="00455809" w:rsidRDefault="00000000">
            <w:pPr>
              <w:spacing w:after="0"/>
            </w:pPr>
            <w:r>
              <w:rPr>
                <w:b/>
                <w:color w:val="FFFFFF"/>
                <w:sz w:val="18"/>
              </w:rPr>
              <w:t>Milestone</w:t>
            </w:r>
          </w:p>
        </w:tc>
        <w:tc>
          <w:tcPr>
            <w:tcW w:w="3300" w:type="dxa"/>
            <w:shd w:val="clear" w:color="auto" w:fill="0B2545"/>
            <w:tcMar>
              <w:top w:w="90" w:type="dxa"/>
              <w:left w:w="120" w:type="dxa"/>
              <w:bottom w:w="90" w:type="dxa"/>
              <w:right w:w="120" w:type="dxa"/>
            </w:tcMar>
            <w:vAlign w:val="center"/>
          </w:tcPr>
          <w:p w14:paraId="2A7BE76F" w14:textId="77777777" w:rsidR="00455809" w:rsidRDefault="00000000">
            <w:pPr>
              <w:spacing w:after="0"/>
            </w:pPr>
            <w:r>
              <w:rPr>
                <w:b/>
                <w:color w:val="FFFFFF"/>
                <w:sz w:val="18"/>
              </w:rPr>
              <w:t>Profile demand</w:t>
            </w:r>
          </w:p>
        </w:tc>
        <w:tc>
          <w:tcPr>
            <w:tcW w:w="3960" w:type="dxa"/>
            <w:shd w:val="clear" w:color="auto" w:fill="0B2545"/>
            <w:tcMar>
              <w:top w:w="90" w:type="dxa"/>
              <w:left w:w="120" w:type="dxa"/>
              <w:bottom w:w="90" w:type="dxa"/>
              <w:right w:w="120" w:type="dxa"/>
            </w:tcMar>
            <w:vAlign w:val="center"/>
          </w:tcPr>
          <w:p w14:paraId="6E6A4CA3" w14:textId="77777777" w:rsidR="00455809" w:rsidRDefault="00000000">
            <w:pPr>
              <w:spacing w:after="0"/>
            </w:pPr>
            <w:r>
              <w:rPr>
                <w:b/>
                <w:color w:val="FFFFFF"/>
                <w:sz w:val="18"/>
              </w:rPr>
              <w:t>Possible platform output</w:t>
            </w:r>
          </w:p>
        </w:tc>
      </w:tr>
      <w:tr w:rsidR="00455809" w14:paraId="530A33E6" w14:textId="77777777">
        <w:trPr>
          <w:cantSplit/>
        </w:trPr>
        <w:tc>
          <w:tcPr>
            <w:tcW w:w="2100" w:type="dxa"/>
            <w:tcMar>
              <w:top w:w="90" w:type="dxa"/>
              <w:left w:w="120" w:type="dxa"/>
              <w:bottom w:w="90" w:type="dxa"/>
              <w:right w:w="120" w:type="dxa"/>
            </w:tcMar>
            <w:vAlign w:val="center"/>
          </w:tcPr>
          <w:p w14:paraId="6281218E" w14:textId="77777777" w:rsidR="00455809" w:rsidRDefault="00000000">
            <w:pPr>
              <w:spacing w:after="20" w:line="250" w:lineRule="auto"/>
            </w:pPr>
            <w:r>
              <w:rPr>
                <w:b/>
                <w:color w:val="0B2545"/>
                <w:sz w:val="17"/>
              </w:rPr>
              <w:t>2 · Stateful services</w:t>
            </w:r>
          </w:p>
        </w:tc>
        <w:tc>
          <w:tcPr>
            <w:tcW w:w="3300" w:type="dxa"/>
            <w:tcMar>
              <w:top w:w="90" w:type="dxa"/>
              <w:left w:w="120" w:type="dxa"/>
              <w:bottom w:w="90" w:type="dxa"/>
              <w:right w:w="120" w:type="dxa"/>
            </w:tcMar>
            <w:vAlign w:val="center"/>
          </w:tcPr>
          <w:p w14:paraId="0EF127B8" w14:textId="77777777" w:rsidR="00455809" w:rsidRDefault="00000000">
            <w:pPr>
              <w:spacing w:after="20" w:line="250" w:lineRule="auto"/>
            </w:pPr>
            <w:r>
              <w:rPr>
                <w:sz w:val="17"/>
              </w:rPr>
              <w:t>Postgres datastore and Redis cache</w:t>
            </w:r>
          </w:p>
        </w:tc>
        <w:tc>
          <w:tcPr>
            <w:tcW w:w="3960" w:type="dxa"/>
            <w:tcMar>
              <w:top w:w="90" w:type="dxa"/>
              <w:left w:w="120" w:type="dxa"/>
              <w:bottom w:w="90" w:type="dxa"/>
              <w:right w:w="120" w:type="dxa"/>
            </w:tcMar>
            <w:vAlign w:val="center"/>
          </w:tcPr>
          <w:p w14:paraId="548D7D3B" w14:textId="77777777" w:rsidR="00455809" w:rsidRDefault="00000000">
            <w:pPr>
              <w:spacing w:after="20" w:line="250" w:lineRule="auto"/>
            </w:pPr>
            <w:r>
              <w:rPr>
                <w:sz w:val="17"/>
              </w:rPr>
              <w:t>Service egress, bindings, ConfigMaps and Secrets</w:t>
            </w:r>
          </w:p>
        </w:tc>
      </w:tr>
      <w:tr w:rsidR="00455809" w14:paraId="52C5A40B" w14:textId="77777777">
        <w:trPr>
          <w:cantSplit/>
        </w:trPr>
        <w:tc>
          <w:tcPr>
            <w:tcW w:w="2100" w:type="dxa"/>
            <w:shd w:val="clear" w:color="auto" w:fill="FAFBFC"/>
            <w:tcMar>
              <w:top w:w="90" w:type="dxa"/>
              <w:left w:w="120" w:type="dxa"/>
              <w:bottom w:w="90" w:type="dxa"/>
              <w:right w:w="120" w:type="dxa"/>
            </w:tcMar>
            <w:vAlign w:val="center"/>
          </w:tcPr>
          <w:p w14:paraId="4975D4DF" w14:textId="77777777" w:rsidR="00455809" w:rsidRDefault="00000000">
            <w:pPr>
              <w:spacing w:after="20" w:line="250" w:lineRule="auto"/>
            </w:pPr>
            <w:r>
              <w:rPr>
                <w:b/>
                <w:color w:val="0B2545"/>
                <w:sz w:val="17"/>
              </w:rPr>
              <w:t>3 · Messaging</w:t>
            </w:r>
          </w:p>
        </w:tc>
        <w:tc>
          <w:tcPr>
            <w:tcW w:w="3300" w:type="dxa"/>
            <w:shd w:val="clear" w:color="auto" w:fill="FAFBFC"/>
            <w:tcMar>
              <w:top w:w="90" w:type="dxa"/>
              <w:left w:w="120" w:type="dxa"/>
              <w:bottom w:w="90" w:type="dxa"/>
              <w:right w:w="120" w:type="dxa"/>
            </w:tcMar>
            <w:vAlign w:val="center"/>
          </w:tcPr>
          <w:p w14:paraId="48745271" w14:textId="77777777" w:rsidR="00455809" w:rsidRDefault="00000000">
            <w:pPr>
              <w:spacing w:after="20" w:line="250" w:lineRule="auto"/>
            </w:pPr>
            <w:r>
              <w:rPr>
                <w:sz w:val="17"/>
              </w:rPr>
              <w:t>NATS actions and subjects</w:t>
            </w:r>
          </w:p>
        </w:tc>
        <w:tc>
          <w:tcPr>
            <w:tcW w:w="3960" w:type="dxa"/>
            <w:shd w:val="clear" w:color="auto" w:fill="FAFBFC"/>
            <w:tcMar>
              <w:top w:w="90" w:type="dxa"/>
              <w:left w:w="120" w:type="dxa"/>
              <w:bottom w:w="90" w:type="dxa"/>
              <w:right w:w="120" w:type="dxa"/>
            </w:tcMar>
            <w:vAlign w:val="center"/>
          </w:tcPr>
          <w:p w14:paraId="318B9451" w14:textId="77777777" w:rsidR="00455809" w:rsidRDefault="00000000">
            <w:pPr>
              <w:spacing w:after="20" w:line="250" w:lineRule="auto"/>
            </w:pPr>
            <w:r>
              <w:rPr>
                <w:sz w:val="17"/>
              </w:rPr>
              <w:t>Broker egress plus subject-level authorization</w:t>
            </w:r>
          </w:p>
        </w:tc>
      </w:tr>
      <w:tr w:rsidR="00455809" w14:paraId="5601704F" w14:textId="77777777">
        <w:trPr>
          <w:cantSplit/>
        </w:trPr>
        <w:tc>
          <w:tcPr>
            <w:tcW w:w="2100" w:type="dxa"/>
            <w:tcMar>
              <w:top w:w="90" w:type="dxa"/>
              <w:left w:w="120" w:type="dxa"/>
              <w:bottom w:w="90" w:type="dxa"/>
              <w:right w:w="120" w:type="dxa"/>
            </w:tcMar>
            <w:vAlign w:val="center"/>
          </w:tcPr>
          <w:p w14:paraId="033311D1" w14:textId="77777777" w:rsidR="00455809" w:rsidRDefault="00000000">
            <w:pPr>
              <w:spacing w:after="20" w:line="250" w:lineRule="auto"/>
            </w:pPr>
            <w:r>
              <w:rPr>
                <w:b/>
                <w:color w:val="0B2545"/>
                <w:sz w:val="17"/>
              </w:rPr>
              <w:t>4 · External APIs</w:t>
            </w:r>
          </w:p>
        </w:tc>
        <w:tc>
          <w:tcPr>
            <w:tcW w:w="3300" w:type="dxa"/>
            <w:tcMar>
              <w:top w:w="90" w:type="dxa"/>
              <w:left w:w="120" w:type="dxa"/>
              <w:bottom w:w="90" w:type="dxa"/>
              <w:right w:w="120" w:type="dxa"/>
            </w:tcMar>
            <w:vAlign w:val="center"/>
          </w:tcPr>
          <w:p w14:paraId="593F2DE8" w14:textId="77777777" w:rsidR="00455809" w:rsidRDefault="00000000">
            <w:pPr>
              <w:spacing w:after="20" w:line="250" w:lineRule="auto"/>
            </w:pPr>
            <w:r>
              <w:rPr>
                <w:sz w:val="17"/>
              </w:rPr>
              <w:t>Hostname and HTTP operations</w:t>
            </w:r>
          </w:p>
        </w:tc>
        <w:tc>
          <w:tcPr>
            <w:tcW w:w="3960" w:type="dxa"/>
            <w:tcMar>
              <w:top w:w="90" w:type="dxa"/>
              <w:left w:w="120" w:type="dxa"/>
              <w:bottom w:w="90" w:type="dxa"/>
              <w:right w:w="120" w:type="dxa"/>
            </w:tcMar>
            <w:vAlign w:val="center"/>
          </w:tcPr>
          <w:p w14:paraId="67D0F2D9" w14:textId="77777777" w:rsidR="00455809" w:rsidRDefault="00000000">
            <w:pPr>
              <w:spacing w:after="20" w:line="250" w:lineRule="auto"/>
            </w:pPr>
            <w:r>
              <w:rPr>
                <w:sz w:val="17"/>
              </w:rPr>
              <w:t>FQDN and L7 egress policy</w:t>
            </w:r>
          </w:p>
        </w:tc>
      </w:tr>
      <w:tr w:rsidR="00455809" w14:paraId="197AE152" w14:textId="77777777">
        <w:trPr>
          <w:cantSplit/>
        </w:trPr>
        <w:tc>
          <w:tcPr>
            <w:tcW w:w="2100" w:type="dxa"/>
            <w:shd w:val="clear" w:color="auto" w:fill="FAFBFC"/>
            <w:tcMar>
              <w:top w:w="90" w:type="dxa"/>
              <w:left w:w="120" w:type="dxa"/>
              <w:bottom w:w="90" w:type="dxa"/>
              <w:right w:w="120" w:type="dxa"/>
            </w:tcMar>
            <w:vAlign w:val="center"/>
          </w:tcPr>
          <w:p w14:paraId="103E5BBF" w14:textId="77777777" w:rsidR="00455809" w:rsidRDefault="00000000">
            <w:pPr>
              <w:spacing w:after="20" w:line="250" w:lineRule="auto"/>
            </w:pPr>
            <w:r>
              <w:rPr>
                <w:b/>
                <w:color w:val="0B2545"/>
                <w:sz w:val="17"/>
              </w:rPr>
              <w:t>5 · Rich compatibility</w:t>
            </w:r>
          </w:p>
        </w:tc>
        <w:tc>
          <w:tcPr>
            <w:tcW w:w="3300" w:type="dxa"/>
            <w:shd w:val="clear" w:color="auto" w:fill="FAFBFC"/>
            <w:tcMar>
              <w:top w:w="90" w:type="dxa"/>
              <w:left w:w="120" w:type="dxa"/>
              <w:bottom w:w="90" w:type="dxa"/>
              <w:right w:w="120" w:type="dxa"/>
            </w:tcMar>
            <w:vAlign w:val="center"/>
          </w:tcPr>
          <w:p w14:paraId="43526815" w14:textId="77777777" w:rsidR="00455809" w:rsidRDefault="00000000">
            <w:pPr>
              <w:spacing w:after="20" w:line="250" w:lineRule="auto"/>
            </w:pPr>
            <w:r>
              <w:rPr>
                <w:sz w:val="17"/>
              </w:rPr>
              <w:t>Operation schemas or contract references</w:t>
            </w:r>
          </w:p>
        </w:tc>
        <w:tc>
          <w:tcPr>
            <w:tcW w:w="3960" w:type="dxa"/>
            <w:shd w:val="clear" w:color="auto" w:fill="FAFBFC"/>
            <w:tcMar>
              <w:top w:w="90" w:type="dxa"/>
              <w:left w:w="120" w:type="dxa"/>
              <w:bottom w:w="90" w:type="dxa"/>
              <w:right w:w="120" w:type="dxa"/>
            </w:tcMar>
            <w:vAlign w:val="center"/>
          </w:tcPr>
          <w:p w14:paraId="4B6FC239" w14:textId="77777777" w:rsidR="00455809" w:rsidRDefault="00000000">
            <w:pPr>
              <w:spacing w:after="20" w:line="250" w:lineRule="auto"/>
            </w:pPr>
            <w:r>
              <w:rPr>
                <w:sz w:val="17"/>
              </w:rPr>
              <w:t>Pre-deployment API compatibility checks</w:t>
            </w:r>
          </w:p>
        </w:tc>
      </w:tr>
      <w:tr w:rsidR="00455809" w14:paraId="09ED73A7" w14:textId="77777777">
        <w:trPr>
          <w:cantSplit/>
        </w:trPr>
        <w:tc>
          <w:tcPr>
            <w:tcW w:w="2100" w:type="dxa"/>
            <w:tcMar>
              <w:top w:w="90" w:type="dxa"/>
              <w:left w:w="120" w:type="dxa"/>
              <w:bottom w:w="90" w:type="dxa"/>
              <w:right w:w="120" w:type="dxa"/>
            </w:tcMar>
            <w:vAlign w:val="center"/>
          </w:tcPr>
          <w:p w14:paraId="1A22CDC0" w14:textId="77777777" w:rsidR="00455809" w:rsidRDefault="00000000">
            <w:pPr>
              <w:spacing w:after="20" w:line="250" w:lineRule="auto"/>
            </w:pPr>
            <w:r>
              <w:rPr>
                <w:b/>
                <w:color w:val="0B2545"/>
                <w:sz w:val="17"/>
              </w:rPr>
              <w:t>6 · Continuous reconciliation</w:t>
            </w:r>
          </w:p>
        </w:tc>
        <w:tc>
          <w:tcPr>
            <w:tcW w:w="3300" w:type="dxa"/>
            <w:tcMar>
              <w:top w:w="90" w:type="dxa"/>
              <w:left w:w="120" w:type="dxa"/>
              <w:bottom w:w="90" w:type="dxa"/>
              <w:right w:w="120" w:type="dxa"/>
            </w:tcMar>
            <w:vAlign w:val="center"/>
          </w:tcPr>
          <w:p w14:paraId="443BF2C0" w14:textId="77777777" w:rsidR="00455809" w:rsidRDefault="00000000">
            <w:pPr>
              <w:spacing w:after="20" w:line="250" w:lineRule="auto"/>
            </w:pPr>
            <w:r>
              <w:rPr>
                <w:sz w:val="17"/>
              </w:rPr>
              <w:t>Versioned profile changes</w:t>
            </w:r>
          </w:p>
        </w:tc>
        <w:tc>
          <w:tcPr>
            <w:tcW w:w="3960" w:type="dxa"/>
            <w:tcMar>
              <w:top w:w="90" w:type="dxa"/>
              <w:left w:w="120" w:type="dxa"/>
              <w:bottom w:w="90" w:type="dxa"/>
              <w:right w:w="120" w:type="dxa"/>
            </w:tcMar>
            <w:vAlign w:val="center"/>
          </w:tcPr>
          <w:p w14:paraId="4ADC8BD6" w14:textId="77777777" w:rsidR="00455809" w:rsidRDefault="00000000">
            <w:pPr>
              <w:spacing w:after="20" w:line="250" w:lineRule="auto"/>
            </w:pPr>
            <w:r>
              <w:rPr>
                <w:sz w:val="17"/>
              </w:rPr>
              <w:t>Policy diff, drift detection, and controlled rollout</w:t>
            </w:r>
          </w:p>
        </w:tc>
      </w:tr>
    </w:tbl>
    <w:p w14:paraId="757A7826" w14:textId="77777777" w:rsidR="00455809" w:rsidRDefault="00455809">
      <w:pPr>
        <w:spacing w:after="40"/>
      </w:pPr>
    </w:p>
    <w:p w14:paraId="766049A1" w14:textId="77777777" w:rsidR="00455809" w:rsidRDefault="00000000">
      <w:pPr>
        <w:keepNext/>
        <w:spacing w:after="60"/>
      </w:pPr>
      <w:r>
        <w:rPr>
          <w:b/>
          <w:color w:val="178F8B"/>
          <w:sz w:val="20"/>
        </w:rPr>
        <w:t>APPENDIX</w:t>
      </w:r>
    </w:p>
    <w:p w14:paraId="66F5A10B" w14:textId="77777777" w:rsidR="00455809" w:rsidRDefault="00000000">
      <w:pPr>
        <w:pStyle w:val="Heading1"/>
        <w:spacing w:before="0"/>
      </w:pPr>
      <w:r>
        <w:t>Vocabulary and repository grounding</w:t>
      </w:r>
    </w:p>
    <w:p w14:paraId="78301110" w14:textId="77777777" w:rsidR="00455809" w:rsidRDefault="00000000">
      <w:pPr>
        <w:spacing w:after="240" w:line="269" w:lineRule="auto"/>
      </w:pPr>
      <w:r>
        <w:rPr>
          <w:color w:val="536273"/>
          <w:sz w:val="25"/>
        </w:rPr>
        <w:t>A compact reference for readers joining the project without a presenter.</w:t>
      </w:r>
    </w:p>
    <w:p w14:paraId="670B8C7E" w14:textId="77777777" w:rsidR="00455809" w:rsidRDefault="00000000">
      <w:pPr>
        <w:pStyle w:val="Heading2"/>
      </w:pPr>
      <w:r>
        <w:lastRenderedPageBreak/>
        <w:t>Working vocabulary</w:t>
      </w:r>
    </w:p>
    <w:tbl>
      <w:tblPr>
        <w:tblW w:w="9360" w:type="dxa"/>
        <w:tblInd w:w="120" w:type="dxa"/>
        <w:tblBorders>
          <w:top w:val="single" w:sz="6" w:space="0" w:color="D8E0E8"/>
          <w:left w:val="single" w:sz="6" w:space="0" w:color="D8E0E8"/>
          <w:bottom w:val="single" w:sz="6" w:space="0" w:color="D8E0E8"/>
          <w:right w:val="single" w:sz="6" w:space="0" w:color="D8E0E8"/>
          <w:insideH w:val="single" w:sz="6" w:space="0" w:color="D8E0E8"/>
          <w:insideV w:val="single" w:sz="6" w:space="0" w:color="D8E0E8"/>
        </w:tblBorders>
        <w:tblLayout w:type="fixed"/>
        <w:tblLook w:val="04A0" w:firstRow="1" w:lastRow="0" w:firstColumn="1" w:lastColumn="0" w:noHBand="0" w:noVBand="1"/>
      </w:tblPr>
      <w:tblGrid>
        <w:gridCol w:w="2750"/>
        <w:gridCol w:w="6610"/>
      </w:tblGrid>
      <w:tr w:rsidR="00455809" w14:paraId="219EF90A" w14:textId="77777777">
        <w:trPr>
          <w:cantSplit/>
        </w:trPr>
        <w:tc>
          <w:tcPr>
            <w:tcW w:w="2750" w:type="dxa"/>
            <w:shd w:val="clear" w:color="auto" w:fill="FAFBFC"/>
            <w:tcMar>
              <w:top w:w="90" w:type="dxa"/>
              <w:left w:w="120" w:type="dxa"/>
              <w:bottom w:w="90" w:type="dxa"/>
              <w:right w:w="120" w:type="dxa"/>
            </w:tcMar>
            <w:vAlign w:val="center"/>
          </w:tcPr>
          <w:p w14:paraId="4119BD60" w14:textId="77777777" w:rsidR="00455809" w:rsidRDefault="00000000">
            <w:pPr>
              <w:spacing w:after="20" w:line="252" w:lineRule="auto"/>
            </w:pPr>
            <w:r>
              <w:rPr>
                <w:b/>
                <w:color w:val="0B2545"/>
                <w:sz w:val="19"/>
              </w:rPr>
              <w:t>Runtime Conditions Profile</w:t>
            </w:r>
          </w:p>
        </w:tc>
        <w:tc>
          <w:tcPr>
            <w:tcW w:w="6610" w:type="dxa"/>
            <w:shd w:val="clear" w:color="auto" w:fill="FAFBFC"/>
            <w:tcMar>
              <w:top w:w="90" w:type="dxa"/>
              <w:left w:w="120" w:type="dxa"/>
              <w:bottom w:w="90" w:type="dxa"/>
              <w:right w:w="120" w:type="dxa"/>
            </w:tcMar>
            <w:vAlign w:val="center"/>
          </w:tcPr>
          <w:p w14:paraId="1382F288" w14:textId="77777777" w:rsidR="00455809" w:rsidRDefault="00000000">
            <w:pPr>
              <w:spacing w:after="20" w:line="252" w:lineRule="auto"/>
            </w:pPr>
            <w:r>
              <w:rPr>
                <w:sz w:val="19"/>
              </w:rPr>
              <w:t>Portable declaration of the external integrations required by one workload.</w:t>
            </w:r>
          </w:p>
        </w:tc>
      </w:tr>
      <w:tr w:rsidR="00455809" w14:paraId="606E5646" w14:textId="77777777">
        <w:trPr>
          <w:cantSplit/>
        </w:trPr>
        <w:tc>
          <w:tcPr>
            <w:tcW w:w="2750" w:type="dxa"/>
            <w:tcMar>
              <w:top w:w="90" w:type="dxa"/>
              <w:left w:w="120" w:type="dxa"/>
              <w:bottom w:w="90" w:type="dxa"/>
              <w:right w:w="120" w:type="dxa"/>
            </w:tcMar>
            <w:vAlign w:val="center"/>
          </w:tcPr>
          <w:p w14:paraId="6AC4BFDC" w14:textId="77777777" w:rsidR="00455809" w:rsidRDefault="00000000">
            <w:pPr>
              <w:spacing w:after="20" w:line="252" w:lineRule="auto"/>
            </w:pPr>
            <w:r>
              <w:rPr>
                <w:b/>
                <w:color w:val="0B2545"/>
                <w:sz w:val="19"/>
              </w:rPr>
              <w:t>Condition</w:t>
            </w:r>
          </w:p>
        </w:tc>
        <w:tc>
          <w:tcPr>
            <w:tcW w:w="6610" w:type="dxa"/>
            <w:tcMar>
              <w:top w:w="90" w:type="dxa"/>
              <w:left w:w="120" w:type="dxa"/>
              <w:bottom w:w="90" w:type="dxa"/>
              <w:right w:w="120" w:type="dxa"/>
            </w:tcMar>
            <w:vAlign w:val="center"/>
          </w:tcPr>
          <w:p w14:paraId="190142DA" w14:textId="77777777" w:rsidR="00455809" w:rsidRDefault="00000000">
            <w:pPr>
              <w:spacing w:after="20" w:line="252" w:lineRule="auto"/>
            </w:pPr>
            <w:r>
              <w:rPr>
                <w:sz w:val="19"/>
              </w:rPr>
              <w:t>One required or optional runtime dependency expressed with extension-owned vocabulary.</w:t>
            </w:r>
          </w:p>
        </w:tc>
      </w:tr>
      <w:tr w:rsidR="00455809" w14:paraId="29D55079" w14:textId="77777777">
        <w:trPr>
          <w:cantSplit/>
        </w:trPr>
        <w:tc>
          <w:tcPr>
            <w:tcW w:w="2750" w:type="dxa"/>
            <w:shd w:val="clear" w:color="auto" w:fill="FAFBFC"/>
            <w:tcMar>
              <w:top w:w="90" w:type="dxa"/>
              <w:left w:w="120" w:type="dxa"/>
              <w:bottom w:w="90" w:type="dxa"/>
              <w:right w:w="120" w:type="dxa"/>
            </w:tcMar>
            <w:vAlign w:val="center"/>
          </w:tcPr>
          <w:p w14:paraId="03F0944C" w14:textId="77777777" w:rsidR="00455809" w:rsidRDefault="00000000">
            <w:pPr>
              <w:spacing w:after="20" w:line="252" w:lineRule="auto"/>
            </w:pPr>
            <w:r>
              <w:rPr>
                <w:b/>
                <w:color w:val="0B2545"/>
                <w:sz w:val="19"/>
              </w:rPr>
              <w:t>Extension</w:t>
            </w:r>
          </w:p>
        </w:tc>
        <w:tc>
          <w:tcPr>
            <w:tcW w:w="6610" w:type="dxa"/>
            <w:shd w:val="clear" w:color="auto" w:fill="FAFBFC"/>
            <w:tcMar>
              <w:top w:w="90" w:type="dxa"/>
              <w:left w:w="120" w:type="dxa"/>
              <w:bottom w:w="90" w:type="dxa"/>
              <w:right w:w="120" w:type="dxa"/>
            </w:tcMar>
            <w:vAlign w:val="center"/>
          </w:tcPr>
          <w:p w14:paraId="3F75EB6B" w14:textId="77777777" w:rsidR="00455809" w:rsidRDefault="00000000">
            <w:pPr>
              <w:spacing w:after="20" w:line="252" w:lineRule="auto"/>
            </w:pPr>
            <w:r>
              <w:rPr>
                <w:sz w:val="19"/>
              </w:rPr>
              <w:t>A versioned vocabulary package defining kinds, interface types, fields, values, and validation schemas.</w:t>
            </w:r>
          </w:p>
        </w:tc>
      </w:tr>
      <w:tr w:rsidR="00455809" w14:paraId="7D696C19" w14:textId="77777777">
        <w:trPr>
          <w:cantSplit/>
        </w:trPr>
        <w:tc>
          <w:tcPr>
            <w:tcW w:w="2750" w:type="dxa"/>
            <w:tcMar>
              <w:top w:w="90" w:type="dxa"/>
              <w:left w:w="120" w:type="dxa"/>
              <w:bottom w:w="90" w:type="dxa"/>
              <w:right w:w="120" w:type="dxa"/>
            </w:tcMar>
            <w:vAlign w:val="center"/>
          </w:tcPr>
          <w:p w14:paraId="777CFB4F" w14:textId="77777777" w:rsidR="00455809" w:rsidRDefault="00000000">
            <w:pPr>
              <w:spacing w:after="20" w:line="252" w:lineRule="auto"/>
            </w:pPr>
            <w:r>
              <w:rPr>
                <w:b/>
                <w:color w:val="0B2545"/>
                <w:sz w:val="19"/>
              </w:rPr>
              <w:t>Adapter</w:t>
            </w:r>
          </w:p>
        </w:tc>
        <w:tc>
          <w:tcPr>
            <w:tcW w:w="6610" w:type="dxa"/>
            <w:tcMar>
              <w:top w:w="90" w:type="dxa"/>
              <w:left w:w="120" w:type="dxa"/>
              <w:bottom w:w="90" w:type="dxa"/>
              <w:right w:w="120" w:type="dxa"/>
            </w:tcMar>
            <w:vAlign w:val="center"/>
          </w:tcPr>
          <w:p w14:paraId="10C1FF3C" w14:textId="77777777" w:rsidR="00455809" w:rsidRDefault="00000000">
            <w:pPr>
              <w:spacing w:after="20" w:line="252" w:lineRule="auto"/>
            </w:pPr>
            <w:r>
              <w:rPr>
                <w:sz w:val="19"/>
              </w:rPr>
              <w:t>Platform-specific component that maps a valid profile to services, policies, configuration, resources, or workflow steps.</w:t>
            </w:r>
          </w:p>
        </w:tc>
      </w:tr>
      <w:tr w:rsidR="00455809" w14:paraId="69903172" w14:textId="77777777">
        <w:trPr>
          <w:cantSplit/>
        </w:trPr>
        <w:tc>
          <w:tcPr>
            <w:tcW w:w="2750" w:type="dxa"/>
            <w:shd w:val="clear" w:color="auto" w:fill="FAFBFC"/>
            <w:tcMar>
              <w:top w:w="90" w:type="dxa"/>
              <w:left w:w="120" w:type="dxa"/>
              <w:bottom w:w="90" w:type="dxa"/>
              <w:right w:w="120" w:type="dxa"/>
            </w:tcMar>
            <w:vAlign w:val="center"/>
          </w:tcPr>
          <w:p w14:paraId="5064E9FA" w14:textId="77777777" w:rsidR="00455809" w:rsidRDefault="00000000">
            <w:pPr>
              <w:spacing w:after="20" w:line="252" w:lineRule="auto"/>
            </w:pPr>
            <w:r>
              <w:rPr>
                <w:b/>
                <w:color w:val="0B2545"/>
                <w:sz w:val="19"/>
              </w:rPr>
              <w:t>Backstage API entity</w:t>
            </w:r>
          </w:p>
        </w:tc>
        <w:tc>
          <w:tcPr>
            <w:tcW w:w="6610" w:type="dxa"/>
            <w:shd w:val="clear" w:color="auto" w:fill="FAFBFC"/>
            <w:tcMar>
              <w:top w:w="90" w:type="dxa"/>
              <w:left w:w="120" w:type="dxa"/>
              <w:bottom w:w="90" w:type="dxa"/>
              <w:right w:w="120" w:type="dxa"/>
            </w:tcMar>
            <w:vAlign w:val="center"/>
          </w:tcPr>
          <w:p w14:paraId="4A70EF11" w14:textId="77777777" w:rsidR="00455809" w:rsidRDefault="00000000">
            <w:pPr>
              <w:spacing w:after="20" w:line="252" w:lineRule="auto"/>
            </w:pPr>
            <w:r>
              <w:rPr>
                <w:sz w:val="19"/>
              </w:rPr>
              <w:t>Supply-side contract containing an OpenAPI document for capability comparison.</w:t>
            </w:r>
          </w:p>
        </w:tc>
      </w:tr>
      <w:tr w:rsidR="00455809" w14:paraId="73B9D432" w14:textId="77777777">
        <w:trPr>
          <w:cantSplit/>
        </w:trPr>
        <w:tc>
          <w:tcPr>
            <w:tcW w:w="2750" w:type="dxa"/>
            <w:tcMar>
              <w:top w:w="90" w:type="dxa"/>
              <w:left w:w="120" w:type="dxa"/>
              <w:bottom w:w="90" w:type="dxa"/>
              <w:right w:w="120" w:type="dxa"/>
            </w:tcMar>
            <w:vAlign w:val="center"/>
          </w:tcPr>
          <w:p w14:paraId="5BC5CD2F" w14:textId="77777777" w:rsidR="00455809" w:rsidRDefault="00000000">
            <w:pPr>
              <w:spacing w:after="20" w:line="252" w:lineRule="auto"/>
            </w:pPr>
            <w:r>
              <w:rPr>
                <w:b/>
                <w:color w:val="0B2545"/>
                <w:sz w:val="19"/>
              </w:rPr>
              <w:t>Backstage Component</w:t>
            </w:r>
          </w:p>
        </w:tc>
        <w:tc>
          <w:tcPr>
            <w:tcW w:w="6610" w:type="dxa"/>
            <w:tcMar>
              <w:top w:w="90" w:type="dxa"/>
              <w:left w:w="120" w:type="dxa"/>
              <w:bottom w:w="90" w:type="dxa"/>
              <w:right w:w="120" w:type="dxa"/>
            </w:tcMar>
            <w:vAlign w:val="center"/>
          </w:tcPr>
          <w:p w14:paraId="4E5D7E0F" w14:textId="77777777" w:rsidR="00455809" w:rsidRDefault="00000000">
            <w:pPr>
              <w:spacing w:after="20" w:line="252" w:lineRule="auto"/>
            </w:pPr>
            <w:r>
              <w:rPr>
                <w:sz w:val="19"/>
              </w:rPr>
              <w:t>Provider identity and ownership record linked to Kubernetes provenance.</w:t>
            </w:r>
          </w:p>
        </w:tc>
      </w:tr>
      <w:tr w:rsidR="00455809" w14:paraId="69200A09" w14:textId="77777777">
        <w:trPr>
          <w:cantSplit/>
        </w:trPr>
        <w:tc>
          <w:tcPr>
            <w:tcW w:w="2750" w:type="dxa"/>
            <w:shd w:val="clear" w:color="auto" w:fill="FAFBFC"/>
            <w:tcMar>
              <w:top w:w="90" w:type="dxa"/>
              <w:left w:w="120" w:type="dxa"/>
              <w:bottom w:w="90" w:type="dxa"/>
              <w:right w:w="120" w:type="dxa"/>
            </w:tcMar>
            <w:vAlign w:val="center"/>
          </w:tcPr>
          <w:p w14:paraId="3B0E7EB2" w14:textId="77777777" w:rsidR="00455809" w:rsidRDefault="00000000">
            <w:pPr>
              <w:spacing w:after="20" w:line="252" w:lineRule="auto"/>
            </w:pPr>
            <w:r>
              <w:rPr>
                <w:b/>
                <w:color w:val="0B2545"/>
                <w:sz w:val="19"/>
              </w:rPr>
              <w:t>CiliumNetworkPolicy</w:t>
            </w:r>
          </w:p>
        </w:tc>
        <w:tc>
          <w:tcPr>
            <w:tcW w:w="6610" w:type="dxa"/>
            <w:shd w:val="clear" w:color="auto" w:fill="FAFBFC"/>
            <w:tcMar>
              <w:top w:w="90" w:type="dxa"/>
              <w:left w:w="120" w:type="dxa"/>
              <w:bottom w:w="90" w:type="dxa"/>
              <w:right w:w="120" w:type="dxa"/>
            </w:tcMar>
            <w:vAlign w:val="center"/>
          </w:tcPr>
          <w:p w14:paraId="361F4828" w14:textId="77777777" w:rsidR="00455809" w:rsidRDefault="00000000">
            <w:pPr>
              <w:spacing w:after="20" w:line="252" w:lineRule="auto"/>
            </w:pPr>
            <w:r>
              <w:rPr>
                <w:sz w:val="19"/>
              </w:rPr>
              <w:t>Kubernetes resource that enforces endpoint, service, port, and optional L7 traffic rules.</w:t>
            </w:r>
          </w:p>
        </w:tc>
      </w:tr>
      <w:tr w:rsidR="00455809" w14:paraId="4FD8DF9D" w14:textId="77777777">
        <w:trPr>
          <w:cantSplit/>
        </w:trPr>
        <w:tc>
          <w:tcPr>
            <w:tcW w:w="2750" w:type="dxa"/>
            <w:tcMar>
              <w:top w:w="90" w:type="dxa"/>
              <w:left w:w="120" w:type="dxa"/>
              <w:bottom w:w="90" w:type="dxa"/>
              <w:right w:w="120" w:type="dxa"/>
            </w:tcMar>
            <w:vAlign w:val="center"/>
          </w:tcPr>
          <w:p w14:paraId="0D2DDD81" w14:textId="77777777" w:rsidR="00455809" w:rsidRDefault="00000000">
            <w:pPr>
              <w:spacing w:after="20" w:line="252" w:lineRule="auto"/>
            </w:pPr>
            <w:r>
              <w:rPr>
                <w:b/>
                <w:color w:val="0B2545"/>
                <w:sz w:val="19"/>
              </w:rPr>
              <w:t>Fulfillment</w:t>
            </w:r>
          </w:p>
        </w:tc>
        <w:tc>
          <w:tcPr>
            <w:tcW w:w="6610" w:type="dxa"/>
            <w:tcMar>
              <w:top w:w="90" w:type="dxa"/>
              <w:left w:w="120" w:type="dxa"/>
              <w:bottom w:w="90" w:type="dxa"/>
              <w:right w:w="120" w:type="dxa"/>
            </w:tcMar>
            <w:vAlign w:val="center"/>
          </w:tcPr>
          <w:p w14:paraId="3397565C" w14:textId="77777777" w:rsidR="00455809" w:rsidRDefault="00000000">
            <w:pPr>
              <w:spacing w:after="20" w:line="252" w:lineRule="auto"/>
            </w:pPr>
            <w:r>
              <w:rPr>
                <w:sz w:val="19"/>
              </w:rPr>
              <w:t>The environment-specific result that satisfies declared demand; it is not part of the profile.</w:t>
            </w:r>
          </w:p>
        </w:tc>
      </w:tr>
    </w:tbl>
    <w:p w14:paraId="4E075BDB" w14:textId="77777777" w:rsidR="00455809" w:rsidRDefault="00455809">
      <w:pPr>
        <w:spacing w:after="40"/>
      </w:pPr>
    </w:p>
    <w:p w14:paraId="0B5BC7E3" w14:textId="77777777" w:rsidR="00455809" w:rsidRDefault="00000000">
      <w:r>
        <w:br w:type="page"/>
      </w:r>
    </w:p>
    <w:p w14:paraId="5B101572" w14:textId="77777777" w:rsidR="00455809" w:rsidRDefault="00000000">
      <w:pPr>
        <w:pStyle w:val="Heading2"/>
      </w:pPr>
      <w:r>
        <w:lastRenderedPageBreak/>
        <w:t>Repository sources used for this brief</w:t>
      </w:r>
    </w:p>
    <w:p w14:paraId="1313A948" w14:textId="77777777" w:rsidR="00455809" w:rsidRDefault="00000000">
      <w:pPr>
        <w:spacing w:after="100"/>
      </w:pPr>
      <w:r>
        <w:rPr>
          <w:b/>
          <w:color w:val="0B2545"/>
          <w:sz w:val="19"/>
        </w:rPr>
        <w:t>spec/docs/sixth-draft.md</w:t>
      </w:r>
      <w:r>
        <w:rPr>
          <w:sz w:val="19"/>
        </w:rPr>
        <w:t xml:space="preserve">  —  Current normative profile shape, adapter definition, and conformance boundaries.</w:t>
      </w:r>
    </w:p>
    <w:p w14:paraId="7451F416" w14:textId="77777777" w:rsidR="00455809" w:rsidRDefault="00000000">
      <w:pPr>
        <w:spacing w:after="100"/>
      </w:pPr>
      <w:r>
        <w:rPr>
          <w:b/>
          <w:color w:val="0B2545"/>
          <w:sz w:val="19"/>
        </w:rPr>
        <w:t>spec/docs/runtime-conditions-whitepaper-draft.md</w:t>
      </w:r>
      <w:r>
        <w:rPr>
          <w:sz w:val="19"/>
        </w:rPr>
        <w:t xml:space="preserve">  —  Project narrative, demand/fulfillment model, and Cilium policy use case.</w:t>
      </w:r>
    </w:p>
    <w:p w14:paraId="070DF465" w14:textId="77777777" w:rsidR="00455809" w:rsidRDefault="00000000">
      <w:pPr>
        <w:spacing w:after="100"/>
      </w:pPr>
      <w:r>
        <w:rPr>
          <w:b/>
          <w:color w:val="0B2545"/>
          <w:sz w:val="19"/>
        </w:rPr>
        <w:t>spec/docs/intro.md</w:t>
      </w:r>
      <w:r>
        <w:rPr>
          <w:sz w:val="19"/>
        </w:rPr>
        <w:t xml:space="preserve">  —  Reader map and architecture summary.</w:t>
      </w:r>
    </w:p>
    <w:p w14:paraId="3D6578AB" w14:textId="77777777" w:rsidR="00455809" w:rsidRDefault="00000000">
      <w:pPr>
        <w:spacing w:after="100"/>
      </w:pPr>
      <w:r>
        <w:rPr>
          <w:b/>
          <w:color w:val="0B2545"/>
          <w:sz w:val="19"/>
        </w:rPr>
        <w:t>extensions/common-integrations/common-integrations-v1alpha1.yaml</w:t>
      </w:r>
      <w:r>
        <w:rPr>
          <w:sz w:val="19"/>
        </w:rPr>
        <w:t xml:space="preserve">  —  HTTP API, datastore, and cache vocabulary.</w:t>
      </w:r>
    </w:p>
    <w:p w14:paraId="78D317E0" w14:textId="77777777" w:rsidR="00455809" w:rsidRDefault="00000000">
      <w:pPr>
        <w:spacing w:after="100"/>
      </w:pPr>
      <w:r>
        <w:rPr>
          <w:b/>
          <w:color w:val="0B2545"/>
          <w:sz w:val="19"/>
        </w:rPr>
        <w:t>runtimeconditions.github.io/concepts.html</w:t>
      </w:r>
      <w:r>
        <w:rPr>
          <w:sz w:val="19"/>
        </w:rPr>
        <w:t xml:space="preserve">  —  Public explanation of demand before fulfillment.</w:t>
      </w:r>
    </w:p>
    <w:p w14:paraId="5547F1D2" w14:textId="77777777" w:rsidR="00455809" w:rsidRDefault="00000000">
      <w:pPr>
        <w:spacing w:after="100"/>
      </w:pPr>
      <w:r>
        <w:rPr>
          <w:b/>
          <w:color w:val="0B2545"/>
          <w:sz w:val="19"/>
        </w:rPr>
        <w:t>runtimeconditions.github.io/platform.html</w:t>
      </w:r>
      <w:r>
        <w:rPr>
          <w:sz w:val="19"/>
        </w:rPr>
        <w:t xml:space="preserve">  —  Current platform-adapter narrative.</w:t>
      </w:r>
    </w:p>
    <w:p w14:paraId="4414F276" w14:textId="77777777" w:rsidR="00455809" w:rsidRDefault="00000000">
      <w:pPr>
        <w:spacing w:after="100"/>
      </w:pPr>
      <w:r>
        <w:rPr>
          <w:b/>
          <w:color w:val="0B2545"/>
          <w:sz w:val="19"/>
        </w:rPr>
        <w:t>rc-demos/cilium-policy/backstage/catalog/</w:t>
      </w:r>
      <w:r>
        <w:rPr>
          <w:sz w:val="19"/>
        </w:rPr>
        <w:t xml:space="preserve">  —  Proposed Backstage entities and OpenAPI fixtures.</w:t>
      </w:r>
    </w:p>
    <w:p w14:paraId="72A6654B" w14:textId="77777777" w:rsidR="00455809" w:rsidRDefault="00000000">
      <w:pPr>
        <w:spacing w:after="100"/>
      </w:pPr>
      <w:r>
        <w:rPr>
          <w:b/>
          <w:color w:val="0B2545"/>
          <w:sz w:val="19"/>
        </w:rPr>
        <w:t>rc-demos/cilium-policy/manifests/</w:t>
      </w:r>
      <w:r>
        <w:rPr>
          <w:sz w:val="19"/>
        </w:rPr>
        <w:t xml:space="preserve">  —  Current backing-service, RBAC, and baseline policy scaffold.</w:t>
      </w:r>
    </w:p>
    <w:p w14:paraId="7488D292" w14:textId="77777777" w:rsidR="00455809" w:rsidRDefault="00000000">
      <w:pPr>
        <w:pStyle w:val="Heading2"/>
      </w:pPr>
      <w:r>
        <w:t>The handoff we want</w:t>
      </w:r>
    </w:p>
    <w:p w14:paraId="400333A2" w14:textId="77777777" w:rsidR="00455809" w:rsidRDefault="00000000">
      <w:pPr>
        <w:spacing w:after="160"/>
      </w:pPr>
      <w:r>
        <w:t>The finished package should let a contributor begin at the adapter boundary with no missing platform assembly, while giving a reviewer enough evidence to understand the proof without verbal rescue.</w:t>
      </w:r>
    </w:p>
    <w:p w14:paraId="55E0ACC9" w14:textId="77777777" w:rsidR="00455809" w:rsidRDefault="00000000" w:rsidP="00C34B8B">
      <w:pPr>
        <w:numPr>
          <w:ilvl w:val="0"/>
          <w:numId w:val="11"/>
        </w:numPr>
        <w:spacing w:after="160" w:line="281" w:lineRule="auto"/>
      </w:pPr>
      <w:r>
        <w:t>The blocked baseline is already reproducible before contributor code is introduced.</w:t>
      </w:r>
    </w:p>
    <w:p w14:paraId="27517A2E" w14:textId="77777777" w:rsidR="00455809" w:rsidRDefault="00000000" w:rsidP="00C34B8B">
      <w:pPr>
        <w:numPr>
          <w:ilvl w:val="0"/>
          <w:numId w:val="11"/>
        </w:numPr>
        <w:spacing w:after="160" w:line="281" w:lineRule="auto"/>
      </w:pPr>
      <w:r>
        <w:t>Every resolution hop can be inspected from profile demand through catalog and cluster evidence.</w:t>
      </w:r>
    </w:p>
    <w:p w14:paraId="7BC90469" w14:textId="77777777" w:rsidR="00455809" w:rsidRDefault="00000000" w:rsidP="00C34B8B">
      <w:pPr>
        <w:numPr>
          <w:ilvl w:val="0"/>
          <w:numId w:val="11"/>
        </w:numPr>
        <w:spacing w:after="160" w:line="281" w:lineRule="auto"/>
      </w:pPr>
      <w:r>
        <w:t>Success includes both intended access and the continued denial of undeclared access.</w:t>
      </w:r>
    </w:p>
    <w:tbl>
      <w:tblPr>
        <w:tblW w:w="9360" w:type="dxa"/>
        <w:tblInd w:w="120" w:type="dxa"/>
        <w:tblBorders>
          <w:top w:val="single" w:sz="8" w:space="0" w:color="178F8B"/>
          <w:left w:val="single" w:sz="8" w:space="0" w:color="178F8B"/>
          <w:bottom w:val="single" w:sz="8" w:space="0" w:color="178F8B"/>
          <w:right w:val="single" w:sz="8" w:space="0" w:color="178F8B"/>
        </w:tblBorders>
        <w:tblLayout w:type="fixed"/>
        <w:tblLook w:val="04A0" w:firstRow="1" w:lastRow="0" w:firstColumn="1" w:lastColumn="0" w:noHBand="0" w:noVBand="1"/>
      </w:tblPr>
      <w:tblGrid>
        <w:gridCol w:w="9360"/>
      </w:tblGrid>
      <w:tr w:rsidR="00455809" w14:paraId="498EA24B" w14:textId="77777777">
        <w:trPr>
          <w:cantSplit/>
        </w:trPr>
        <w:tc>
          <w:tcPr>
            <w:tcW w:w="9360" w:type="dxa"/>
            <w:shd w:val="clear" w:color="auto" w:fill="E8F5F4"/>
            <w:tcMar>
              <w:top w:w="130" w:type="dxa"/>
              <w:left w:w="180" w:type="dxa"/>
              <w:bottom w:w="130" w:type="dxa"/>
              <w:right w:w="180" w:type="dxa"/>
            </w:tcMar>
            <w:vAlign w:val="center"/>
          </w:tcPr>
          <w:p w14:paraId="69BB17D8" w14:textId="77777777" w:rsidR="00455809" w:rsidRDefault="00000000">
            <w:pPr>
              <w:spacing w:after="40" w:line="259" w:lineRule="auto"/>
            </w:pPr>
            <w:r>
              <w:rPr>
                <w:b/>
                <w:color w:val="178F8B"/>
                <w:sz w:val="18"/>
              </w:rPr>
              <w:t xml:space="preserve">NORTH STAR  </w:t>
            </w:r>
            <w:r>
              <w:rPr>
                <w:b/>
                <w:sz w:val="21"/>
              </w:rPr>
              <w:t>The strongest version of this demo does not merely generate YAML. It gives a reviewer a trustworthy chain of reasoning from workload demand to catalog evidence to live platform identity to narrowly enforced access.</w:t>
            </w:r>
          </w:p>
        </w:tc>
      </w:tr>
    </w:tbl>
    <w:p w14:paraId="7FF4F581" w14:textId="77777777" w:rsidR="00455809" w:rsidRDefault="00455809">
      <w:pPr>
        <w:spacing w:after="80"/>
      </w:pPr>
    </w:p>
    <w:sectPr w:rsidR="00455809" w:rsidSect="00034616">
      <w:headerReference w:type="default" r:id="rId15"/>
      <w:footerReference w:type="even" r:id="rId16"/>
      <w:footerReference w:type="default" r:id="rId17"/>
      <w:footerReference w:type="firs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37BE7" w14:textId="77777777" w:rsidR="00A7347A" w:rsidRDefault="00A7347A">
      <w:pPr>
        <w:spacing w:after="0" w:line="240" w:lineRule="auto"/>
      </w:pPr>
      <w:r>
        <w:separator/>
      </w:r>
    </w:p>
  </w:endnote>
  <w:endnote w:type="continuationSeparator" w:id="0">
    <w:p w14:paraId="5879CC20" w14:textId="77777777" w:rsidR="00A7347A" w:rsidRDefault="00A73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DA298" w14:textId="28C7498E" w:rsidR="00C34B8B" w:rsidRDefault="00C34B8B">
    <w:pPr>
      <w:pStyle w:val="Footer"/>
    </w:pPr>
    <w:r>
      <w:rPr>
        <w:noProof/>
      </w:rPr>
      <mc:AlternateContent>
        <mc:Choice Requires="wps">
          <w:drawing>
            <wp:anchor distT="0" distB="0" distL="0" distR="0" simplePos="0" relativeHeight="251659264" behindDoc="0" locked="0" layoutInCell="1" allowOverlap="1" wp14:anchorId="005D8D41" wp14:editId="79CCE52F">
              <wp:simplePos x="635" y="635"/>
              <wp:positionH relativeFrom="page">
                <wp:align>right</wp:align>
              </wp:positionH>
              <wp:positionV relativeFrom="page">
                <wp:align>bottom</wp:align>
              </wp:positionV>
              <wp:extent cx="1069340" cy="327025"/>
              <wp:effectExtent l="0" t="0" r="0" b="0"/>
              <wp:wrapNone/>
              <wp:docPr id="23231159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7025"/>
                      </a:xfrm>
                      <a:prstGeom prst="rect">
                        <a:avLst/>
                      </a:prstGeom>
                      <a:noFill/>
                      <a:ln>
                        <a:noFill/>
                      </a:ln>
                    </wps:spPr>
                    <wps:txbx>
                      <w:txbxContent>
                        <w:p w14:paraId="75B46DFC" w14:textId="25EC43E0" w:rsidR="00C34B8B" w:rsidRPr="00C34B8B" w:rsidRDefault="00C34B8B" w:rsidP="00C34B8B">
                          <w:pPr>
                            <w:spacing w:after="0"/>
                            <w:rPr>
                              <w:rFonts w:eastAsia="Aptos" w:cs="Aptos"/>
                              <w:noProof/>
                              <w:color w:val="000000"/>
                              <w:sz w:val="16"/>
                              <w:szCs w:val="16"/>
                            </w:rPr>
                          </w:pPr>
                          <w:r w:rsidRPr="00C34B8B">
                            <w:rPr>
                              <w:rFont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5D8D41"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" filled="f" stroked="f">
              <v:fill o:detectmouseclick="t"/>
              <v:textbox style="mso-fit-shape-to-text:t" inset="0,0,20pt,15pt">
                <w:txbxContent>
                  <w:p w14:paraId="75B46DFC" w14:textId="25EC43E0" w:rsidR="00C34B8B" w:rsidRPr="00C34B8B" w:rsidRDefault="00C34B8B" w:rsidP="00C34B8B">
                    <w:pPr>
                      <w:spacing w:after="0"/>
                      <w:rPr>
                        <w:rFonts w:eastAsia="Aptos" w:cs="Aptos"/>
                        <w:noProof/>
                        <w:color w:val="000000"/>
                        <w:sz w:val="16"/>
                        <w:szCs w:val="16"/>
                      </w:rPr>
                    </w:pPr>
                    <w:r w:rsidRPr="00C34B8B">
                      <w:rPr>
                        <w:rFonts w:eastAsia="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0018C" w14:textId="29B386D7" w:rsidR="00455809" w:rsidRDefault="00C34B8B">
    <w:pPr>
      <w:pStyle w:val="Footer"/>
      <w:jc w:val="right"/>
    </w:pPr>
    <w:r>
      <w:rPr>
        <w:noProof/>
        <w:color w:val="536273"/>
        <w:sz w:val="16"/>
      </w:rPr>
      <mc:AlternateContent>
        <mc:Choice Requires="wps">
          <w:drawing>
            <wp:anchor distT="0" distB="0" distL="0" distR="0" simplePos="0" relativeHeight="251660288" behindDoc="0" locked="0" layoutInCell="1" allowOverlap="1" wp14:anchorId="6748C137" wp14:editId="471A51EC">
              <wp:simplePos x="0" y="0"/>
              <wp:positionH relativeFrom="page">
                <wp:align>right</wp:align>
              </wp:positionH>
              <wp:positionV relativeFrom="page">
                <wp:align>bottom</wp:align>
              </wp:positionV>
              <wp:extent cx="1069340" cy="327025"/>
              <wp:effectExtent l="0" t="0" r="0" b="0"/>
              <wp:wrapNone/>
              <wp:docPr id="727254988"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7025"/>
                      </a:xfrm>
                      <a:prstGeom prst="rect">
                        <a:avLst/>
                      </a:prstGeom>
                      <a:noFill/>
                      <a:ln>
                        <a:noFill/>
                      </a:ln>
                    </wps:spPr>
                    <wps:txbx>
                      <w:txbxContent>
                        <w:p w14:paraId="75155EC5" w14:textId="4FE1AE8A" w:rsidR="00C34B8B" w:rsidRPr="00C34B8B" w:rsidRDefault="00C34B8B" w:rsidP="00C34B8B">
                          <w:pPr>
                            <w:spacing w:after="0"/>
                            <w:rPr>
                              <w:rFonts w:eastAsia="Aptos" w:cs="Aptos"/>
                              <w:noProof/>
                              <w:color w:val="000000"/>
                              <w:sz w:val="16"/>
                              <w:szCs w:val="16"/>
                            </w:rPr>
                          </w:pPr>
                          <w:r w:rsidRPr="00C34B8B">
                            <w:rPr>
                              <w:rFont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748C137"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5.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" filled="f" stroked="f">
              <v:fill o:detectmouseclick="t"/>
              <v:textbox style="mso-fit-shape-to-text:t" inset="0,0,20pt,15pt">
                <w:txbxContent>
                  <w:p w14:paraId="75155EC5" w14:textId="4FE1AE8A" w:rsidR="00C34B8B" w:rsidRPr="00C34B8B" w:rsidRDefault="00C34B8B" w:rsidP="00C34B8B">
                    <w:pPr>
                      <w:spacing w:after="0"/>
                      <w:rPr>
                        <w:rFonts w:eastAsia="Aptos" w:cs="Aptos"/>
                        <w:noProof/>
                        <w:color w:val="000000"/>
                        <w:sz w:val="16"/>
                        <w:szCs w:val="16"/>
                      </w:rPr>
                    </w:pPr>
                    <w:r w:rsidRPr="00C34B8B">
                      <w:rPr>
                        <w:rFonts w:eastAsia="Aptos" w:cs="Aptos"/>
                        <w:noProof/>
                        <w:color w:val="000000"/>
                        <w:sz w:val="16"/>
                        <w:szCs w:val="16"/>
                      </w:rPr>
                      <w:t>Cisco Confidential</w:t>
                    </w:r>
                  </w:p>
                </w:txbxContent>
              </v:textbox>
              <w10:wrap anchorx="page" anchory="page"/>
            </v:shape>
          </w:pict>
        </mc:Fallback>
      </mc:AlternateContent>
    </w:r>
    <w:r w:rsidR="00000000">
      <w:rPr>
        <w:color w:val="536273"/>
        <w:sz w:val="16"/>
      </w:rPr>
      <w:t xml:space="preserve">SEPTEMBER 2026   ·   </w:t>
    </w:r>
    <w:r w:rsidR="00000000">
      <w:rPr>
        <w:b/>
        <w:color w:val="536273"/>
        <w:sz w:val="16"/>
      </w:rPr>
      <w:fldChar w:fldCharType="begin"/>
    </w:r>
    <w:r w:rsidR="00000000">
      <w:rPr>
        <w:b/>
        <w:color w:val="536273"/>
        <w:sz w:val="16"/>
      </w:rPr>
      <w:instrText>PAGE</w:instrText>
    </w:r>
    <w:r>
      <w:rPr>
        <w:b/>
        <w:color w:val="536273"/>
        <w:sz w:val="16"/>
      </w:rPr>
      <w:fldChar w:fldCharType="separate"/>
    </w:r>
    <w:r>
      <w:rPr>
        <w:b/>
        <w:noProof/>
        <w:color w:val="536273"/>
        <w:sz w:val="16"/>
      </w:rPr>
      <w:t>1</w:t>
    </w:r>
    <w:r w:rsidR="00000000">
      <w:rPr>
        <w:b/>
        <w:color w:val="5362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2B4F7" w14:textId="49B5C105" w:rsidR="00C34B8B" w:rsidRDefault="00C34B8B">
    <w:pPr>
      <w:pStyle w:val="Footer"/>
    </w:pPr>
    <w:r>
      <w:rPr>
        <w:noProof/>
      </w:rPr>
      <mc:AlternateContent>
        <mc:Choice Requires="wps">
          <w:drawing>
            <wp:anchor distT="0" distB="0" distL="0" distR="0" simplePos="0" relativeHeight="251658240" behindDoc="0" locked="0" layoutInCell="1" allowOverlap="1" wp14:anchorId="5CBAB8D4" wp14:editId="27F491A5">
              <wp:simplePos x="635" y="635"/>
              <wp:positionH relativeFrom="page">
                <wp:align>right</wp:align>
              </wp:positionH>
              <wp:positionV relativeFrom="page">
                <wp:align>bottom</wp:align>
              </wp:positionV>
              <wp:extent cx="1069340" cy="327025"/>
              <wp:effectExtent l="0" t="0" r="0" b="0"/>
              <wp:wrapNone/>
              <wp:docPr id="84940449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7025"/>
                      </a:xfrm>
                      <a:prstGeom prst="rect">
                        <a:avLst/>
                      </a:prstGeom>
                      <a:noFill/>
                      <a:ln>
                        <a:noFill/>
                      </a:ln>
                    </wps:spPr>
                    <wps:txbx>
                      <w:txbxContent>
                        <w:p w14:paraId="50A322C3" w14:textId="1D79828D" w:rsidR="00C34B8B" w:rsidRPr="00C34B8B" w:rsidRDefault="00C34B8B" w:rsidP="00C34B8B">
                          <w:pPr>
                            <w:spacing w:after="0"/>
                            <w:rPr>
                              <w:rFonts w:eastAsia="Aptos" w:cs="Aptos"/>
                              <w:noProof/>
                              <w:color w:val="000000"/>
                              <w:sz w:val="16"/>
                              <w:szCs w:val="16"/>
                            </w:rPr>
                          </w:pPr>
                          <w:r w:rsidRPr="00C34B8B">
                            <w:rPr>
                              <w:rFonts w:eastAsia="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BAB8D4"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" filled="f" stroked="f">
              <v:fill o:detectmouseclick="t"/>
              <v:textbox style="mso-fit-shape-to-text:t" inset="0,0,20pt,15pt">
                <w:txbxContent>
                  <w:p w14:paraId="50A322C3" w14:textId="1D79828D" w:rsidR="00C34B8B" w:rsidRPr="00C34B8B" w:rsidRDefault="00C34B8B" w:rsidP="00C34B8B">
                    <w:pPr>
                      <w:spacing w:after="0"/>
                      <w:rPr>
                        <w:rFonts w:eastAsia="Aptos" w:cs="Aptos"/>
                        <w:noProof/>
                        <w:color w:val="000000"/>
                        <w:sz w:val="16"/>
                        <w:szCs w:val="16"/>
                      </w:rPr>
                    </w:pPr>
                    <w:r w:rsidRPr="00C34B8B">
                      <w:rPr>
                        <w:rFonts w:eastAsia="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F3B569" w14:textId="77777777" w:rsidR="00A7347A" w:rsidRDefault="00A7347A">
      <w:pPr>
        <w:spacing w:after="0" w:line="240" w:lineRule="auto"/>
      </w:pPr>
      <w:r>
        <w:separator/>
      </w:r>
    </w:p>
  </w:footnote>
  <w:footnote w:type="continuationSeparator" w:id="0">
    <w:p w14:paraId="126A8AB0" w14:textId="77777777" w:rsidR="00A7347A" w:rsidRDefault="00A73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FDF019" w14:textId="77777777" w:rsidR="00455809" w:rsidRDefault="00455809">
    <w:pPr>
      <w:pStyle w:val="Header"/>
    </w:pPr>
  </w:p>
  <w:tbl>
    <w:tblPr>
      <w:tblW w:w="9360" w:type="dxa"/>
      <w:tblBorders>
        <w:top w:val="single" w:sz="0" w:space="0" w:color="FFFFFF"/>
        <w:left w:val="single" w:sz="0" w:space="0" w:color="FFFFFF"/>
        <w:bottom w:val="single" w:sz="0" w:space="0" w:color="FFFFFF"/>
        <w:right w:val="single" w:sz="0" w:space="0" w:color="FFFFFF"/>
      </w:tblBorders>
      <w:tblLayout w:type="fixed"/>
      <w:tblLook w:val="04A0" w:firstRow="1" w:lastRow="0" w:firstColumn="1" w:lastColumn="0" w:noHBand="0" w:noVBand="1"/>
    </w:tblPr>
    <w:tblGrid>
      <w:gridCol w:w="4680"/>
      <w:gridCol w:w="4680"/>
    </w:tblGrid>
    <w:tr w:rsidR="00455809" w14:paraId="58A955F0" w14:textId="77777777">
      <w:trPr>
        <w:cantSplit/>
      </w:trPr>
      <w:tc>
        <w:tcPr>
          <w:tcW w:w="4680" w:type="dxa"/>
          <w:tcMar>
            <w:top w:w="90" w:type="dxa"/>
            <w:left w:w="120" w:type="dxa"/>
            <w:bottom w:w="90" w:type="dxa"/>
            <w:right w:w="120" w:type="dxa"/>
          </w:tcMar>
          <w:vAlign w:val="center"/>
        </w:tcPr>
        <w:p w14:paraId="78F0B74F" w14:textId="77777777" w:rsidR="00455809" w:rsidRDefault="00000000">
          <w:pPr>
            <w:spacing w:after="0"/>
          </w:pPr>
          <w:r>
            <w:rPr>
              <w:b/>
              <w:color w:val="178F8B"/>
              <w:sz w:val="17"/>
            </w:rPr>
            <w:t>RUNTIME CONDITIONS</w:t>
          </w:r>
        </w:p>
      </w:tc>
      <w:tc>
        <w:tcPr>
          <w:tcW w:w="4680" w:type="dxa"/>
          <w:tcMar>
            <w:top w:w="90" w:type="dxa"/>
            <w:left w:w="120" w:type="dxa"/>
            <w:bottom w:w="90" w:type="dxa"/>
            <w:right w:w="120" w:type="dxa"/>
          </w:tcMar>
          <w:vAlign w:val="center"/>
        </w:tcPr>
        <w:p w14:paraId="45B555CC" w14:textId="77777777" w:rsidR="00455809" w:rsidRDefault="00000000">
          <w:pPr>
            <w:spacing w:after="0"/>
            <w:jc w:val="right"/>
          </w:pPr>
          <w:r>
            <w:rPr>
              <w:b/>
              <w:color w:val="536273"/>
              <w:sz w:val="17"/>
            </w:rPr>
            <w:t>CILIUM POLICY LAB · DESIGN BRIEF</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FB1BC3"/>
    <w:multiLevelType w:val="hybridMultilevel"/>
    <w:tmpl w:val="96A238CA"/>
    <w:lvl w:ilvl="0" w:tplc="2FC28D72">
      <w:start w:val="1"/>
      <w:numFmt w:val="decimal"/>
      <w:lvlText w:val="%1."/>
      <w:lvlJc w:val="left"/>
      <w:pPr>
        <w:tabs>
          <w:tab w:val="num" w:pos="720"/>
        </w:tabs>
        <w:ind w:left="720" w:hanging="360"/>
      </w:pPr>
      <w:rPr>
        <w:rFonts w:ascii="Aptos" w:hAnsi="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A00A6"/>
    <w:multiLevelType w:val="hybridMultilevel"/>
    <w:tmpl w:val="1EB8F380"/>
    <w:lvl w:ilvl="0" w:tplc="B3101F0C">
      <w:start w:val="1"/>
      <w:numFmt w:val="decimal"/>
      <w:lvlText w:val="%1."/>
      <w:lvlJc w:val="left"/>
      <w:pPr>
        <w:tabs>
          <w:tab w:val="num" w:pos="720"/>
        </w:tabs>
        <w:ind w:left="720" w:hanging="360"/>
      </w:pPr>
      <w:rPr>
        <w:rFonts w:ascii="Aptos" w:hAnsi="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DD79C9"/>
    <w:multiLevelType w:val="hybridMultilevel"/>
    <w:tmpl w:val="F2CC4068"/>
    <w:lvl w:ilvl="0" w:tplc="33EAEE8C">
      <w:start w:val="1"/>
      <w:numFmt w:val="decimal"/>
      <w:lvlText w:val="%1."/>
      <w:lvlJc w:val="left"/>
      <w:pPr>
        <w:tabs>
          <w:tab w:val="num" w:pos="720"/>
        </w:tabs>
        <w:ind w:left="720" w:hanging="360"/>
      </w:pPr>
      <w:rPr>
        <w:rFonts w:ascii="Aptos" w:hAnsi="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C7F0A"/>
    <w:multiLevelType w:val="singleLevel"/>
    <w:tmpl w:val="FA786478"/>
    <w:lvl w:ilvl="0">
      <w:start w:val="1"/>
      <w:numFmt w:val="bullet"/>
      <w:lvlText w:val="•"/>
      <w:lvlJc w:val="left"/>
      <w:pPr>
        <w:tabs>
          <w:tab w:val="num" w:pos="720"/>
        </w:tabs>
        <w:spacing w:after="160" w:line="280" w:lineRule="auto"/>
        <w:ind w:left="720" w:hanging="360"/>
      </w:pPr>
      <w:rPr>
        <w:rFonts w:ascii="Aptos" w:hAnsi="Aptos"/>
      </w:rPr>
    </w:lvl>
  </w:abstractNum>
  <w:abstractNum w:abstractNumId="13" w15:restartNumberingAfterBreak="0">
    <w:nsid w:val="4CD00603"/>
    <w:multiLevelType w:val="hybridMultilevel"/>
    <w:tmpl w:val="95403A6C"/>
    <w:lvl w:ilvl="0" w:tplc="5C0838F2">
      <w:start w:val="1"/>
      <w:numFmt w:val="decimal"/>
      <w:lvlText w:val="%1."/>
      <w:lvlJc w:val="left"/>
      <w:pPr>
        <w:tabs>
          <w:tab w:val="num" w:pos="720"/>
        </w:tabs>
        <w:ind w:left="720" w:hanging="360"/>
      </w:pPr>
      <w:rPr>
        <w:rFonts w:ascii="Aptos" w:hAnsi="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B60C6A"/>
    <w:multiLevelType w:val="hybridMultilevel"/>
    <w:tmpl w:val="CAC0E492"/>
    <w:lvl w:ilvl="0" w:tplc="8CFE5BDA">
      <w:start w:val="1"/>
      <w:numFmt w:val="decimal"/>
      <w:pStyle w:val="ListBullet"/>
      <w:lvlText w:val="%1."/>
      <w:lvlJc w:val="left"/>
      <w:pPr>
        <w:tabs>
          <w:tab w:val="num" w:pos="720"/>
        </w:tabs>
        <w:ind w:left="720" w:hanging="360"/>
      </w:pPr>
      <w:rPr>
        <w:rFonts w:ascii="Aptos" w:hAnsi="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AF351A"/>
    <w:multiLevelType w:val="singleLevel"/>
    <w:tmpl w:val="9F981D82"/>
    <w:lvl w:ilvl="0">
      <w:start w:val="1"/>
      <w:numFmt w:val="decimal"/>
      <w:lvlText w:val="%1."/>
      <w:lvlJc w:val="left"/>
      <w:pPr>
        <w:tabs>
          <w:tab w:val="num" w:pos="720"/>
        </w:tabs>
        <w:spacing w:after="160" w:line="280" w:lineRule="auto"/>
        <w:ind w:left="720" w:hanging="360"/>
      </w:pPr>
      <w:rPr>
        <w:rFonts w:ascii="Aptos" w:hAnsi="Aptos"/>
      </w:rPr>
    </w:lvl>
  </w:abstractNum>
  <w:abstractNum w:abstractNumId="16" w15:restartNumberingAfterBreak="0">
    <w:nsid w:val="664400BD"/>
    <w:multiLevelType w:val="hybridMultilevel"/>
    <w:tmpl w:val="FA2E6886"/>
    <w:lvl w:ilvl="0" w:tplc="9DD4620A">
      <w:start w:val="1"/>
      <w:numFmt w:val="decimal"/>
      <w:lvlText w:val="%1."/>
      <w:lvlJc w:val="left"/>
      <w:pPr>
        <w:tabs>
          <w:tab w:val="num" w:pos="720"/>
        </w:tabs>
        <w:ind w:left="720" w:hanging="360"/>
      </w:pPr>
      <w:rPr>
        <w:rFonts w:ascii="Aptos" w:hAnsi="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2305AB"/>
    <w:multiLevelType w:val="hybridMultilevel"/>
    <w:tmpl w:val="2AD0B21A"/>
    <w:lvl w:ilvl="0" w:tplc="FBDE0D9A">
      <w:start w:val="1"/>
      <w:numFmt w:val="decimal"/>
      <w:lvlText w:val="%1."/>
      <w:lvlJc w:val="left"/>
      <w:pPr>
        <w:tabs>
          <w:tab w:val="num" w:pos="720"/>
        </w:tabs>
        <w:ind w:left="720" w:hanging="360"/>
      </w:pPr>
      <w:rPr>
        <w:rFonts w:ascii="Aptos" w:hAnsi="Apto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45164F"/>
    <w:multiLevelType w:val="singleLevel"/>
    <w:tmpl w:val="7214EFC4"/>
    <w:lvl w:ilvl="0">
      <w:start w:val="1"/>
      <w:numFmt w:val="decimal"/>
      <w:lvlText w:val="%1."/>
      <w:lvlJc w:val="left"/>
      <w:pPr>
        <w:tabs>
          <w:tab w:val="num" w:pos="720"/>
        </w:tabs>
        <w:ind w:left="720" w:hanging="360"/>
      </w:pPr>
      <w:rPr>
        <w:rFonts w:ascii="Aptos" w:hAnsi="Aptos" w:hint="default"/>
      </w:rPr>
    </w:lvl>
  </w:abstractNum>
  <w:num w:numId="1" w16cid:durableId="2131582864">
    <w:abstractNumId w:val="15"/>
  </w:num>
  <w:num w:numId="2" w16cid:durableId="1908833522">
    <w:abstractNumId w:val="15"/>
    <w:lvlOverride w:ilvl="0">
      <w:startOverride w:val="1"/>
    </w:lvlOverride>
  </w:num>
  <w:num w:numId="3" w16cid:durableId="340863309">
    <w:abstractNumId w:val="15"/>
    <w:lvlOverride w:ilvl="0">
      <w:startOverride w:val="1"/>
    </w:lvlOverride>
  </w:num>
  <w:num w:numId="4" w16cid:durableId="276643392">
    <w:abstractNumId w:val="14"/>
  </w:num>
  <w:num w:numId="5" w16cid:durableId="14769069">
    <w:abstractNumId w:val="13"/>
  </w:num>
  <w:num w:numId="6" w16cid:durableId="309359488">
    <w:abstractNumId w:val="18"/>
  </w:num>
  <w:num w:numId="7" w16cid:durableId="1026759894">
    <w:abstractNumId w:val="16"/>
  </w:num>
  <w:num w:numId="8" w16cid:durableId="164130208">
    <w:abstractNumId w:val="17"/>
  </w:num>
  <w:num w:numId="9" w16cid:durableId="974093995">
    <w:abstractNumId w:val="10"/>
  </w:num>
  <w:num w:numId="10" w16cid:durableId="1559824321">
    <w:abstractNumId w:val="9"/>
  </w:num>
  <w:num w:numId="11" w16cid:durableId="28993837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23B"/>
    <w:rsid w:val="00326F90"/>
    <w:rsid w:val="00455809"/>
    <w:rsid w:val="00A7347A"/>
    <w:rsid w:val="00AA1D8D"/>
    <w:rsid w:val="00B47730"/>
    <w:rsid w:val="00C34B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E2BE4"/>
  <w14:defaultImageDpi w14:val="300"/>
  <w15:docId w15:val="{66735518-766E-1547-A7B5-BE78D385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17212B"/>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8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59" w:lineRule="auto"/>
    </w:pPr>
    <w:rPr>
      <w:rFonts w:asciiTheme="majorHAnsi" w:eastAsiaTheme="majorEastAsia" w:hAnsiTheme="majorHAnsi" w:cstheme="majorBidi"/>
      <w:i/>
      <w:iCs/>
      <w:color w:val="5362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tabs>
        <w:tab w:val="num" w:pos="720"/>
      </w:tabs>
      <w:spacing w:after="160" w:line="280" w:lineRule="auto"/>
      <w:ind w:left="720" w:hanging="360"/>
      <w:contextualSpacing/>
    </w:pPr>
  </w:style>
  <w:style w:type="paragraph" w:styleId="ListBullet3">
    <w:name w:val="List Bullet 3"/>
    <w:basedOn w:val="Normal"/>
    <w:uiPriority w:val="99"/>
    <w:unhideWhenUsed/>
    <w:rsid w:val="00326F90"/>
    <w:pPr>
      <w:tabs>
        <w:tab w:val="num" w:pos="720"/>
      </w:tabs>
      <w:spacing w:after="160" w:line="280" w:lineRule="auto"/>
      <w:ind w:left="720" w:hanging="360"/>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keepNext/>
      <w:spacing w:after="80"/>
    </w:pPr>
    <w:rPr>
      <w:rFonts w:ascii="Aptos" w:hAnsi="Aptos"/>
      <w:b/>
      <w:color w:val="178F8B"/>
      <w:sz w:val="18"/>
    </w:rPr>
  </w:style>
  <w:style w:type="paragraph" w:customStyle="1" w:styleId="CodeBlock">
    <w:name w:val="Code Block"/>
    <w:pPr>
      <w:spacing w:before="60" w:after="160" w:line="247" w:lineRule="auto"/>
      <w:ind w:left="173" w:right="115"/>
    </w:pPr>
    <w:rPr>
      <w:rFonts w:ascii="Aptos Mono" w:hAnsi="Aptos Mono"/>
      <w:color w:val="0B2545"/>
      <w:sz w:val="16"/>
    </w:rPr>
  </w:style>
  <w:style w:type="paragraph" w:customStyle="1" w:styleId="CaptionCustom">
    <w:name w:val="Caption Custom"/>
    <w:pPr>
      <w:spacing w:before="80" w:after="160"/>
      <w:jc w:val="center"/>
    </w:pPr>
    <w:rPr>
      <w:rFonts w:ascii="Aptos" w:hAnsi="Aptos"/>
      <w:i/>
      <w:color w:val="536273"/>
      <w:sz w:val="18"/>
    </w:rPr>
  </w:style>
  <w:style w:type="character" w:styleId="Hyperlink">
    <w:name w:val="Hyperlink"/>
    <w:basedOn w:val="DefaultParagraphFont"/>
    <w:uiPriority w:val="99"/>
    <w:unhideWhenUsed/>
    <w:rsid w:val="00C34B8B"/>
    <w:rPr>
      <w:color w:val="0000FF" w:themeColor="hyperlink"/>
      <w:u w:val="single"/>
    </w:rPr>
  </w:style>
  <w:style w:type="character" w:styleId="UnresolvedMention">
    <w:name w:val="Unresolved Mention"/>
    <w:basedOn w:val="DefaultParagraphFont"/>
    <w:uiPriority w:val="99"/>
    <w:semiHidden/>
    <w:unhideWhenUsed/>
    <w:rsid w:val="00C34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enchoreo.dev/"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rossplane.io/"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ratix.i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pentof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15</Pages>
  <Words>3505</Words>
  <Characters>19980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runtime demand to enforced access</dc:title>
  <dc:subject>Runtime Conditions to Backstage to Cilium adapter design brief</dc:subject>
  <dc:creator>Runtime Conditions project</dc:creator>
  <cp:keywords>Runtime Conditions, Cilium, Backstage, Kubernetes, network policy</cp:keywords>
  <dc:description>Generated as a self-contained design brief for the cilium-policy proof of concept.</dc:description>
  <cp:lastModifiedBy>Colin Lacy (colacy)</cp:lastModifiedBy>
  <cp:revision>2</cp:revision>
  <dcterms:created xsi:type="dcterms:W3CDTF">2013-12-23T23:15:00Z</dcterms:created>
  <dcterms:modified xsi:type="dcterms:W3CDTF">2026-09-05T07:43:00Z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32a0e24b,dd8cb2e,2b5907cc</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