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7.png" ContentType="image/png"/>
  <Override PartName="/word/media/image9.png" ContentType="image/png"/>
  <Override PartName="/word/media/image6.png" ContentType="image/png"/>
  <Override PartName="/word/media/image8.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Estimates of groundfish biomass, abundance, and diversity using different optical sampling tools and methods</w:t>
      </w:r>
    </w:p>
    <w:p>
      <w:pPr>
        <w:pStyle w:val="BodyText"/>
      </w:pPr>
      <w:r>
        <w:t xml:space="preserve">Kevin L. Stierhoff</w:t>
      </w:r>
      <w:r>
        <w:rPr>
          <w:vertAlign w:val="superscript"/>
        </w:rPr>
        <w:t xml:space="preserve">1</w:t>
      </w:r>
      <w:r>
        <w:t xml:space="preserve">, Mary M. Yoklavich</w:t>
      </w:r>
      <w:r>
        <w:rPr>
          <w:vertAlign w:val="superscript"/>
        </w:rPr>
        <w:t xml:space="preserve">2</w:t>
      </w:r>
      <w:r>
        <w:t xml:space="preserve">, and M. Elizabeth Clarke</w:t>
      </w:r>
      <w:r>
        <w:rPr>
          <w:vertAlign w:val="superscript"/>
        </w:rPr>
        <w:t xml:space="preserve">3</w:t>
      </w:r>
      <w:r>
        <w:t xml:space="preserve">, Jeff Anderson</w:t>
      </w:r>
      <w:r>
        <w:rPr>
          <w:vertAlign w:val="superscript"/>
        </w:rPr>
        <w:t xml:space="preserve">4</w:t>
      </w:r>
      <w:r>
        <w:t xml:space="preserve">, Erica L. Fruh</w:t>
      </w:r>
      <w:r>
        <w:rPr>
          <w:vertAlign w:val="superscript"/>
        </w:rPr>
        <w:t xml:space="preserve">3</w:t>
      </w:r>
      <w:r>
        <w:t xml:space="preserve">, Thomas E. Laidig</w:t>
      </w:r>
      <w:r>
        <w:rPr>
          <w:vertAlign w:val="superscript"/>
        </w:rPr>
        <w:t xml:space="preserve">2</w:t>
      </w:r>
      <w:r>
        <w:t xml:space="preserve">, Scott A. Mau</w:t>
      </w:r>
      <w:r>
        <w:rPr>
          <w:vertAlign w:val="superscript"/>
        </w:rPr>
        <w:t xml:space="preserve">1</w:t>
      </w:r>
      <w:r>
        <w:t xml:space="preserve">, David W. Murfin</w:t>
      </w:r>
      <w:r>
        <w:rPr>
          <w:vertAlign w:val="superscript"/>
        </w:rPr>
        <w:t xml:space="preserve">1</w:t>
      </w:r>
      <w:r>
        <w:t xml:space="preserve">, Abigail Powell</w:t>
      </w:r>
      <w:r>
        <w:rPr>
          <w:vertAlign w:val="superscript"/>
        </w:rPr>
        <w:t xml:space="preserve">3</w:t>
      </w:r>
      <w:r>
        <w:t xml:space="preserve">, Jeremy C. Taylor</w:t>
      </w:r>
      <w:r>
        <w:rPr>
          <w:vertAlign w:val="superscript"/>
        </w:rPr>
        <w:t xml:space="preserve">4</w:t>
      </w:r>
      <w:r>
        <w:t xml:space="preserve">, Diana L. Watters</w:t>
      </w:r>
      <w:r>
        <w:rPr>
          <w:vertAlign w:val="superscript"/>
        </w:rPr>
        <w:t xml:space="preserve">2</w:t>
      </w:r>
    </w:p>
    <w:p>
      <w:pPr>
        <w:pStyle w:val="BodyText"/>
      </w:pPr>
      <w:r>
        <w:rPr>
          <w:b/>
        </w:rPr>
        <w:t xml:space="preserve">Order of authorship (presently): PIs, followed by technical staff in ABC order. Please suggest additions, subtractions, and/or changes to the order.</w:t>
      </w:r>
    </w:p>
    <w:p>
      <w:pPr>
        <w:pStyle w:val="BodyText"/>
      </w:pPr>
      <w:r>
        <w:t xml:space="preserve">Draft date: 22 March 2018’</w:t>
      </w:r>
    </w:p>
    <w:p>
      <w:pPr>
        <w:pStyle w:val="BodyText"/>
      </w:pPr>
      <w:r>
        <w:rPr>
          <w:vertAlign w:val="superscript"/>
        </w:rPr>
        <w:t xml:space="preserve">1</w:t>
      </w:r>
      <w:r>
        <w:t xml:space="preserve">Fisheries Resources Division</w:t>
      </w:r>
      <w:r>
        <w:br w:type="textWrapping"/>
      </w:r>
      <w:r>
        <w:t xml:space="preserve">Southwest Fisheries Science Center</w:t>
      </w:r>
      <w:r>
        <w:br w:type="textWrapping"/>
      </w:r>
      <w:r>
        <w:t xml:space="preserve">NOAA-National Marine Fisheries Service</w:t>
      </w:r>
      <w:r>
        <w:br w:type="textWrapping"/>
      </w:r>
      <w:r>
        <w:t xml:space="preserve">8901 La Jolla Shores Drive</w:t>
      </w:r>
      <w:r>
        <w:t xml:space="preserve"> </w:t>
      </w:r>
      <w:r>
        <w:t xml:space="preserve">La Jolla, CA 92037, USA</w:t>
      </w:r>
    </w:p>
    <w:p>
      <w:pPr>
        <w:pStyle w:val="BodyText"/>
      </w:pPr>
      <w:r>
        <w:rPr>
          <w:vertAlign w:val="superscript"/>
        </w:rPr>
        <w:t xml:space="preserve">2</w:t>
      </w:r>
      <w:r>
        <w:t xml:space="preserve">Fisheries Ecology Division</w:t>
      </w:r>
      <w:r>
        <w:br w:type="textWrapping"/>
      </w:r>
      <w:r>
        <w:t xml:space="preserve">Southwest Fisheries Science Center</w:t>
      </w:r>
      <w:r>
        <w:br w:type="textWrapping"/>
      </w:r>
      <w:r>
        <w:t xml:space="preserve">NOAA-National Marine Fisheries Service</w:t>
      </w:r>
      <w:r>
        <w:br w:type="textWrapping"/>
      </w:r>
      <w:r>
        <w:t xml:space="preserve">110 McAllister Way</w:t>
      </w:r>
      <w:r>
        <w:br w:type="textWrapping"/>
      </w:r>
      <w:r>
        <w:t xml:space="preserve">Santa Cruz, CA 95060, USA</w:t>
      </w:r>
    </w:p>
    <w:p>
      <w:pPr>
        <w:pStyle w:val="BodyText"/>
      </w:pPr>
      <w:r>
        <w:rPr>
          <w:vertAlign w:val="superscript"/>
        </w:rPr>
        <w:t xml:space="preserve">3</w:t>
      </w:r>
      <w:r>
        <w:t xml:space="preserve">Office of the Science Director</w:t>
      </w:r>
      <w:r>
        <w:br w:type="textWrapping"/>
      </w:r>
      <w:r>
        <w:t xml:space="preserve">Northwest Fisheries Science Center</w:t>
      </w:r>
      <w:r>
        <w:br w:type="textWrapping"/>
      </w:r>
      <w:r>
        <w:t xml:space="preserve">NOAA-National Marine Fisheries Service</w:t>
      </w:r>
      <w:r>
        <w:br w:type="textWrapping"/>
      </w:r>
      <w:r>
        <w:t xml:space="preserve">2725 Montlake Boulevard East</w:t>
      </w:r>
      <w:r>
        <w:br w:type="textWrapping"/>
      </w:r>
      <w:r>
        <w:t xml:space="preserve">Seattle, WA 98112, USA</w:t>
      </w:r>
    </w:p>
    <w:p>
      <w:pPr>
        <w:pStyle w:val="BodyText"/>
      </w:pPr>
      <w:r>
        <w:rPr>
          <w:vertAlign w:val="superscript"/>
        </w:rPr>
        <w:t xml:space="preserve">4</w:t>
      </w:r>
      <w:r>
        <w:t xml:space="preserve">Coral Reef Ecology Division</w:t>
      </w:r>
      <w:r>
        <w:br w:type="textWrapping"/>
      </w:r>
      <w:r>
        <w:t xml:space="preserve">Pacific Islands Fisheries Science Center</w:t>
      </w:r>
      <w:r>
        <w:br w:type="textWrapping"/>
      </w:r>
      <w:r>
        <w:t xml:space="preserve">NOAA-National Marine Fisheries Service</w:t>
      </w:r>
      <w:r>
        <w:br w:type="textWrapping"/>
      </w:r>
      <w:r>
        <w:t xml:space="preserve">1845 Wasp Boulevard</w:t>
      </w:r>
      <w:r>
        <w:br w:type="textWrapping"/>
      </w:r>
      <w:r>
        <w:t xml:space="preserve">Honolulu, HI 96818</w:t>
      </w:r>
    </w:p>
    <w:p>
      <w:r>
        <w:br w:type="page"/>
      </w:r>
    </w:p>
    <w:p>
      <w:pPr>
        <w:pStyle w:val="Heading1"/>
      </w:pPr>
      <w:bookmarkStart w:id="21" w:name="abstract"/>
      <w:r>
        <w:t xml:space="preserve">Abstract</w:t>
      </w:r>
      <w:bookmarkEnd w:id="21"/>
    </w:p>
    <w:p>
      <w:pPr>
        <w:pStyle w:val="FirstParagraph"/>
      </w:pPr>
      <w:r>
        <w:t xml:space="preserve">TBD</w:t>
      </w:r>
    </w:p>
    <w:p>
      <w:r>
        <w:br w:type="page"/>
      </w:r>
    </w:p>
    <w:p>
      <w:pPr>
        <w:pStyle w:val="Heading1"/>
      </w:pPr>
      <w:bookmarkStart w:id="22" w:name="introduction"/>
      <w:r>
        <w:t xml:space="preserve">Introduction</w:t>
      </w:r>
      <w:bookmarkEnd w:id="22"/>
    </w:p>
    <w:p>
      <w:pPr>
        <w:pStyle w:val="FirstParagraph"/>
      </w:pPr>
      <w:r>
        <w:t xml:space="preserve">Many managed groundfish stocks on the U.S. west coast inhabit high-relief rocky areas that are inaccessible to traditional net-based survey methods (e.g., swept-area benthic trawls). Several species, such as cowcod (</w:t>
      </w:r>
      <w:r>
        <w:rPr>
          <w:i/>
        </w:rPr>
        <w:t xml:space="preserve">Sebastes levis</w:t>
      </w:r>
      <w:r>
        <w:t xml:space="preserve">) and yelloweye rockfish (</w:t>
      </w:r>
      <w:r>
        <w:rPr>
          <w:i/>
        </w:rPr>
        <w:t xml:space="preserve">S. ruberrimus</w:t>
      </w:r>
      <w:r>
        <w:t xml:space="preserve">), are strongly associated with these untrawlable habitats, have populations at various levels of depletion, and occupy habitats that have incurred substantial impacts from mobile fishing gear</w:t>
      </w:r>
      <w:r>
        <w:t xml:space="preserve"> </w:t>
      </w:r>
      <w:r>
        <w:rPr>
          <w:b/>
        </w:rPr>
        <w:t xml:space="preserve">[Did I get this correct??]</w:t>
      </w:r>
      <w:r>
        <w:t xml:space="preserve"> </w:t>
      </w:r>
      <w:r>
        <w:t xml:space="preserve">(Love and Yoklavich 2006; Yoklavich et al. 2007). Since much of the continental shelf and upper slope are closed to groundfishing, effective monitoring tools are required for species living in these untrawlable habitats.</w:t>
      </w:r>
    </w:p>
    <w:p>
      <w:pPr>
        <w:pStyle w:val="BodyText"/>
      </w:pPr>
      <w:r>
        <w:t xml:space="preserve">Non-lethal and non-destructive survey methods, whether optical, acoustical, or some combination of both, are needed to assess these vulnerable species while minimizing impacts on the fishes and their habitat. To that end, this study compared the results from visual transect surveys conducted in untrawlable habitat using a human-occupied submersible (SUB), an autonomous underwater vehicle (AUV), and a remotely operated vehicle (ROV). Specifically, each survey method was used to (1) identify, count, and estimate the sizes of rockfishes (</w:t>
      </w:r>
      <w:r>
        <w:rPr>
          <w:i/>
        </w:rPr>
        <w:t xml:space="preserve">Sebastes</w:t>
      </w:r>
      <w:r>
        <w:t xml:space="preserve"> </w:t>
      </w:r>
      <w:r>
        <w:t xml:space="preserve">spp.; both common and rare, large- and small-bodied, and semi-pelagic and highly demersal), lingcod (</w:t>
      </w:r>
      <w:r>
        <w:rPr>
          <w:i/>
        </w:rPr>
        <w:t xml:space="preserve">Ophiodon elongatus</w:t>
      </w:r>
      <w:r>
        <w:t xml:space="preserve">), thornyheads (</w:t>
      </w:r>
      <w:r>
        <w:rPr>
          <w:i/>
        </w:rPr>
        <w:t xml:space="preserve">Sebastolobus</w:t>
      </w:r>
      <w:r>
        <w:t xml:space="preserve"> </w:t>
      </w:r>
      <w:r>
        <w:t xml:space="preserve">sp.), and Pacific hake (</w:t>
      </w:r>
      <w:r>
        <w:rPr>
          <w:i/>
        </w:rPr>
        <w:t xml:space="preserve">Merluccius productus</w:t>
      </w:r>
      <w:r>
        <w:t xml:space="preserve">); (2) estimate the density, abundance, and biomass (and associated precision) for these taxa; and (3) estimate diversity within a prescribed study area.</w:t>
      </w:r>
    </w:p>
    <w:p>
      <w:pPr>
        <w:pStyle w:val="BodyText"/>
      </w:pPr>
      <w:r>
        <w:rPr>
          <w:b/>
        </w:rPr>
        <w:t xml:space="preserve">More work will be spent on the Introduction at the end.</w:t>
      </w:r>
    </w:p>
    <w:p>
      <w:pPr>
        <w:pStyle w:val="Heading1"/>
      </w:pPr>
      <w:bookmarkStart w:id="23" w:name="methods"/>
      <w:r>
        <w:t xml:space="preserve">Methods</w:t>
      </w:r>
      <w:bookmarkEnd w:id="23"/>
    </w:p>
    <w:p>
      <w:pPr>
        <w:pStyle w:val="Heading2"/>
      </w:pPr>
      <w:bookmarkStart w:id="24" w:name="survey-area"/>
      <w:r>
        <w:t xml:space="preserve">Survey area</w:t>
      </w:r>
      <w:bookmarkEnd w:id="24"/>
    </w:p>
    <w:p>
      <w:pPr>
        <w:pStyle w:val="FirstParagraph"/>
      </w:pPr>
      <w:r>
        <w:t xml:space="preserve">Underwater surveys of demersal fishes and their seabed habitats were conducted on two rocky seamounts - The Footprint and Piggy Bank - off southern California (</w:t>
      </w:r>
      <w:r>
        <w:rPr>
          <w:b/>
        </w:rPr>
        <w:t xml:space="preserve">Figure 1</w:t>
      </w:r>
      <w:r>
        <w:t xml:space="preserve">). The study site is located inside the State and Federal Footprint Marine Reserves, offshore of Santa Cruz Island, inside the Channel Islands National Marine Sanctuary. Piggy Bank is about 30 km</w:t>
      </w:r>
      <w:r>
        <w:rPr>
          <w:vertAlign w:val="superscript"/>
        </w:rPr>
        <w:t xml:space="preserve">2</w:t>
      </w:r>
      <w:r>
        <w:t xml:space="preserve"> </w:t>
      </w:r>
      <w:r>
        <w:t xml:space="preserve">in area, ranging in depth from 275 to 900 m; The Footprint is about 10 km</w:t>
      </w:r>
      <w:r>
        <w:rPr>
          <w:vertAlign w:val="superscript"/>
        </w:rPr>
        <w:t xml:space="preserve">2</w:t>
      </w:r>
      <w:r>
        <w:t xml:space="preserve"> </w:t>
      </w:r>
      <w:r>
        <w:t xml:space="preserve">in area, ranging in depth from 80 to 500 m. High-resolution bathymetry and broad-scale seabed classification from multibeam echosounder backscatter data were available prior to our surveys (Dartnell et al. 2005). The survey area was stratified into 100-m depth strata down to 400 m. The total area of each stratum was estimated using using GIS (ArcMap version 9.3; Esri, Inc.) and used to estimate total biomass and abundance from estimates of fish density. Large areas of soft sediment in the northeast section of the study site were excluded from our sampling frame.</w:t>
      </w:r>
    </w:p>
    <w:p>
      <w:pPr>
        <w:pStyle w:val="Heading2"/>
      </w:pPr>
      <w:bookmarkStart w:id="25" w:name="survey-design"/>
      <w:r>
        <w:t xml:space="preserve">Survey design</w:t>
      </w:r>
      <w:bookmarkEnd w:id="25"/>
    </w:p>
    <w:p>
      <w:pPr>
        <w:pStyle w:val="FirstParagraph"/>
      </w:pPr>
      <w:r>
        <w:t xml:space="preserve">Visual surveys were conducted during daylight hours (~06:30 to 17:00 h PST) using a human-occupied submersible (SUB,</w:t>
      </w:r>
      <w:r>
        <w:t xml:space="preserve"> </w:t>
      </w:r>
      <w:r>
        <w:rPr>
          <w:i/>
        </w:rPr>
        <w:t xml:space="preserve">Dual Deepworker</w:t>
      </w:r>
      <w:r>
        <w:t xml:space="preserve">, Nuytco) deployed from the F/V</w:t>
      </w:r>
      <w:r>
        <w:t xml:space="preserve"> </w:t>
      </w:r>
      <w:r>
        <w:rPr>
          <w:i/>
        </w:rPr>
        <w:t xml:space="preserve">Velero IV</w:t>
      </w:r>
      <w:r>
        <w:t xml:space="preserve"> </w:t>
      </w:r>
      <w:r>
        <w:t xml:space="preserve">between 21 and 30 September 2011; using a remotely operated vehicle (ROV,</w:t>
      </w:r>
      <w:r>
        <w:t xml:space="preserve"> </w:t>
      </w:r>
      <w:r>
        <w:rPr>
          <w:i/>
        </w:rPr>
        <w:t xml:space="preserve">Phantom DS4</w:t>
      </w:r>
      <w:r>
        <w:t xml:space="preserve">, Deep Ocean Exploration and Research) deployed from the F/V</w:t>
      </w:r>
      <w:r>
        <w:t xml:space="preserve"> </w:t>
      </w:r>
      <w:r>
        <w:rPr>
          <w:i/>
        </w:rPr>
        <w:t xml:space="preserve">Outer Limits</w:t>
      </w:r>
      <w:r>
        <w:t xml:space="preserve"> </w:t>
      </w:r>
      <w:r>
        <w:t xml:space="preserve">during four legs between 21 September and 8 December 2011 (Leg 1: 21-22 September; Leg 2: 4 October; Leg 3: 12-13 October; and Leg 4: 4-8 December; and using an autonomous underwater vehicle (AUV,</w:t>
      </w:r>
      <w:r>
        <w:t xml:space="preserve"> </w:t>
      </w:r>
      <w:r>
        <w:rPr>
          <w:i/>
        </w:rPr>
        <w:t xml:space="preserve">Lucille</w:t>
      </w:r>
      <w:r>
        <w:t xml:space="preserve">, SeaBED) between</w:t>
      </w:r>
      <w:r>
        <w:t xml:space="preserve"> </w:t>
      </w:r>
      <w:r>
        <w:rPr>
          <w:b/>
        </w:rPr>
        <w:t xml:space="preserve">21 and 30 September 2011 (check dates)</w:t>
      </w:r>
      <w:r>
        <w:t xml:space="preserve"> </w:t>
      </w:r>
      <w:r>
        <w:t xml:space="preserve">aboard the NOAA Vessel</w:t>
      </w:r>
      <w:r>
        <w:t xml:space="preserve"> </w:t>
      </w:r>
      <w:r>
        <w:rPr>
          <w:i/>
        </w:rPr>
        <w:t xml:space="preserve">Shearwater</w:t>
      </w:r>
      <w:r>
        <w:t xml:space="preserve">.</w:t>
      </w:r>
    </w:p>
    <w:p>
      <w:pPr>
        <w:pStyle w:val="BodyText"/>
      </w:pPr>
      <w:r>
        <w:t xml:space="preserve">The densities of target species were estimated by each vehicle using strip transect sampling. For the SUB and ROV surveys, each bank was stratified into four 100-m depth bins between 0 and 400 m. Within each depth stratum, transect locations were randomly selected and oriented approximately parallel to isobaths to avoid sampling across multiple strata. Transects were either of fixed duration (~15 min, SUB) or distance (~500 m, ROV). On occasion, ROV transects spanned multiple depth strata, which were post-stratified into multiple transects; only transects greater than 200 m-long were included in the analysis. Additional SUB transects were allocated to the 0-100 m depth strata since earlier studies indicated relatively higher groundfish diversity, species richness, or both at those depths. For the AUV survey, a 250 x 250 m grid was superimposed on the survey area, then each grid cell was assigned to one of three regions: the top of Piggy Bank, the top of The Footprint and the deeper flank around The Footprint (</w:t>
      </w:r>
      <w:r>
        <w:rPr>
          <w:b/>
        </w:rPr>
        <w:t xml:space="preserve">add strata to Figure X</w:t>
      </w:r>
      <w:r>
        <w:t xml:space="preserve">). Within each region, cells were randomly selected and sampled following a pattern of five 200-m long transects connected by four 25-m long (total transect distance of 1.1 km) at a height of approximately 3.5-4 m above the seabed.</w:t>
      </w:r>
    </w:p>
    <w:p>
      <w:pPr>
        <w:pStyle w:val="Heading2"/>
      </w:pPr>
      <w:bookmarkStart w:id="26" w:name="survey-vehicles"/>
      <w:r>
        <w:t xml:space="preserve">Survey vehicles</w:t>
      </w:r>
      <w:bookmarkEnd w:id="26"/>
    </w:p>
    <w:p>
      <w:pPr>
        <w:pStyle w:val="Heading3"/>
      </w:pPr>
      <w:bookmarkStart w:id="27" w:name="human-occupied-submersible"/>
      <w:r>
        <w:t xml:space="preserve">Human-occupied submersible</w:t>
      </w:r>
      <w:bookmarkEnd w:id="27"/>
    </w:p>
    <w:p>
      <w:pPr>
        <w:pStyle w:val="FirstParagraph"/>
      </w:pPr>
      <w:r>
        <w:t xml:space="preserve">An on-board pilot operated the SUB along planned transects. The location of the SUB above the seabed was estimated using a USBL (TrackLink 5000HA; LinkQuest) and differential global positioning system (dGPS,</w:t>
      </w:r>
      <w:r>
        <w:t xml:space="preserve"> </w:t>
      </w:r>
      <w:r>
        <w:rPr>
          <w:b/>
        </w:rPr>
        <w:t xml:space="preserve">Make and Model, if known</w:t>
      </w:r>
      <w:r>
        <w:t xml:space="preserve">) interfaced with a GIS, which was used by a navigator aboard the support vessel to guide the path of the SUB. An experienced scientist identified all observed fishes and estimated their size. Video was also recorded from two high-definition (HD;</w:t>
      </w:r>
      <w:r>
        <w:t xml:space="preserve"> </w:t>
      </w:r>
      <w:r>
        <w:rPr>
          <w:b/>
        </w:rPr>
        <w:t xml:space="preserve">720 or 1080 i/p</w:t>
      </w:r>
      <w:r>
        <w:t xml:space="preserve">), three-color video cameras (</w:t>
      </w:r>
      <w:r>
        <w:rPr>
          <w:b/>
        </w:rPr>
        <w:t xml:space="preserve">Make and Model, if known</w:t>
      </w:r>
      <w:r>
        <w:t xml:space="preserve">) mounted at 45</w:t>
      </w:r>
      <m:oMath>
        <m:r>
          <m:t>∘</m:t>
        </m:r>
      </m:oMath>
      <w:r>
        <w:t xml:space="preserve"> </w:t>
      </w:r>
      <w:r>
        <w:t xml:space="preserve">below horizontal on the starboard side of the SUB: one positioned in the same direction and field of view as the observer and the other camera located below the observer’s field of view to record fishes in the area closest to the SUB that may not have been seen by the observer. Camera times were synchronized to the GPS clock; observations from the scientist were recorded on the audio track of the video recordings and later reviewed in the laboratory. Paired lasers spaced 20-cm apart on either side of the main video camera were used for reference to estimate fish size. A DVL (</w:t>
      </w:r>
      <w:r>
        <w:rPr>
          <w:b/>
        </w:rPr>
        <w:t xml:space="preserve">using speed, or dead reckoning between x/y/z estimates</w:t>
      </w:r>
      <w:r>
        <w:t xml:space="preserve">) and ring-laser gyrocompass (</w:t>
      </w:r>
      <w:r>
        <w:rPr>
          <w:b/>
        </w:rPr>
        <w:t xml:space="preserve">Make and Model, if known</w:t>
      </w:r>
      <w:r>
        <w:t xml:space="preserve">) attached to the outside of the submersible were used to estimate distance. Temperature, salinity, depth, and dissolved oxygen (DO) were measured using a CTD (SBE-19, Seabird) and oxygen sensor</w:t>
      </w:r>
      <w:r>
        <w:t xml:space="preserve"> </w:t>
      </w:r>
      <w:r>
        <w:rPr>
          <w:b/>
        </w:rPr>
        <w:t xml:space="preserve">(Make and Model, if known)</w:t>
      </w:r>
      <w:r>
        <w:t xml:space="preserve">. All data were time-stamped and logged synchronously every 3-s using integrated navigation software (WinFrog, Fugro Pelagos).</w:t>
      </w:r>
    </w:p>
    <w:p>
      <w:pPr>
        <w:pStyle w:val="Heading3"/>
      </w:pPr>
      <w:bookmarkStart w:id="28" w:name="remotely-operated-vehicle"/>
      <w:r>
        <w:t xml:space="preserve">Remotely operated vehicle</w:t>
      </w:r>
      <w:bookmarkEnd w:id="28"/>
    </w:p>
    <w:p>
      <w:pPr>
        <w:pStyle w:val="FirstParagraph"/>
      </w:pPr>
      <w:r>
        <w:t xml:space="preserve">A pilot aboard the vessel operated the ROV along planned transect routes. The location of the ROV above the seabed was estimated using a USBL (TrackLink 5000HA; LinkQuest) and dGPS (dGPS MAX, CSI Wireless). Video was recorded from a single standard definition (NTSC; 720 pixels x 470 lines of resolution) color video camera (Pegasus, Insite Pacific) mounted on a variable-pitch tray, and later used for enumerating fishes and describing seabed characteristics. High-resolution (3 megapixel) images were collected haphazardly using a digital still camera (Scorpio, Insite Pacific) mounted on the same tray and used to aid the identification and measurement of fishes observed in video recordings. The altitude and speed of the ROV was measured using a Doppler velocity log (DVL, 1200 kHz Workhorse Navigator, Teledyne RD Instruments) and used to estimate transect distance and width. Reference lasers spaced 20 and 60 cm-apart were used to estimate fish size. Temperature, salinity, and DO were measured during each transect using a CTD (Citadel CTD-ES, Teledyne RD Instruments) and optode (Model 3930, Aanderaa, Inc.). All data were time-stamped and logged synchronously using integrated navigation software (Winfrog, Fugro Pelagos).</w:t>
      </w:r>
    </w:p>
    <w:p>
      <w:pPr>
        <w:pStyle w:val="Heading3"/>
      </w:pPr>
      <w:bookmarkStart w:id="29" w:name="autonomous-underwater-vehicle"/>
      <w:r>
        <w:t xml:space="preserve">Autonomous underwater vehicle</w:t>
      </w:r>
      <w:bookmarkEnd w:id="29"/>
    </w:p>
    <w:p>
      <w:pPr>
        <w:pStyle w:val="FirstParagraph"/>
      </w:pPr>
      <w:r>
        <w:t xml:space="preserve">The AUV navigated along its programmed route using a DVL (1200 kHz Workhorse Navigator; Teledyne RD Instruments), gyrocompass/inertial motion sensor (iXSea, OCTANS), and the GPS coordinates acquired while on the surface at the dive launch point. The actual location of the AUV above the seabed was estimated from the support vessel using a USBL acoustic tracking system (TrackLink 1500, LinkQuest, Inc.) and dGPS (</w:t>
      </w:r>
      <w:r>
        <w:rPr>
          <w:b/>
        </w:rPr>
        <w:t xml:space="preserve">Model, Manufacturer??</w:t>
      </w:r>
      <w:r>
        <w:t xml:space="preserve">). The depth of the AUV was determined using a pressure sensor (</w:t>
      </w:r>
      <w:r>
        <w:rPr>
          <w:b/>
        </w:rPr>
        <w:t xml:space="preserve">Model?</w:t>
      </w:r>
      <w:r>
        <w:t xml:space="preserve">, Paroscientific) and temperature, salinity,</w:t>
      </w:r>
      <w:r>
        <w:t xml:space="preserve"> </w:t>
      </w:r>
      <w:r>
        <w:rPr>
          <w:b/>
        </w:rPr>
        <w:t xml:space="preserve">other?</w:t>
      </w:r>
      <w:r>
        <w:t xml:space="preserve"> </w:t>
      </w:r>
      <w:r>
        <w:t xml:space="preserve">were measured using a CTD (Model 49 FastCat, Sea-Bird). Stereo images were collected every 10 s using a calibrated, downward-facing stereo camera pair (5-megapixel, 12-bit dynamic range GigE machine vision cameras; Prosilica) synced to a strobe (</w:t>
      </w:r>
      <w:r>
        <w:rPr>
          <w:b/>
        </w:rPr>
        <w:t xml:space="preserve">[model important?]</w:t>
      </w:r>
      <w:r>
        <w:t xml:space="preserve">); a third GigE camera was angled forward at and angle of 30</w:t>
      </w:r>
      <m:oMath>
        <m:r>
          <m:t>∘</m:t>
        </m:r>
      </m:oMath>
      <w:r>
        <w:t xml:space="preserve">strobe synced with the downward-facing stereo cameras. All data were time-stamped and logged synchronously using</w:t>
      </w:r>
      <w:r>
        <w:t xml:space="preserve"> </w:t>
      </w:r>
      <w:r>
        <w:rPr>
          <w:b/>
        </w:rPr>
        <w:t xml:space="preserve">[list software, if used]</w:t>
      </w:r>
      <w:r>
        <w:t xml:space="preserve">.</w:t>
      </w:r>
    </w:p>
    <w:p>
      <w:pPr>
        <w:pStyle w:val="Heading2"/>
      </w:pPr>
      <w:bookmarkStart w:id="30" w:name="visual-analysis"/>
      <w:r>
        <w:t xml:space="preserve">Visual analysis</w:t>
      </w:r>
      <w:bookmarkEnd w:id="30"/>
    </w:p>
    <w:p>
      <w:pPr>
        <w:pStyle w:val="FirstParagraph"/>
      </w:pPr>
      <w:r>
        <w:t xml:space="preserve">All target species observed by each vehicle were identified to the lowest possible taxon, counted, and measured. The identification of fishes observed in SUB and ROV video was aided by audio annotations (SUB) and still images (ROV). The identification of fishes observed in the non-overlapping, color-corrected stereo images from the downward-facing AUV camera was aided by photos from the third angled camera. When fishes could not be identified to species species level, they were identified to the genus (e.g., unidentified rockfish,</w:t>
      </w:r>
      <w:r>
        <w:t xml:space="preserve"> </w:t>
      </w:r>
      <w:r>
        <w:rPr>
          <w:i/>
        </w:rPr>
        <w:t xml:space="preserve">Sebastes</w:t>
      </w:r>
      <w:r>
        <w:t xml:space="preserve"> </w:t>
      </w:r>
      <w:r>
        <w:t xml:space="preserve">spp.; or unidentified thornyhead,</w:t>
      </w:r>
      <w:r>
        <w:t xml:space="preserve"> </w:t>
      </w:r>
      <w:r>
        <w:rPr>
          <w:i/>
        </w:rPr>
        <w:t xml:space="preserve">Sebastolobus</w:t>
      </w:r>
      <w:r>
        <w:t xml:space="preserve"> </w:t>
      </w:r>
      <w:r>
        <w:t xml:space="preserve">spp.) or subgenus level (e.g., rosy-group rockfish,</w:t>
      </w:r>
      <w:r>
        <w:t xml:space="preserve"> </w:t>
      </w:r>
      <w:r>
        <w:rPr>
          <w:i/>
        </w:rPr>
        <w:t xml:space="preserve">Sebastomus</w:t>
      </w:r>
      <w:r>
        <w:t xml:space="preserve">), if possible. Lengths of fishes observed by the AUV were estimated to 1 cm resolution using custom stereo image analysis software (</w:t>
      </w:r>
      <w:r>
        <w:rPr>
          <w:i/>
        </w:rPr>
        <w:t xml:space="preserve">Sebastes</w:t>
      </w:r>
      <w:r>
        <w:t xml:space="preserve">, NWFSC). Lengths of fishes observed from the SUB and ROV were estimated to the nearest 5- or 10-cm using calibrated parallel lasers for reference. When fish were oriented normal to the camera lens and near the reference lasers, length of fishes observed by the ROV were to the nearest 1 cm using image analysis software (ImageJ, National Institute of Health).</w:t>
      </w:r>
    </w:p>
    <w:p>
      <w:pPr>
        <w:pStyle w:val="Heading2"/>
      </w:pPr>
      <w:bookmarkStart w:id="31" w:name="sampling-effort-distance-and-area"/>
      <w:r>
        <w:t xml:space="preserve">Sampling effort (distance and area)</w:t>
      </w:r>
      <w:bookmarkEnd w:id="31"/>
    </w:p>
    <w:p>
      <w:pPr>
        <w:pStyle w:val="FirstParagraph"/>
      </w:pPr>
      <w:r>
        <w:t xml:space="preserve">The abundance and biomass of observed fishes was calculated using the area of each transect. For the SUB, transect distance was estimated every</w:t>
      </w:r>
      <w:r>
        <w:t xml:space="preserve"> </w:t>
      </w:r>
      <w:r>
        <w:rPr>
          <w:b/>
        </w:rPr>
        <w:t xml:space="preserve">3 s</w:t>
      </w:r>
      <w:r>
        <w:t xml:space="preserve"> </w:t>
      </w:r>
      <w:r>
        <w:t xml:space="preserve">using</w:t>
      </w:r>
      <w:r>
        <w:t xml:space="preserve"> </w:t>
      </w:r>
      <w:r>
        <w:rPr>
          <w:b/>
        </w:rPr>
        <w:t xml:space="preserve">speed/distance</w:t>
      </w:r>
      <w:r>
        <w:t xml:space="preserve"> </w:t>
      </w:r>
      <w:r>
        <w:t xml:space="preserve">measured by the</w:t>
      </w:r>
      <w:r>
        <w:t xml:space="preserve"> </w:t>
      </w:r>
      <w:r>
        <w:rPr>
          <w:b/>
        </w:rPr>
        <w:t xml:space="preserve">DVL/gyrocompass</w:t>
      </w:r>
      <w:r>
        <w:t xml:space="preserve">; transect width was estimated</w:t>
      </w:r>
      <w:r>
        <w:t xml:space="preserve"> </w:t>
      </w:r>
      <w:r>
        <w:rPr>
          <w:b/>
        </w:rPr>
        <w:t xml:space="preserve">every X interval</w:t>
      </w:r>
      <w:r>
        <w:t xml:space="preserve"> </w:t>
      </w:r>
      <w:r>
        <w:t xml:space="preserve">by the on-board scientist using the combination of: 1) a hand-held sonar, 2) the SUB’s sonar</w:t>
      </w:r>
      <w:r>
        <w:t xml:space="preserve"> </w:t>
      </w:r>
      <w:r>
        <w:rPr>
          <w:b/>
        </w:rPr>
        <w:t xml:space="preserve">[What is this? Was it used?]</w:t>
      </w:r>
      <w:r>
        <w:t xml:space="preserve">, and 3) a crossing laser set to intersect the parallel laser at</w:t>
      </w:r>
      <w:r>
        <w:t xml:space="preserve"> </w:t>
      </w:r>
      <w:r>
        <w:rPr>
          <w:b/>
        </w:rPr>
        <w:t xml:space="preserve">3 m</w:t>
      </w:r>
      <w:r>
        <w:t xml:space="preserve"> </w:t>
      </w:r>
      <w:r>
        <w:t xml:space="preserve">from the observer when the submersible was</w:t>
      </w:r>
      <w:r>
        <w:t xml:space="preserve"> </w:t>
      </w:r>
      <w:r>
        <w:rPr>
          <w:b/>
        </w:rPr>
        <w:t xml:space="preserve">1 m</w:t>
      </w:r>
      <w:r>
        <w:t xml:space="preserve"> </w:t>
      </w:r>
      <w:r>
        <w:t xml:space="preserve">above the seabed; and transect area was estimated as the summed product of transect distance and width estimates. For the ROV, transect distance was estimated from ROV speed, transect width was estimated from the ROV altitude and the optical properties of the video cameras, and transect area was estimated as the summed product of distance and transect width estimates measured every 2-s</w:t>
      </w:r>
      <w:r>
        <w:t xml:space="preserve"> </w:t>
      </w:r>
      <w:r>
        <w:t xml:space="preserve">(Stierhoff</w:t>
      </w:r>
      <w:r>
        <w:t xml:space="preserve"> </w:t>
      </w:r>
      <w:r>
        <w:rPr>
          <w:i/>
        </w:rPr>
        <w:t xml:space="preserve">et al.</w:t>
      </w:r>
      <w:r>
        <w:t xml:space="preserve">, 2016)</w:t>
      </w:r>
      <w:r>
        <w:t xml:space="preserve">. For the AUV, transect area was estimated</w:t>
      </w:r>
      <w:r>
        <w:t xml:space="preserve"> </w:t>
      </w:r>
      <w:r>
        <w:rPr>
          <w:b/>
        </w:rPr>
        <w:t xml:space="preserve">a)</w:t>
      </w:r>
      <w:r>
        <w:t xml:space="preserve"> </w:t>
      </w:r>
      <w:r>
        <w:t xml:space="preserve">as the sum of the area of non-overlapping stereo image pairs estimated using custom software (</w:t>
      </w:r>
      <w:r>
        <w:rPr>
          <w:i/>
        </w:rPr>
        <w:t xml:space="preserve">Sebastes</w:t>
      </w:r>
      <w:r>
        <w:t xml:space="preserve">, NWFSC) or</w:t>
      </w:r>
      <w:r>
        <w:t xml:space="preserve"> </w:t>
      </w:r>
      <w:r>
        <w:rPr>
          <w:b/>
        </w:rPr>
        <w:t xml:space="preserve">b)</w:t>
      </w:r>
      <w:r>
        <w:t xml:space="preserve"> </w:t>
      </w:r>
      <w:r>
        <w:t xml:space="preserve">altitude off the bottom and the specified camera field of view</w:t>
      </w:r>
      <w:r>
        <w:t xml:space="preserve"> </w:t>
      </w:r>
      <w:r>
        <w:rPr>
          <w:b/>
        </w:rPr>
        <w:t xml:space="preserve">(Please choose which method)</w:t>
      </w:r>
      <w:r>
        <w:t xml:space="preserve">. Each vehicle aimed to survey the planned transects at a constant speed and altitude above the seabed. Transect segments during which the seabed was not clearly visible were removed from the analysis.</w:t>
      </w:r>
    </w:p>
    <w:p>
      <w:pPr>
        <w:pStyle w:val="Heading2"/>
      </w:pPr>
      <w:bookmarkStart w:id="32" w:name="characterization-of-seabed-type"/>
      <w:r>
        <w:t xml:space="preserve">Characterization of seabed type</w:t>
      </w:r>
      <w:bookmarkEnd w:id="32"/>
    </w:p>
    <w:p>
      <w:pPr>
        <w:pStyle w:val="FirstParagraph"/>
      </w:pPr>
      <w:r>
        <w:t xml:space="preserve">Primary and secondary geologic seabed characteristics were described at the beginning of the transect, at the time of each fish observation, and also at any transition between different seabed types, allowing for the description of associations between each species and different seabed types and also the estimation of area searched within each seabed type. Both the primary (&gt;50% of the seabed within the strip area) and secondary (20-50% of the seabed within the strip area) seabed characteristics were described. Seabed classifications generally followed the classification scheme of Greene et al.</w:t>
      </w:r>
      <w:r>
        <w:t xml:space="preserve"> </w:t>
      </w:r>
      <w:r>
        <w:t xml:space="preserve">(1999)</w:t>
      </w:r>
      <w:r>
        <w:t xml:space="preserve">, and were based on particle size: mud (clay to silt; &lt;0.06 mm), sand (0.06-2 mm), pebble (2-64 mm), cobble (64-256 mm), boulder (0.25-3 m), low-complexity (&lt;0.25 m pavement) reef, and highcomplexity (&gt;0.25 m) reef. The term</w:t>
      </w:r>
      <w:r>
        <w:t xml:space="preserve"> </w:t>
      </w:r>
      <w:r>
        <w:t xml:space="preserve">“</w:t>
      </w:r>
      <w:r>
        <w:t xml:space="preserve">complexity</w:t>
      </w:r>
      <w:r>
        <w:t xml:space="preserve">”</w:t>
      </w:r>
      <w:r>
        <w:t xml:space="preserve"> </w:t>
      </w:r>
      <w:r>
        <w:t xml:space="preserve">refers to the presence and the size of cracks and crevices in the seabed that may provide refuge to rockfishes. Based on the size and shape of these features, low-complexity and high-complexity reef probably serve the same ecological function as sand/pebble and cobble/boulder, respectively. The area of each substratum type in a transect was estimated as the product of the transect width and the distance between seabed types for the SUB and ROV, or as the total area of images containing similar seabed types for the AUV.</w:t>
      </w:r>
    </w:p>
    <w:p>
      <w:pPr>
        <w:pStyle w:val="Heading2"/>
      </w:pPr>
      <w:bookmarkStart w:id="33" w:name="estimation-of-abundance-and-biomass"/>
      <w:r>
        <w:t xml:space="preserve">Estimation of abundance and biomass</w:t>
      </w:r>
      <w:bookmarkEnd w:id="33"/>
    </w:p>
    <w:p>
      <w:pPr>
        <w:pStyle w:val="FirstParagraph"/>
      </w:pPr>
      <w:r>
        <w:rPr>
          <w:b/>
        </w:rPr>
        <w:t xml:space="preserve">[Methods may be same for ROV and SUB]</w:t>
      </w:r>
      <w:r>
        <w:t xml:space="preserve"> </w:t>
      </w:r>
      <w:r>
        <w:t xml:space="preserve">The total abundance and biomass of each species was estimated within each stratum. Total abundance (</w:t>
      </w:r>
      <m:oMath>
        <m:r>
          <m:t>N</m:t>
        </m:r>
      </m:oMath>
      <w:r>
        <w:t xml:space="preserve">) in each transect was estimated using the strip transect method (Buckland et al. 2001) by multiplying the mean density of each species (</w:t>
      </w:r>
      <m:oMath>
        <m:r>
          <m:t>D</m:t>
        </m:r>
      </m:oMath>
      <w:r>
        <w:t xml:space="preserve">;</w:t>
      </w:r>
      <w:r>
        <w:t xml:space="preserve"> </w:t>
      </w:r>
      <w:r>
        <w:rPr>
          <w:b/>
        </w:rPr>
        <w:t xml:space="preserve">get correct symbol</w:t>
      </w:r>
      <w:r>
        <w:t xml:space="preserve">) within a stratum by the total area (</w:t>
      </w:r>
      <m:oMath>
        <m:r>
          <m:t>A</m:t>
        </m:r>
      </m:oMath>
      <w:r>
        <w:t xml:space="preserve">) within that stratum (</w:t>
      </w:r>
      <w:r>
        <w:rPr>
          <w:b/>
        </w:rPr>
        <w:t xml:space="preserve">Table X</w:t>
      </w:r>
      <w:r>
        <w:t xml:space="preserve">). For each transect, density was calculated as:</w:t>
      </w:r>
      <w:r>
        <w:t xml:space="preserve"> </w:t>
      </w:r>
      <m:oMath>
        <m:r>
          <m:t>D</m:t>
        </m:r>
        <m:r>
          <m:t>=</m:t>
        </m:r>
        <m:r>
          <m:t>n</m:t>
        </m:r>
        <m:r>
          <m:t>/</m:t>
        </m:r>
        <m:r>
          <m:t>a</m:t>
        </m:r>
      </m:oMath>
      <w:r>
        <w:t xml:space="preserve">, where</w:t>
      </w:r>
      <w:r>
        <w:t xml:space="preserve"> </w:t>
      </w:r>
      <m:oMath>
        <m:r>
          <m:t>n</m:t>
        </m:r>
      </m:oMath>
      <w:r>
        <w:t xml:space="preserve"> </w:t>
      </w:r>
      <w:r>
        <w:t xml:space="preserve">is the number of individuals encountered and</w:t>
      </w:r>
      <w:r>
        <w:t xml:space="preserve"> </w:t>
      </w:r>
      <m:oMath>
        <m:r>
          <m:t>a</m:t>
        </m:r>
      </m:oMath>
      <w:r>
        <w:t xml:space="preserve"> </w:t>
      </w:r>
      <w:r>
        <w:t xml:space="preserve">is the transect area. The total area of each depth stratum was estimated using ArcGIS (</w:t>
      </w:r>
      <w:r>
        <w:rPr>
          <w:b/>
        </w:rPr>
        <w:t xml:space="preserve">Table 2</w:t>
      </w:r>
      <w:r>
        <w:t xml:space="preserve">). The biomass (</w:t>
      </w:r>
      <m:oMath>
        <m:r>
          <m:t>B</m:t>
        </m:r>
      </m:oMath>
      <w:r>
        <w:t xml:space="preserve">) for each species was estimated from</w:t>
      </w:r>
      <w:r>
        <w:t xml:space="preserve"> </w:t>
      </w:r>
      <m:oMath>
        <m:r>
          <m:t>T</m:t>
        </m:r>
        <m:r>
          <m:t>L</m:t>
        </m:r>
      </m:oMath>
      <w:r>
        <w:t xml:space="preserve"> </w:t>
      </w:r>
      <w:r>
        <w:t xml:space="preserve">as:</w:t>
      </w:r>
      <w:r>
        <w:t xml:space="preserve"> </w:t>
      </w:r>
      <m:oMath>
        <m:r>
          <m:t>B</m:t>
        </m:r>
        <m:r>
          <m:t>=</m:t>
        </m:r>
        <m:r>
          <m:t>a</m:t>
        </m:r>
        <m:r>
          <m:t>*</m:t>
        </m:r>
        <m:r>
          <m:t>(</m:t>
        </m:r>
        <m:r>
          <m:t>T</m:t>
        </m:r>
        <m:r>
          <m:t>L</m:t>
        </m:r>
        <m:sSup>
          <m:e>
            <m:r>
              <m:t>)</m:t>
            </m:r>
          </m:e>
          <m:sup>
            <m:r>
              <m:t>b</m:t>
            </m:r>
          </m:sup>
        </m:sSup>
      </m:oMath>
      <w:r>
        <w:t xml:space="preserve">, where</w:t>
      </w:r>
      <w:r>
        <w:t xml:space="preserve"> </w:t>
      </w:r>
      <m:oMath>
        <m:r>
          <m:t>a</m:t>
        </m:r>
      </m:oMath>
      <w:r>
        <w:t xml:space="preserve"> </w:t>
      </w:r>
      <w:r>
        <w:t xml:space="preserve">and</w:t>
      </w:r>
      <w:r>
        <w:t xml:space="preserve"> </w:t>
      </w:r>
      <m:oMath>
        <m:r>
          <m:t>b</m:t>
        </m:r>
      </m:oMath>
      <w:r>
        <w:t xml:space="preserve"> </w:t>
      </w:r>
      <w:r>
        <w:t xml:space="preserve">are the taken from published relationships between TL and mass (</w:t>
      </w:r>
      <w:r>
        <w:rPr>
          <w:b/>
        </w:rPr>
        <w:t xml:space="preserve">Appendix/Table X</w:t>
      </w:r>
      <w:r>
        <w:t xml:space="preserve">). For fishes assigned to 10-cm length bins, the midpoint of each size class was used to estimate biomass (e.g., 5 cm for the 0-10 cm class). Many species for which few or no voucher specimens are available (e.g., dwarf-red rockfish,</w:t>
      </w:r>
      <w:r>
        <w:t xml:space="preserve"> </w:t>
      </w:r>
      <w:r>
        <w:rPr>
          <w:i/>
        </w:rPr>
        <w:t xml:space="preserve">S. rufinanus</w:t>
      </w:r>
      <w:r>
        <w:t xml:space="preserve">; rosethorn rockfish,</w:t>
      </w:r>
      <w:r>
        <w:t xml:space="preserve"> </w:t>
      </w:r>
      <w:r>
        <w:rPr>
          <w:i/>
        </w:rPr>
        <w:t xml:space="preserve">S. simulator</w:t>
      </w:r>
      <w:r>
        <w:t xml:space="preserve">; and pygmy rockfish,</w:t>
      </w:r>
      <w:r>
        <w:t xml:space="preserve"> </w:t>
      </w:r>
      <w:r>
        <w:rPr>
          <w:i/>
        </w:rPr>
        <w:t xml:space="preserve">S. wilsoni</w:t>
      </w:r>
      <w:r>
        <w:t xml:space="preserve">), coefficients for closely related species (as described by Hyde &amp; Vetter 2007) were used. The relationship for vermilion rockfish (</w:t>
      </w:r>
      <w:r>
        <w:rPr>
          <w:i/>
        </w:rPr>
        <w:t xml:space="preserve">S. miniatus</w:t>
      </w:r>
      <w:r>
        <w:t xml:space="preserve">) was substituted for the newly described sunset rockfish (</w:t>
      </w:r>
      <w:r>
        <w:rPr>
          <w:i/>
        </w:rPr>
        <w:t xml:space="preserve">S. crocotulus</w:t>
      </w:r>
      <w:r>
        <w:t xml:space="preserve">; Hyde et al. 2008). Since many of the unidentified rockfishes were of the semi-pelagic, aggregating variety, coefficients for squarespot rockfishes (</w:t>
      </w:r>
      <w:r>
        <w:rPr>
          <w:i/>
        </w:rPr>
        <w:t xml:space="preserve">S. hopkinsi</w:t>
      </w:r>
      <w:r>
        <w:t xml:space="preserve">, the most common species with similar behavior and vertical distribution) were used. For unidentified rosy-group fishes (</w:t>
      </w:r>
      <w:r>
        <w:rPr>
          <w:i/>
        </w:rPr>
        <w:t xml:space="preserve">Sebastomus</w:t>
      </w:r>
      <w:r>
        <w:t xml:space="preserve">), coefficients for swordspine rockfish (</w:t>
      </w:r>
      <w:r>
        <w:rPr>
          <w:i/>
        </w:rPr>
        <w:t xml:space="preserve">S. ensifer</w:t>
      </w:r>
      <w:r>
        <w:t xml:space="preserve">, the most common</w:t>
      </w:r>
      <w:r>
        <w:t xml:space="preserve"> </w:t>
      </w:r>
      <w:r>
        <w:rPr>
          <w:i/>
        </w:rPr>
        <w:t xml:space="preserve">Sebastomus</w:t>
      </w:r>
      <w:r>
        <w:t xml:space="preserve"> </w:t>
      </w:r>
      <w:r>
        <w:t xml:space="preserve">species observed) was used. Mean, CV of the mean, and 90%-quantile confidence intervals for abundance and biomass were estimated using a non-parametric bootstrap of 1,000 samples (Efron &amp; Tibshirani 1993).</w:t>
      </w:r>
    </w:p>
    <w:p>
      <w:pPr>
        <w:pStyle w:val="Heading3"/>
      </w:pPr>
      <w:bookmarkStart w:id="34" w:name="sub"/>
      <w:r>
        <w:t xml:space="preserve">SUB</w:t>
      </w:r>
      <w:bookmarkEnd w:id="34"/>
    </w:p>
    <w:p>
      <w:pPr>
        <w:pStyle w:val="FirstParagraph"/>
      </w:pPr>
      <w:r>
        <w:t xml:space="preserve">To estimate total biomass of species, we used the length-weight relationship</w:t>
      </w:r>
    </w:p>
    <w:p>
      <w:pPr>
        <w:pStyle w:val="BodyText"/>
      </w:pPr>
      <w:r>
        <w:t xml:space="preserve">We substituted coefficients from closely related species for chameleon (</w:t>
      </w:r>
      <w:r>
        <w:rPr>
          <w:i/>
        </w:rPr>
        <w:t xml:space="preserve">S. phillipsi</w:t>
      </w:r>
      <w:r>
        <w:t xml:space="preserve">), dwarf-red (</w:t>
      </w:r>
      <w:r>
        <w:rPr>
          <w:i/>
        </w:rPr>
        <w:t xml:space="preserve">S. rufinanus</w:t>
      </w:r>
      <w:r>
        <w:t xml:space="preserve">), and pygmy (</w:t>
      </w:r>
      <w:r>
        <w:rPr>
          <w:i/>
        </w:rPr>
        <w:t xml:space="preserve">S. wilsoni</w:t>
      </w:r>
      <w:r>
        <w:t xml:space="preserve">) rockfishes and unidentified thornyheads and</w:t>
      </w:r>
      <w:r>
        <w:t xml:space="preserve"> </w:t>
      </w:r>
      <w:r>
        <w:rPr>
          <w:i/>
        </w:rPr>
        <w:t xml:space="preserve">Sebastomus</w:t>
      </w:r>
      <w:r>
        <w:t xml:space="preserve"> </w:t>
      </w:r>
      <w:r>
        <w:t xml:space="preserve">because coefficients were unavailable for these taxa. Biomass density (kg 100 m</w:t>
      </w:r>
      <w:r>
        <w:rPr>
          <w:vertAlign w:val="superscript"/>
        </w:rPr>
        <w:t xml:space="preserve">-2</w:t>
      </w:r>
      <w:r>
        <w:t xml:space="preserve">) was then calculated for each taxon on each transect by summing the weights of individuals and dividing by the transect area. The mean and variance of biomass density were calculated from transects within each depth stratum, and expanded to total biomass and variance by multiplying by the area of the depth stratum. Total biomass and variance for each bank and the banks combined were estimated by summing biomass and variance for all depth strata. Coefficient of variation (CV) was calculated as CV = sqrt(var(B)/B).</w:t>
      </w:r>
    </w:p>
    <w:p>
      <w:pPr>
        <w:pStyle w:val="Heading3"/>
      </w:pPr>
      <w:bookmarkStart w:id="35" w:name="auv"/>
      <w:r>
        <w:t xml:space="preserve">AUV</w:t>
      </w:r>
      <w:bookmarkEnd w:id="35"/>
    </w:p>
    <w:p>
      <w:pPr>
        <w:pStyle w:val="FirstParagraph"/>
      </w:pPr>
      <w:r>
        <w:t xml:space="preserve">Digital still images were downloaded at the end of each mission and color-corrected. All non-overlapping images from the port, downward-facing camera were reviewed to identify and count all fish observed; images from the angled camera were used to aid in the identification of fishes observed. The area of each image was estimated using the measured altitude above the seabed and the specified camera field of view.</w:t>
      </w:r>
    </w:p>
    <w:p>
      <w:pPr>
        <w:pStyle w:val="BodyText"/>
      </w:pPr>
      <w:r>
        <w:t xml:space="preserve">For each of the three focal areas (Footprint, Footprint flank, Piggy Bank) we estimated total abundance of each species and some taxonomic groups. To estimate abundance, first we calculated fish density per cell. The total number of fish observed in the AUV images for each cell were summed and then divided by the area surveyed in that cell. Then we calculated the mean cell density and coefficients of variation (CV) for each of the focal areas. In order to provide comparable results to the ROV surveys we also used a second method to calculate estimates of the mean, CV and 90% confidence intervals for abundance and biomass using a bootstrap of 1000 samples. In both cases, the mean fish densities were expanded to total abundance and variance for each focal area by multiplying mean cell density by the total areas of Footprint, Footprint flank and Piggy Bank. The coefficient of variation was calculated as:</w:t>
      </w:r>
    </w:p>
    <w:p>
      <w:pPr>
        <w:pStyle w:val="BodyText"/>
      </w:pPr>
      <m:oMathPara>
        <m:oMathParaPr>
          <m:jc m:val="center"/>
        </m:oMathParaPr>
        <m:oMath>
          <m:r>
            <m:t>C</m:t>
          </m:r>
          <m:r>
            <m:t>V</m:t>
          </m:r>
          <m:r>
            <m:t>=</m:t>
          </m:r>
          <m:f>
            <m:fPr>
              <m:type m:val="bar"/>
            </m:fPr>
            <m:num>
              <m:r>
                <m:t>σ</m:t>
              </m:r>
            </m:num>
            <m:den>
              <m:r>
                <m:t>μ</m:t>
              </m:r>
            </m:den>
          </m:f>
        </m:oMath>
      </m:oMathPara>
    </w:p>
    <w:p>
      <w:pPr>
        <w:pStyle w:val="FirstParagraph"/>
      </w:pPr>
      <w:r>
        <w:t xml:space="preserve">where</w:t>
      </w:r>
      <w:r>
        <w:t xml:space="preserve"> </w:t>
      </w:r>
      <m:oMath>
        <m:r>
          <m:t>μ</m:t>
        </m:r>
      </m:oMath>
      <w:r>
        <w:t xml:space="preserve"> </w:t>
      </w:r>
      <w:r>
        <w:t xml:space="preserve">is the mean of the cell densities and</w:t>
      </w:r>
      <w:r>
        <w:t xml:space="preserve"> </w:t>
      </w:r>
      <m:oMath>
        <m:r>
          <m:t>σ</m:t>
        </m:r>
      </m:oMath>
      <w:r>
        <w:t xml:space="preserve"> </w:t>
      </w:r>
      <w:r>
        <w:t xml:space="preserve">is the standard deviation of the cell means. Biomass was estimated from known length-weight relationships as:</w:t>
      </w:r>
    </w:p>
    <w:p>
      <w:pPr>
        <w:pStyle w:val="BodyText"/>
      </w:pPr>
      <m:oMathPara>
        <m:oMathParaPr>
          <m:jc m:val="center"/>
        </m:oMathParaPr>
        <m:oMath>
          <m:r>
            <m:t>B</m:t>
          </m:r>
          <m:r>
            <m:t>=</m:t>
          </m:r>
          <m:r>
            <m:t>a</m:t>
          </m:r>
          <m:r>
            <m:t>*</m:t>
          </m:r>
          <m:r>
            <m:t>T</m:t>
          </m:r>
          <m:sSup>
            <m:e>
              <m:r>
                <m:t>L</m:t>
              </m:r>
            </m:e>
            <m:sup>
              <m:r>
                <m:t>b</m:t>
              </m:r>
            </m:sup>
          </m:sSup>
        </m:oMath>
      </m:oMathPara>
    </w:p>
    <w:p>
      <w:pPr>
        <w:pStyle w:val="FirstParagraph"/>
      </w:pPr>
      <w:r>
        <w:t xml:space="preserve">where</w:t>
      </w:r>
      <w:r>
        <w:t xml:space="preserve"> </w:t>
      </w:r>
      <w:r>
        <w:rPr>
          <w:i/>
        </w:rPr>
        <w:t xml:space="preserve">TL</w:t>
      </w:r>
      <w:r>
        <w:t xml:space="preserve"> </w:t>
      </w:r>
      <w:r>
        <w:t xml:space="preserve">is the total length estimated from stereo image measurements. Species coefficients for</w:t>
      </w:r>
      <w:r>
        <w:t xml:space="preserve"> </w:t>
      </w:r>
      <w:r>
        <w:rPr>
          <w:i/>
        </w:rPr>
        <w:t xml:space="preserve">a</w:t>
      </w:r>
      <w:r>
        <w:t xml:space="preserve"> </w:t>
      </w:r>
      <w:r>
        <w:t xml:space="preserve">and</w:t>
      </w:r>
      <w:r>
        <w:t xml:space="preserve"> </w:t>
      </w:r>
      <w:r>
        <w:rPr>
          <w:i/>
        </w:rPr>
        <w:t xml:space="preserve">b</w:t>
      </w:r>
      <w:r>
        <w:t xml:space="preserve"> </w:t>
      </w:r>
      <w:r>
        <w:t xml:space="preserve">are listed in Appendix</w:t>
      </w:r>
      <w:r>
        <w:t xml:space="preserve"> </w:t>
      </w:r>
      <w:r>
        <w:rPr>
          <w:b/>
        </w:rPr>
        <w:t xml:space="preserve">XXX</w:t>
      </w:r>
      <w:r>
        <w:t xml:space="preserve">.</w:t>
      </w:r>
      <w:r>
        <w:br w:type="textWrapping"/>
      </w:r>
      <w:r>
        <w:t xml:space="preserve">## Biodiversity estimates</w:t>
      </w:r>
      <w:r>
        <w:br w:type="textWrapping"/>
      </w:r>
      <w:r>
        <w:t xml:space="preserve">### SUB</w:t>
      </w:r>
    </w:p>
    <w:p>
      <w:pPr>
        <w:pStyle w:val="Heading3"/>
      </w:pPr>
      <w:bookmarkStart w:id="36" w:name="rov"/>
      <w:r>
        <w:t xml:space="preserve">ROV</w:t>
      </w:r>
      <w:bookmarkEnd w:id="36"/>
    </w:p>
    <w:p>
      <w:pPr>
        <w:pStyle w:val="FirstParagraph"/>
      </w:pPr>
      <w:r>
        <w:t xml:space="preserve">Species richness (</w:t>
      </w:r>
      <m:oMath>
        <m:r>
          <m:t>S</m:t>
        </m:r>
      </m:oMath>
      <w:r>
        <w:t xml:space="preserve">); species diversity (Shannon</w:t>
      </w:r>
      <w:r>
        <w:t xml:space="preserve"> </w:t>
      </w:r>
      <m:oMath>
        <m:r>
          <m:t>H</m:t>
        </m:r>
        <m:r>
          <m:t>’</m:t>
        </m:r>
      </m:oMath>
      <w:r>
        <w:t xml:space="preserve">), and Simpson’s lambda (</w:t>
      </w:r>
      <m:oMath>
        <m:r>
          <m:t>λ</m:t>
        </m:r>
      </m:oMath>
      <w:r>
        <w:t xml:space="preserve">) were computed for each transect and then summarized within each depth stratum and at each bank. The expected species richness (rarefaction) in a particular sample from that stratum was estimated and arefaction curves were generated for each bank using the. All biodiversity estimates were generated using the</w:t>
      </w:r>
      <w:r>
        <w:t xml:space="preserve"> </w:t>
      </w:r>
      <w:r>
        <w:rPr>
          <w:i/>
        </w:rPr>
        <w:t xml:space="preserve">vegan</w:t>
      </w:r>
      <w:r>
        <w:t xml:space="preserve"> </w:t>
      </w:r>
      <w:r>
        <w:t xml:space="preserve">package (</w:t>
      </w:r>
      <w:r>
        <w:rPr>
          <w:b/>
        </w:rPr>
        <w:t xml:space="preserve">Oksanen et al. 2012</w:t>
      </w:r>
      <w:r>
        <w:t xml:space="preserve">) in R (</w:t>
      </w:r>
      <w:r>
        <w:rPr>
          <w:b/>
        </w:rPr>
        <w:t xml:space="preserve">R Development Core Team 2011</w:t>
      </w:r>
      <w:r>
        <w:t xml:space="preserve">).</w:t>
      </w:r>
    </w:p>
    <w:p>
      <w:pPr>
        <w:pStyle w:val="Heading3"/>
      </w:pPr>
      <w:bookmarkStart w:id="37" w:name="auv-1"/>
      <w:r>
        <w:t xml:space="preserve">AUV</w:t>
      </w:r>
      <w:bookmarkEnd w:id="37"/>
    </w:p>
    <w:p>
      <w:pPr>
        <w:pStyle w:val="Heading1"/>
      </w:pPr>
      <w:bookmarkStart w:id="38" w:name="results"/>
      <w:r>
        <w:t xml:space="preserve">Results</w:t>
      </w:r>
      <w:bookmarkEnd w:id="38"/>
    </w:p>
    <w:p>
      <w:pPr>
        <w:pStyle w:val="Heading2"/>
      </w:pPr>
      <w:bookmarkStart w:id="39" w:name="survey-effort"/>
      <w:r>
        <w:t xml:space="preserve">Survey effort</w:t>
      </w:r>
      <w:bookmarkEnd w:id="39"/>
    </w:p>
    <w:p>
      <w:pPr>
        <w:pStyle w:val="FirstParagraph"/>
      </w:pPr>
      <w:r>
        <w:rPr>
          <w:b/>
        </w:rPr>
        <w:t xml:space="preserve">[Assemble a table of n transects, distance, and area for each method, bank, and depth stratum.]</w:t>
      </w:r>
    </w:p>
    <w:p>
      <w:pPr>
        <w:pStyle w:val="Heading3"/>
      </w:pPr>
      <w:bookmarkStart w:id="40" w:name="sub-1"/>
      <w:r>
        <w:t xml:space="preserve">SUB</w:t>
      </w:r>
      <w:bookmarkEnd w:id="40"/>
    </w:p>
    <w:p>
      <w:pPr>
        <w:pStyle w:val="FirstParagraph"/>
      </w:pPr>
      <w:r>
        <w:t xml:space="preserve">A total of</w:t>
      </w:r>
      <w:r>
        <w:t xml:space="preserve"> </w:t>
      </w:r>
      <w:r>
        <w:rPr>
          <w:rStyle w:val="VerbatimChar"/>
        </w:rPr>
        <w:t xml:space="preserve">69</w:t>
      </w:r>
      <w:r>
        <w:t xml:space="preserve"> </w:t>
      </w:r>
      <w:r>
        <w:t xml:space="preserve">transects were conducted between</w:t>
      </w:r>
      <w:r>
        <w:t xml:space="preserve"> </w:t>
      </w:r>
      <w:r>
        <w:rPr>
          <w:rStyle w:val="VerbatimChar"/>
        </w:rPr>
        <w:t xml:space="preserve">95</w:t>
      </w:r>
      <w:r>
        <w:t xml:space="preserve">-</w:t>
      </w:r>
      <w:r>
        <w:rPr>
          <w:rStyle w:val="VerbatimChar"/>
        </w:rPr>
        <w:t xml:space="preserve">400</w:t>
      </w:r>
      <w:r>
        <w:t xml:space="preserve"> </w:t>
      </w:r>
      <w:r>
        <w:t xml:space="preserve">m during</w:t>
      </w:r>
      <w:r>
        <w:t xml:space="preserve"> </w:t>
      </w:r>
      <w:r>
        <w:rPr>
          <w:rStyle w:val="VerbatimChar"/>
        </w:rPr>
        <w:t xml:space="preserve">17</w:t>
      </w:r>
      <w:r>
        <w:t xml:space="preserve"> </w:t>
      </w:r>
      <w:r>
        <w:t xml:space="preserve">dives on Footprint (n =</w:t>
      </w:r>
      <w:r>
        <w:t xml:space="preserve"> </w:t>
      </w:r>
      <w:r>
        <w:rPr>
          <w:rStyle w:val="VerbatimChar"/>
        </w:rPr>
        <w:t xml:space="preserve">55</w:t>
      </w:r>
      <w:r>
        <w:t xml:space="preserve"> </w:t>
      </w:r>
      <w:r>
        <w:t xml:space="preserve">transects) and Piggy Bank (n =</w:t>
      </w:r>
      <w:r>
        <w:t xml:space="preserve"> </w:t>
      </w:r>
      <w:r>
        <w:rPr>
          <w:rStyle w:val="VerbatimChar"/>
        </w:rPr>
        <w:t xml:space="preserve">14</w:t>
      </w:r>
      <w:r>
        <w:t xml:space="preserve"> </w:t>
      </w:r>
      <w:r>
        <w:t xml:space="preserve">transects) covering a total distance of</w:t>
      </w:r>
      <w:r>
        <w:t xml:space="preserve"> </w:t>
      </w:r>
      <w:r>
        <w:rPr>
          <w:rStyle w:val="VerbatimChar"/>
        </w:rPr>
        <w:t xml:space="preserve">52000</w:t>
      </w:r>
      <w:r>
        <w:t xml:space="preserve"> </w:t>
      </w:r>
      <w:r>
        <w:t xml:space="preserve">m</w:t>
      </w:r>
      <w:r>
        <w:rPr>
          <w:vertAlign w:val="superscript"/>
        </w:rPr>
        <w:t xml:space="preserve">2</w:t>
      </w:r>
      <w:r>
        <w:t xml:space="preserve"> </w:t>
      </w:r>
      <w:r>
        <w:t xml:space="preserve">(total area =</w:t>
      </w:r>
      <w:r>
        <w:t xml:space="preserve"> </w:t>
      </w:r>
      <w:r>
        <w:rPr>
          <w:rStyle w:val="VerbatimChar"/>
        </w:rPr>
        <w:t xml:space="preserve">0.05</w:t>
      </w:r>
      <w:r>
        <w:t xml:space="preserve"> </w:t>
      </w:r>
      <w:r>
        <w:t xml:space="preserve">km</w:t>
      </w:r>
      <w:r>
        <w:rPr>
          <w:vertAlign w:val="superscript"/>
        </w:rPr>
        <w:t xml:space="preserve">2</w:t>
      </w:r>
      <w:r>
        <w:t xml:space="preserve">) (</w:t>
      </w:r>
      <w:r>
        <w:rPr>
          <w:b/>
        </w:rPr>
        <w:t xml:space="preserve">Table X</w:t>
      </w:r>
      <w:r>
        <w:t xml:space="preserve">;</w:t>
      </w:r>
      <w:r>
        <w:t xml:space="preserve"> </w:t>
      </w:r>
      <w:r>
        <w:rPr>
          <w:b/>
        </w:rPr>
        <w:t xml:space="preserve">Figure X</w:t>
      </w:r>
      <w:r>
        <w:t xml:space="preserve">). Mean transect length was</w:t>
      </w:r>
      <w:r>
        <w:t xml:space="preserve"> </w:t>
      </w:r>
      <w:r>
        <w:rPr>
          <w:rStyle w:val="VerbatimChar"/>
        </w:rPr>
        <w:t xml:space="preserve">294</w:t>
      </w:r>
      <w:r>
        <w:t xml:space="preserve"> </w:t>
      </w:r>
      <w:r>
        <w:t xml:space="preserve">m (SE =</w:t>
      </w:r>
      <w:r>
        <w:t xml:space="preserve"> </w:t>
      </w:r>
      <w:r>
        <w:rPr>
          <w:rStyle w:val="VerbatimChar"/>
        </w:rPr>
        <w:t xml:space="preserve">8</w:t>
      </w:r>
      <w:r>
        <w:t xml:space="preserve"> </w:t>
      </w:r>
      <w:r>
        <w:t xml:space="preserve">m). Dive duration ranged from 1.4 to</w:t>
      </w:r>
      <w:r>
        <w:t xml:space="preserve"> </w:t>
      </w:r>
      <w:r>
        <w:rPr>
          <w:rStyle w:val="VerbatimChar"/>
        </w:rPr>
        <w:t xml:space="preserve">3.2</w:t>
      </w:r>
      <w:r>
        <w:t xml:space="preserve"> </w:t>
      </w:r>
      <w:r>
        <w:t xml:space="preserve">h (mean =</w:t>
      </w:r>
      <w:r>
        <w:t xml:space="preserve"> </w:t>
      </w:r>
      <w:r>
        <w:rPr>
          <w:rStyle w:val="VerbatimChar"/>
        </w:rPr>
        <w:t xml:space="preserve">2.3</w:t>
      </w:r>
      <w:r>
        <w:t xml:space="preserve"> </w:t>
      </w:r>
      <w:r>
        <w:t xml:space="preserve">h, SE =</w:t>
      </w:r>
      <w:r>
        <w:t xml:space="preserve"> </w:t>
      </w:r>
      <w:r>
        <w:rPr>
          <w:rStyle w:val="VerbatimChar"/>
        </w:rPr>
        <w:t xml:space="preserve">0.1</w:t>
      </w:r>
      <w:r>
        <w:t xml:space="preserve"> </w:t>
      </w:r>
      <w:r>
        <w:t xml:space="preserve">h).</w:t>
      </w:r>
    </w:p>
    <w:p>
      <w:pPr>
        <w:pStyle w:val="Heading3"/>
      </w:pPr>
      <w:bookmarkStart w:id="41" w:name="rov-1"/>
      <w:r>
        <w:t xml:space="preserve">ROV</w:t>
      </w:r>
      <w:bookmarkEnd w:id="41"/>
    </w:p>
    <w:p>
      <w:pPr>
        <w:pStyle w:val="FirstParagraph"/>
      </w:pPr>
      <w:r>
        <w:t xml:space="preserve">A total of 37 transects were surveyed from ~90 to 390 m. The majority of transects were conducted between the depths of 100 to 300 m on the Footprint, and from 200 to 300 m on Piggy Bank (</w:t>
      </w:r>
      <w:r>
        <w:rPr>
          <w:b/>
        </w:rPr>
        <w:t xml:space="preserve">Table 2</w:t>
      </w:r>
      <w:r>
        <w:t xml:space="preserve">,</w:t>
      </w:r>
      <w:r>
        <w:t xml:space="preserve"> </w:t>
      </w:r>
      <w:r>
        <w:rPr>
          <w:b/>
        </w:rPr>
        <w:t xml:space="preserve">Fig. 1</w:t>
      </w:r>
      <w:r>
        <w:t xml:space="preserve">). The transect length ranged from ~300 to 1300 m (mean = X m, SD = SD), area ranged from (mean = X m</w:t>
      </w:r>
      <w:r>
        <w:rPr>
          <w:vertAlign w:val="superscript"/>
        </w:rPr>
        <w:t xml:space="preserve">2</w:t>
      </w:r>
      <w:r>
        <w:t xml:space="preserve">, SD = SD), and duration ranged from</w:t>
      </w:r>
      <w:r>
        <w:t xml:space="preserve"> </w:t>
      </w:r>
      <w:r>
        <w:rPr>
          <w:rStyle w:val="VerbatimChar"/>
        </w:rPr>
        <w:t xml:space="preserve">r20</w:t>
      </w:r>
      <w:r>
        <w:t xml:space="preserve"> </w:t>
      </w:r>
      <w:r>
        <w:t xml:space="preserve">to 140 min (mean = X min, SD = SD). The average transect width was 2.97 (SD = 1.34). Due to technical problems with the ROV, inclement weather, or both, the ROV portion of this comparative survey had to be completed in several</w:t>
      </w:r>
      <w:r>
        <w:t xml:space="preserve"> </w:t>
      </w:r>
      <w:r>
        <w:t xml:space="preserve">“</w:t>
      </w:r>
      <w:r>
        <w:t xml:space="preserve">legs</w:t>
      </w:r>
      <w:r>
        <w:t xml:space="preserve">”</w:t>
      </w:r>
      <w:r>
        <w:t xml:space="preserve"> </w:t>
      </w:r>
      <w:r>
        <w:t xml:space="preserve">spanning several months between September and December.</w:t>
      </w:r>
      <w:r>
        <w:t xml:space="preserve"> </w:t>
      </w:r>
      <w:r>
        <w:rPr>
          <w:b/>
        </w:rPr>
        <w:t xml:space="preserve">Calculate new estimates of area using method of Stierhoff et al. 2016.</w:t>
      </w:r>
    </w:p>
    <w:p>
      <w:pPr>
        <w:pStyle w:val="Heading3"/>
      </w:pPr>
      <w:bookmarkStart w:id="42" w:name="auv-2"/>
      <w:r>
        <w:t xml:space="preserve">AUV</w:t>
      </w:r>
      <w:bookmarkEnd w:id="42"/>
    </w:p>
    <w:p>
      <w:pPr>
        <w:pStyle w:val="FirstParagraph"/>
      </w:pPr>
      <w:r>
        <w:rPr>
          <w:rStyle w:val="VerbatimChar"/>
        </w:rPr>
        <w:t xml:space="preserve">Twenty-seven</w:t>
      </w:r>
      <w:r>
        <w:t xml:space="preserve"> </w:t>
      </w:r>
      <w:r>
        <w:t xml:space="preserve">cells were sampled throughout the survey area covering a total of</w:t>
      </w:r>
      <w:r>
        <w:t xml:space="preserve"> </w:t>
      </w:r>
      <w:r>
        <w:rPr>
          <w:rStyle w:val="VerbatimChar"/>
        </w:rPr>
        <w:t xml:space="preserve">70,006</w:t>
      </w:r>
      <w:r>
        <w:t xml:space="preserve"> </w:t>
      </w:r>
      <w:r>
        <w:t xml:space="preserve">m</w:t>
      </w:r>
      <w:r>
        <w:rPr>
          <w:vertAlign w:val="superscript"/>
        </w:rPr>
        <w:t xml:space="preserve">2</w:t>
      </w:r>
      <w:r>
        <w:t xml:space="preserve"> </w:t>
      </w:r>
      <w:r>
        <w:t xml:space="preserve">and ranging in depth from</w:t>
      </w:r>
      <w:r>
        <w:t xml:space="preserve"> </w:t>
      </w:r>
      <w:r>
        <w:rPr>
          <w:rStyle w:val="VerbatimChar"/>
        </w:rPr>
        <w:t xml:space="preserve">99</w:t>
      </w:r>
      <w:r>
        <w:t xml:space="preserve"> </w:t>
      </w:r>
      <w:r>
        <w:t xml:space="preserve">to</w:t>
      </w:r>
      <w:r>
        <w:t xml:space="preserve"> </w:t>
      </w:r>
      <w:r>
        <w:rPr>
          <w:rStyle w:val="VerbatimChar"/>
        </w:rPr>
        <w:t xml:space="preserve">487</w:t>
      </w:r>
      <w:r>
        <w:t xml:space="preserve"> </w:t>
      </w:r>
      <w:r>
        <w:t xml:space="preserve">m:</w:t>
      </w:r>
      <w:r>
        <w:t xml:space="preserve"> </w:t>
      </w:r>
      <w:r>
        <w:rPr>
          <w:rStyle w:val="VerbatimChar"/>
        </w:rPr>
        <w:t xml:space="preserve">13</w:t>
      </w:r>
      <w:r>
        <w:t xml:space="preserve"> </w:t>
      </w:r>
      <w:r>
        <w:t xml:space="preserve">on The Footprint,</w:t>
      </w:r>
      <w:r>
        <w:t xml:space="preserve"> </w:t>
      </w:r>
      <w:r>
        <w:rPr>
          <w:rStyle w:val="VerbatimChar"/>
        </w:rPr>
        <w:t xml:space="preserve">six</w:t>
      </w:r>
      <w:r>
        <w:t xml:space="preserve"> </w:t>
      </w:r>
      <w:r>
        <w:t xml:space="preserve">on the flank of Footprint, and</w:t>
      </w:r>
      <w:r>
        <w:t xml:space="preserve"> </w:t>
      </w:r>
      <w:r>
        <w:rPr>
          <w:rStyle w:val="VerbatimChar"/>
        </w:rPr>
        <w:t xml:space="preserve">eight</w:t>
      </w:r>
      <w:r>
        <w:t xml:space="preserve"> </w:t>
      </w:r>
      <w:r>
        <w:t xml:space="preserve">on Piggy Bank (</w:t>
      </w:r>
      <w:r>
        <w:rPr>
          <w:b/>
        </w:rPr>
        <w:t xml:space="preserve">Table X</w:t>
      </w:r>
      <w:r>
        <w:t xml:space="preserve">,</w:t>
      </w:r>
      <w:r>
        <w:t xml:space="preserve"> </w:t>
      </w:r>
      <w:r>
        <w:rPr>
          <w:b/>
        </w:rPr>
        <w:t xml:space="preserve">Figure X</w:t>
      </w:r>
      <w:r>
        <w:t xml:space="preserve">).</w:t>
      </w:r>
      <w:r>
        <w:t xml:space="preserve"> </w:t>
      </w:r>
      <w:r>
        <w:rPr>
          <w:rStyle w:val="VerbatimChar"/>
        </w:rPr>
        <w:t xml:space="preserve">Seventeen</w:t>
      </w:r>
      <w:r>
        <w:t xml:space="preserve"> </w:t>
      </w:r>
      <w:r>
        <w:t xml:space="preserve">of the</w:t>
      </w:r>
      <w:r>
        <w:t xml:space="preserve"> </w:t>
      </w:r>
      <w:r>
        <w:rPr>
          <w:rStyle w:val="VerbatimChar"/>
        </w:rPr>
        <w:t xml:space="preserve">27</w:t>
      </w:r>
      <w:r>
        <w:t xml:space="preserve"> </w:t>
      </w:r>
      <w:r>
        <w:t xml:space="preserve">cells were entirely within one 100-m depth stratum, while</w:t>
      </w:r>
      <w:r>
        <w:t xml:space="preserve"> </w:t>
      </w:r>
      <w:r>
        <w:rPr>
          <w:rStyle w:val="VerbatimChar"/>
        </w:rPr>
        <w:t xml:space="preserve">ten</w:t>
      </w:r>
      <w:r>
        <w:t xml:space="preserve"> </w:t>
      </w:r>
      <w:r>
        <w:t xml:space="preserve">cells spanned two 100 m strata. The range of depths surveyed within a cell varied from 10 m to 83 m. Habitats encountered ranged from high-relief rock ridge to mud/sand bottom (</w:t>
      </w:r>
      <w:r>
        <w:rPr>
          <w:b/>
        </w:rPr>
        <w:t xml:space="preserve">Figure x</w:t>
      </w:r>
      <w:r>
        <w:t xml:space="preserve">).</w:t>
      </w:r>
    </w:p>
    <w:p>
      <w:pPr>
        <w:pStyle w:val="Heading2"/>
      </w:pPr>
      <w:bookmarkStart w:id="43" w:name="seabed-composition"/>
      <w:r>
        <w:t xml:space="preserve">Seabed composition</w:t>
      </w:r>
      <w:bookmarkEnd w:id="43"/>
    </w:p>
    <w:p>
      <w:pPr>
        <w:pStyle w:val="Heading3"/>
      </w:pPr>
      <w:bookmarkStart w:id="44" w:name="sub-2"/>
      <w:r>
        <w:t xml:space="preserve">SUB</w:t>
      </w:r>
      <w:bookmarkEnd w:id="44"/>
    </w:p>
    <w:p>
      <w:pPr>
        <w:pStyle w:val="Heading3"/>
      </w:pPr>
      <w:bookmarkStart w:id="45" w:name="rov-2"/>
      <w:r>
        <w:t xml:space="preserve">ROV</w:t>
      </w:r>
      <w:bookmarkEnd w:id="45"/>
    </w:p>
    <w:p>
      <w:pPr>
        <w:pStyle w:val="Heading3"/>
      </w:pPr>
      <w:bookmarkStart w:id="46" w:name="auv-3"/>
      <w:r>
        <w:t xml:space="preserve">AUV</w:t>
      </w:r>
      <w:bookmarkEnd w:id="46"/>
    </w:p>
    <w:p>
      <w:pPr>
        <w:pStyle w:val="Heading2"/>
      </w:pPr>
      <w:bookmarkStart w:id="47" w:name="length-frequency-composition"/>
      <w:r>
        <w:t xml:space="preserve">Length frequency composition</w:t>
      </w:r>
      <w:bookmarkEnd w:id="47"/>
    </w:p>
    <w:p>
      <w:pPr>
        <w:pStyle w:val="FirstParagraph"/>
      </w:pPr>
      <w:r>
        <w:rPr>
          <w:b/>
        </w:rPr>
        <w:t xml:space="preserve">[GENERATE LENGTH FREQUENCY PLOTS FOR EACH SURVEY METHOD]</w:t>
      </w:r>
      <w:r>
        <w:t xml:space="preserve"> </w:t>
      </w:r>
      <w:r>
        <w:t xml:space="preserve">Examine whether differences in length distributions contribute to any differences in biomass or abundance.</w:t>
      </w:r>
    </w:p>
    <w:p>
      <w:pPr>
        <w:pStyle w:val="Heading2"/>
      </w:pPr>
      <w:bookmarkStart w:id="48" w:name="abundance-and-biomass-estimates"/>
      <w:r>
        <w:t xml:space="preserve">Abundance and biomass estimates</w:t>
      </w:r>
      <w:bookmarkEnd w:id="48"/>
    </w:p>
    <w:p>
      <w:pPr>
        <w:pStyle w:val="Heading3"/>
      </w:pPr>
      <w:bookmarkStart w:id="49" w:name="sub-3"/>
      <w:r>
        <w:t xml:space="preserve">SUB</w:t>
      </w:r>
      <w:bookmarkEnd w:id="49"/>
    </w:p>
    <w:p>
      <w:pPr>
        <w:pStyle w:val="FirstParagraph"/>
      </w:pPr>
      <w:r>
        <w:t xml:space="preserve">A total of</w:t>
      </w:r>
      <w:r>
        <w:t xml:space="preserve"> </w:t>
      </w:r>
      <w:r>
        <w:rPr>
          <w:rStyle w:val="VerbatimChar"/>
        </w:rPr>
        <w:t xml:space="preserve">25,085</w:t>
      </w:r>
      <w:r>
        <w:t xml:space="preserve"> </w:t>
      </w:r>
      <w:r>
        <w:t xml:space="preserve">individuals from</w:t>
      </w:r>
      <w:r>
        <w:t xml:space="preserve"> </w:t>
      </w:r>
      <w:r>
        <w:rPr>
          <w:rStyle w:val="VerbatimChar"/>
        </w:rPr>
        <w:t xml:space="preserve">29</w:t>
      </w:r>
      <w:r>
        <w:t xml:space="preserve"> </w:t>
      </w:r>
      <w:r>
        <w:rPr>
          <w:i/>
        </w:rPr>
        <w:t xml:space="preserve">Sebastes</w:t>
      </w:r>
      <w:r>
        <w:t xml:space="preserve"> </w:t>
      </w:r>
      <w:r>
        <w:t xml:space="preserve">species were observed, which as a group comprised ~</w:t>
      </w:r>
      <w:r>
        <w:rPr>
          <w:rStyle w:val="VerbatimChar"/>
        </w:rPr>
        <w:t xml:space="preserve">80</w:t>
      </w:r>
      <w:r>
        <w:t xml:space="preserve">% of the total fishes encountered. Unidentified rockfishes (</w:t>
      </w:r>
      <w:r>
        <w:rPr>
          <w:i/>
        </w:rPr>
        <w:t xml:space="preserve">Sebastes</w:t>
      </w:r>
      <w:r>
        <w:t xml:space="preserve"> </w:t>
      </w:r>
      <w:r>
        <w:t xml:space="preserve">spp.) comprised Only</w:t>
      </w:r>
      <w:r>
        <w:t xml:space="preserve"> </w:t>
      </w:r>
      <w:r>
        <w:rPr>
          <w:rStyle w:val="VerbatimChar"/>
        </w:rPr>
        <w:t xml:space="preserve">0.5</w:t>
      </w:r>
      <w:r>
        <w:t xml:space="preserve">% of all rockfishes (excluding some young-of-year juveniles) to species or species group (i.e., Sebastomus). Dwarf rockfish species were most numerous and dominated by</w:t>
      </w:r>
      <w:r>
        <w:t xml:space="preserve"> </w:t>
      </w:r>
      <w:r>
        <w:rPr>
          <w:i/>
        </w:rPr>
        <w:t xml:space="preserve">S. hopkinsi</w:t>
      </w:r>
      <w:r>
        <w:t xml:space="preserve"> </w:t>
      </w:r>
      <w:r>
        <w:t xml:space="preserve">(</w:t>
      </w:r>
      <w:r>
        <w:rPr>
          <w:rStyle w:val="VerbatimChar"/>
        </w:rPr>
        <w:t xml:space="preserve">20</w:t>
      </w:r>
      <w:r>
        <w:t xml:space="preserve">% of all rockfishes),</w:t>
      </w:r>
      <w:r>
        <w:t xml:space="preserve"> </w:t>
      </w:r>
      <w:r>
        <w:rPr>
          <w:i/>
        </w:rPr>
        <w:t xml:space="preserve">S. semicinctus</w:t>
      </w:r>
      <w:r>
        <w:t xml:space="preserve"> </w:t>
      </w:r>
      <w:r>
        <w:t xml:space="preserve">(</w:t>
      </w:r>
      <w:r>
        <w:rPr>
          <w:rStyle w:val="VerbatimChar"/>
        </w:rPr>
        <w:t xml:space="preserve">17</w:t>
      </w:r>
      <w:r>
        <w:t xml:space="preserve">% of all rockfishes),</w:t>
      </w:r>
      <w:r>
        <w:t xml:space="preserve"> </w:t>
      </w:r>
      <w:r>
        <w:rPr>
          <w:i/>
        </w:rPr>
        <w:t xml:space="preserve">S. jordani</w:t>
      </w:r>
      <w:r>
        <w:t xml:space="preserve"> </w:t>
      </w:r>
      <w:r>
        <w:t xml:space="preserve">(</w:t>
      </w:r>
      <w:r>
        <w:rPr>
          <w:rStyle w:val="VerbatimChar"/>
        </w:rPr>
        <w:t xml:space="preserve">12</w:t>
      </w:r>
      <w:r>
        <w:t xml:space="preserve">% of all rockfishes),</w:t>
      </w:r>
      <w:r>
        <w:t xml:space="preserve"> </w:t>
      </w:r>
      <w:r>
        <w:rPr>
          <w:i/>
        </w:rPr>
        <w:t xml:space="preserve">S. wilsoni</w:t>
      </w:r>
      <w:r>
        <w:t xml:space="preserve"> </w:t>
      </w:r>
      <w:r>
        <w:t xml:space="preserve">(pygmy</w:t>
      </w:r>
      <w:r>
        <w:t xml:space="preserve"> </w:t>
      </w:r>
      <w:r>
        <w:rPr>
          <w:rStyle w:val="VerbatimChar"/>
        </w:rPr>
        <w:t xml:space="preserve">7</w:t>
      </w:r>
      <w:r>
        <w:t xml:space="preserve">%), and</w:t>
      </w:r>
      <w:r>
        <w:t xml:space="preserve"> </w:t>
      </w:r>
      <w:r>
        <w:rPr>
          <w:i/>
        </w:rPr>
        <w:t xml:space="preserve">S. ensifer</w:t>
      </w:r>
      <w:r>
        <w:t xml:space="preserve"> </w:t>
      </w:r>
      <w:r>
        <w:t xml:space="preserve">(</w:t>
      </w:r>
      <w:r>
        <w:rPr>
          <w:rStyle w:val="VerbatimChar"/>
        </w:rPr>
        <w:t xml:space="preserve">7</w:t>
      </w:r>
      <w:r>
        <w:t xml:space="preserve">%). Of particular interest were the observations of</w:t>
      </w:r>
      <w:r>
        <w:t xml:space="preserve"> </w:t>
      </w:r>
      <w:r>
        <w:rPr>
          <w:rStyle w:val="VerbatimChar"/>
        </w:rPr>
        <w:t xml:space="preserve">147</w:t>
      </w:r>
      <w:r>
        <w:t xml:space="preserve"> </w:t>
      </w:r>
      <w:r>
        <w:rPr>
          <w:i/>
        </w:rPr>
        <w:t xml:space="preserve">S. paucispinis</w:t>
      </w:r>
      <w:r>
        <w:t xml:space="preserve"> </w:t>
      </w:r>
      <w:r>
        <w:t xml:space="preserve">(</w:t>
      </w:r>
      <w:r>
        <w:rPr>
          <w:rStyle w:val="VerbatimChar"/>
        </w:rPr>
        <w:t xml:space="preserve">0.7</w:t>
      </w:r>
      <w:r>
        <w:t xml:space="preserve">%),</w:t>
      </w:r>
      <w:r>
        <w:t xml:space="preserve"> </w:t>
      </w:r>
      <w:r>
        <w:rPr>
          <w:rStyle w:val="VerbatimChar"/>
        </w:rPr>
        <w:t xml:space="preserve">38</w:t>
      </w:r>
      <w:r>
        <w:t xml:space="preserve"> </w:t>
      </w:r>
      <w:r>
        <w:rPr>
          <w:i/>
        </w:rPr>
        <w:t xml:space="preserve">S. levis</w:t>
      </w:r>
      <w:r>
        <w:t xml:space="preserve"> </w:t>
      </w:r>
      <w:r>
        <w:t xml:space="preserve">(</w:t>
      </w:r>
      <w:r>
        <w:rPr>
          <w:rStyle w:val="VerbatimChar"/>
        </w:rPr>
        <w:t xml:space="preserve">0.2</w:t>
      </w:r>
      <w:r>
        <w:t xml:space="preserve">%),</w:t>
      </w:r>
      <w:r>
        <w:t xml:space="preserve"> </w:t>
      </w:r>
      <w:r>
        <w:rPr>
          <w:i/>
        </w:rPr>
        <w:t xml:space="preserve">S. miniatus</w:t>
      </w:r>
      <w:r>
        <w:t xml:space="preserve"> </w:t>
      </w:r>
      <w:r>
        <w:t xml:space="preserve">(</w:t>
      </w:r>
      <w:r>
        <w:rPr>
          <w:rStyle w:val="VerbatimChar"/>
        </w:rPr>
        <w:t xml:space="preserve">0.1</w:t>
      </w:r>
      <w:r>
        <w:t xml:space="preserve">%), ,</w:t>
      </w:r>
      <w:r>
        <w:t xml:space="preserve"> </w:t>
      </w:r>
      <w:r>
        <w:rPr>
          <w:i/>
        </w:rPr>
        <w:t xml:space="preserve">S. eos</w:t>
      </w:r>
      <w:r>
        <w:t xml:space="preserve"> </w:t>
      </w:r>
      <w:r>
        <w:t xml:space="preserve">(&lt;</w:t>
      </w:r>
      <w:r>
        <w:rPr>
          <w:rStyle w:val="VerbatimChar"/>
        </w:rPr>
        <w:t xml:space="preserve">0.1</w:t>
      </w:r>
      <w:r>
        <w:t xml:space="preserve">%), and</w:t>
      </w:r>
      <w:r>
        <w:t xml:space="preserve"> </w:t>
      </w:r>
      <w:r>
        <w:rPr>
          <w:rStyle w:val="VerbatimChar"/>
        </w:rPr>
        <w:t xml:space="preserve">4</w:t>
      </w:r>
      <w:r>
        <w:rPr>
          <w:i/>
        </w:rPr>
        <w:t xml:space="preserve">S. gilli</w:t>
      </w:r>
      <w:r>
        <w:t xml:space="preserve"> </w:t>
      </w:r>
      <w:r>
        <w:t xml:space="preserve">(&lt;</w:t>
      </w:r>
      <w:r>
        <w:rPr>
          <w:rStyle w:val="VerbatimChar"/>
        </w:rPr>
        <w:t xml:space="preserve">0.1</w:t>
      </w:r>
      <w:r>
        <w:t xml:space="preserve">%; a rare and elusive species). Among non-rockfish species, Pacific hake (mostly juveniles;</w:t>
      </w:r>
      <w:r>
        <w:t xml:space="preserve"> </w:t>
      </w:r>
      <w:r>
        <w:rPr>
          <w:rStyle w:val="VerbatimChar"/>
        </w:rPr>
        <w:t xml:space="preserve">4</w:t>
      </w:r>
      <w:r>
        <w:t xml:space="preserve">%) were relatively abundant and lingcod were not (</w:t>
      </w:r>
      <w:r>
        <w:rPr>
          <w:rStyle w:val="VerbatimChar"/>
        </w:rPr>
        <w:t xml:space="preserve">0.2</w:t>
      </w:r>
      <w:r>
        <w:t xml:space="preserve">%).</w:t>
      </w:r>
    </w:p>
    <w:p>
      <w:pPr>
        <w:pStyle w:val="BodyText"/>
      </w:pPr>
      <w:r>
        <w:t xml:space="preserve">A total of</w:t>
      </w:r>
      <w:r>
        <w:t xml:space="preserve"> </w:t>
      </w:r>
      <w:r>
        <w:rPr>
          <w:rStyle w:val="VerbatimChar"/>
        </w:rPr>
        <w:t xml:space="preserve">414,975</w:t>
      </w:r>
      <w:r>
        <w:t xml:space="preserve"> </w:t>
      </w:r>
      <w:r>
        <w:t xml:space="preserve">fishes and</w:t>
      </w:r>
      <w:r>
        <w:t xml:space="preserve"> </w:t>
      </w:r>
      <w:r>
        <w:rPr>
          <w:rStyle w:val="VerbatimChar"/>
        </w:rPr>
        <w:t xml:space="preserve">60.3</w:t>
      </w:r>
      <w:r>
        <w:t xml:space="preserve"> </w:t>
      </w:r>
      <w:r>
        <w:t xml:space="preserve">mt of fish biomass on Piggy Bank (not including unidentified adult orjuvenile rockfishes nor sharpchin rockfish (</w:t>
      </w:r>
      <w:r>
        <w:rPr>
          <w:i/>
        </w:rPr>
        <w:t xml:space="preserve">S. zacentrus</w:t>
      </w:r>
      <w:r>
        <w:t xml:space="preserve">) because meaningful length-weight relationships were not available) (</w:t>
      </w:r>
      <w:r>
        <w:rPr>
          <w:b/>
        </w:rPr>
        <w:t xml:space="preserve">Table 5</w:t>
      </w:r>
      <w:r>
        <w:t xml:space="preserve">).</w:t>
      </w:r>
      <w:r>
        <w:t xml:space="preserve"> </w:t>
      </w:r>
      <w:r>
        <w:rPr>
          <w:i/>
        </w:rPr>
        <w:t xml:space="preserve">Sebastes jordani</w:t>
      </w:r>
      <w:r>
        <w:t xml:space="preserve"> </w:t>
      </w:r>
      <w:r>
        <w:t xml:space="preserve">(</w:t>
      </w:r>
      <m:oMath>
        <m:r>
          <m:t>N</m:t>
        </m:r>
      </m:oMath>
      <w:r>
        <w:t xml:space="preserve"> </w:t>
      </w:r>
      <w:r>
        <w:t xml:space="preserve">=</w:t>
      </w:r>
      <w:r>
        <w:t xml:space="preserve"> </w:t>
      </w:r>
      <w:r>
        <w:rPr>
          <w:rStyle w:val="VerbatimChar"/>
        </w:rPr>
        <w:t xml:space="preserve">163,022</w:t>
      </w:r>
      <w:r>
        <w:t xml:space="preserve">),</w:t>
      </w:r>
      <w:r>
        <w:t xml:space="preserve"> </w:t>
      </w:r>
      <w:r>
        <w:rPr>
          <w:i/>
        </w:rPr>
        <w:t xml:space="preserve">S. rufus</w:t>
      </w:r>
      <w:r>
        <w:t xml:space="preserve"> </w:t>
      </w:r>
      <w:r>
        <w:t xml:space="preserve">(</w:t>
      </w:r>
      <m:oMath>
        <m:r>
          <m:t>N</m:t>
        </m:r>
      </m:oMath>
      <w:r>
        <w:t xml:space="preserve"> </w:t>
      </w:r>
      <w:r>
        <w:t xml:space="preserve">=</w:t>
      </w:r>
      <w:r>
        <w:t xml:space="preserve"> </w:t>
      </w:r>
      <w:r>
        <w:rPr>
          <w:rStyle w:val="VerbatimChar"/>
        </w:rPr>
        <w:t xml:space="preserve">116,040</w:t>
      </w:r>
      <w:r>
        <w:t xml:space="preserve">), and</w:t>
      </w:r>
      <w:r>
        <w:t xml:space="preserve"> </w:t>
      </w:r>
      <w:r>
        <w:rPr>
          <w:i/>
        </w:rPr>
        <w:t xml:space="preserve">S. diploproa</w:t>
      </w:r>
      <w:r>
        <w:t xml:space="preserve"> </w:t>
      </w:r>
      <w:r>
        <w:t xml:space="preserve">(64,489 individuals) were most abundant and comprised the greatest biomass (</w:t>
      </w:r>
      <w:r>
        <w:rPr>
          <w:rStyle w:val="VerbatimChar"/>
        </w:rPr>
        <w:t xml:space="preserve">18</w:t>
      </w:r>
      <w:r>
        <w:t xml:space="preserve">%,</w:t>
      </w:r>
      <w:r>
        <w:t xml:space="preserve"> </w:t>
      </w:r>
      <w:r>
        <w:rPr>
          <w:rStyle w:val="VerbatimChar"/>
        </w:rPr>
        <w:t xml:space="preserve">53</w:t>
      </w:r>
      <w:r>
        <w:t xml:space="preserve">%, and</w:t>
      </w:r>
      <w:r>
        <w:t xml:space="preserve"> </w:t>
      </w:r>
      <w:r>
        <w:rPr>
          <w:rStyle w:val="VerbatimChar"/>
        </w:rPr>
        <w:t xml:space="preserve">12</w:t>
      </w:r>
      <w:r>
        <w:t xml:space="preserve">% of total biomass, respectively) on the Piggy Bank.</w:t>
      </w:r>
    </w:p>
    <w:p>
      <w:pPr>
        <w:pStyle w:val="BodyText"/>
      </w:pPr>
      <w:r>
        <w:t xml:space="preserve">A total of</w:t>
      </w:r>
      <w:r>
        <w:t xml:space="preserve"> </w:t>
      </w:r>
      <w:r>
        <w:rPr>
          <w:rStyle w:val="VerbatimChar"/>
        </w:rPr>
        <w:t xml:space="preserve">1,953,844</w:t>
      </w:r>
      <w:r>
        <w:t xml:space="preserve"> </w:t>
      </w:r>
      <w:r>
        <w:t xml:space="preserve">fishes representing</w:t>
      </w:r>
      <w:r>
        <w:t xml:space="preserve"> </w:t>
      </w:r>
      <w:r>
        <w:rPr>
          <w:rStyle w:val="VerbatimChar"/>
        </w:rPr>
        <w:t xml:space="preserve">147.6</w:t>
      </w:r>
      <w:r>
        <w:t xml:space="preserve"> </w:t>
      </w:r>
      <w:r>
        <w:t xml:space="preserve">mt of fish biomass (excluding biomass estimates of unidentified rockfishes and sharpchin rockfish, as noted above) on The Footprint. Three dwarf species of rockfishes (</w:t>
      </w:r>
      <w:r>
        <w:rPr>
          <w:i/>
        </w:rPr>
        <w:t xml:space="preserve">S. jordani</w:t>
      </w:r>
      <w:r>
        <w:t xml:space="preserve">,</w:t>
      </w:r>
      <w:r>
        <w:t xml:space="preserve"> </w:t>
      </w:r>
      <m:oMath>
        <m:r>
          <m:t>N</m:t>
        </m:r>
      </m:oMath>
      <w:r>
        <w:t xml:space="preserve"> </w:t>
      </w:r>
      <w:r>
        <w:t xml:space="preserve">=</w:t>
      </w:r>
      <w:r>
        <w:t xml:space="preserve"> </w:t>
      </w:r>
      <w:r>
        <w:rPr>
          <w:rStyle w:val="VerbatimChar"/>
        </w:rPr>
        <w:t xml:space="preserve">339,855</w:t>
      </w:r>
      <w:r>
        <w:t xml:space="preserve">);</w:t>
      </w:r>
      <w:r>
        <w:t xml:space="preserve"> </w:t>
      </w:r>
      <w:r>
        <w:rPr>
          <w:i/>
        </w:rPr>
        <w:t xml:space="preserve">S. semicinctus</w:t>
      </w:r>
      <w:r>
        <w:t xml:space="preserve">,</w:t>
      </w:r>
      <w:r>
        <w:t xml:space="preserve"> </w:t>
      </w:r>
      <m:oMath>
        <m:r>
          <m:t>N</m:t>
        </m:r>
      </m:oMath>
      <w:r>
        <w:t xml:space="preserve"> </w:t>
      </w:r>
      <w:r>
        <w:t xml:space="preserve">=</w:t>
      </w:r>
      <w:r>
        <w:t xml:space="preserve"> </w:t>
      </w:r>
      <w:r>
        <w:rPr>
          <w:rStyle w:val="VerbatimChar"/>
        </w:rPr>
        <w:t xml:space="preserve">302,275</w:t>
      </w:r>
      <w:r>
        <w:t xml:space="preserve">; and</w:t>
      </w:r>
      <w:r>
        <w:t xml:space="preserve"> </w:t>
      </w:r>
      <w:r>
        <w:rPr>
          <w:i/>
        </w:rPr>
        <w:t xml:space="preserve">Sebastomus</w:t>
      </w:r>
      <w:r>
        <w:t xml:space="preserve"> </w:t>
      </w:r>
      <w:r>
        <w:t xml:space="preserve">(likely</w:t>
      </w:r>
      <w:r>
        <w:t xml:space="preserve"> </w:t>
      </w:r>
      <w:r>
        <w:rPr>
          <w:i/>
        </w:rPr>
        <w:t xml:space="preserve">S. ensifer</w:t>
      </w:r>
      <w:r>
        <w:t xml:space="preserve">),</w:t>
      </w:r>
      <w:r>
        <w:t xml:space="preserve"> </w:t>
      </w:r>
      <m:oMath>
        <m:r>
          <m:t>N</m:t>
        </m:r>
      </m:oMath>
      <w:r>
        <w:t xml:space="preserve"> </w:t>
      </w:r>
      <w:r>
        <w:t xml:space="preserve">=</w:t>
      </w:r>
      <w:r>
        <w:t xml:space="preserve"> </w:t>
      </w:r>
      <w:r>
        <w:rPr>
          <w:rStyle w:val="VerbatimChar"/>
        </w:rPr>
        <w:t xml:space="preserve">268,618</w:t>
      </w:r>
      <w:r>
        <w:t xml:space="preserve">) were most abundant but together comprised only</w:t>
      </w:r>
      <w:r>
        <w:t xml:space="preserve"> </w:t>
      </w:r>
      <w:r>
        <w:rPr>
          <w:rStyle w:val="VerbatimChar"/>
        </w:rPr>
        <w:t xml:space="preserve">27</w:t>
      </w:r>
      <w:r>
        <w:t xml:space="preserve">% of the total biomass. Among the large-bodied species</w:t>
      </w:r>
      <w:r>
        <w:t xml:space="preserve"> </w:t>
      </w:r>
      <w:r>
        <w:rPr>
          <w:b/>
        </w:rPr>
        <w:t xml:space="preserve">[these are</w:t>
      </w:r>
      <w:r>
        <w:rPr>
          <w:b/>
        </w:rPr>
        <w:t xml:space="preserve"> </w:t>
      </w:r>
      <w:r>
        <w:rPr>
          <w:b/>
        </w:rPr>
        <w:t xml:space="preserve">“</w:t>
      </w:r>
      <w:r>
        <w:rPr>
          <w:b/>
        </w:rPr>
        <w:t xml:space="preserve">large-bodied</w:t>
      </w:r>
      <w:r>
        <w:rPr>
          <w:b/>
        </w:rPr>
        <w:t xml:space="preserve">”</w:t>
      </w:r>
      <w:r>
        <w:rPr>
          <w:b/>
        </w:rPr>
        <w:t xml:space="preserve">?]</w:t>
      </w:r>
      <w:r>
        <w:t xml:space="preserve">,</w:t>
      </w:r>
      <w:r>
        <w:t xml:space="preserve"> </w:t>
      </w:r>
      <w:r>
        <w:rPr>
          <w:i/>
        </w:rPr>
        <w:t xml:space="preserve">S. diploproa</w:t>
      </w:r>
      <w:r>
        <w:t xml:space="preserve"> </w:t>
      </w:r>
      <w:r>
        <w:t xml:space="preserve">(</w:t>
      </w:r>
      <m:oMath>
        <m:r>
          <m:t>N</m:t>
        </m:r>
      </m:oMath>
      <w:r>
        <w:t xml:space="preserve"> </w:t>
      </w:r>
      <w:r>
        <w:t xml:space="preserve">=</w:t>
      </w:r>
      <w:r>
        <w:t xml:space="preserve"> </w:t>
      </w:r>
      <w:r>
        <w:rPr>
          <w:rStyle w:val="VerbatimChar"/>
        </w:rPr>
        <w:t xml:space="preserve">221,329</w:t>
      </w:r>
      <w:r>
        <w:t xml:space="preserve">,</w:t>
      </w:r>
      <w:r>
        <w:t xml:space="preserve"> </w:t>
      </w:r>
      <m:oMath>
        <m:r>
          <m:t>B</m:t>
        </m:r>
      </m:oMath>
      <w:r>
        <w:t xml:space="preserve"> </w:t>
      </w:r>
      <w:r>
        <w:t xml:space="preserve">=</w:t>
      </w:r>
      <w:r>
        <w:t xml:space="preserve"> </w:t>
      </w:r>
      <w:r>
        <w:rPr>
          <w:rStyle w:val="VerbatimChar"/>
        </w:rPr>
        <w:t xml:space="preserve">14.5</w:t>
      </w:r>
      <w:r>
        <w:t xml:space="preserve"> </w:t>
      </w:r>
      <w:r>
        <w:t xml:space="preserve">mt), juvenile</w:t>
      </w:r>
      <w:r>
        <w:t xml:space="preserve"> </w:t>
      </w:r>
      <w:r>
        <w:rPr>
          <w:i/>
        </w:rPr>
        <w:t xml:space="preserve">M. productus</w:t>
      </w:r>
      <w:r>
        <w:t xml:space="preserve"> </w:t>
      </w:r>
      <w:r>
        <w:t xml:space="preserve">(</w:t>
      </w:r>
      <m:oMath>
        <m:r>
          <m:t>N</m:t>
        </m:r>
      </m:oMath>
      <w:r>
        <w:t xml:space="preserve"> </w:t>
      </w:r>
      <w:r>
        <w:t xml:space="preserve">=</w:t>
      </w:r>
      <w:r>
        <w:t xml:space="preserve"> </w:t>
      </w:r>
      <w:r>
        <w:rPr>
          <w:rStyle w:val="VerbatimChar"/>
        </w:rPr>
        <w:t xml:space="preserve">164,087</w:t>
      </w:r>
      <w:r>
        <w:t xml:space="preserve">,</w:t>
      </w:r>
      <w:r>
        <w:t xml:space="preserve"> </w:t>
      </w:r>
      <m:oMath>
        <m:r>
          <m:t>B</m:t>
        </m:r>
      </m:oMath>
      <w:r>
        <w:t xml:space="preserve"> </w:t>
      </w:r>
      <w:r>
        <w:t xml:space="preserve">=</w:t>
      </w:r>
      <w:r>
        <w:t xml:space="preserve"> </w:t>
      </w:r>
      <w:r>
        <w:rPr>
          <w:rStyle w:val="VerbatimChar"/>
        </w:rPr>
        <w:t xml:space="preserve">19.5</w:t>
      </w:r>
      <w:r>
        <w:t xml:space="preserve"> </w:t>
      </w:r>
      <w:r>
        <w:t xml:space="preserve">mt), and</w:t>
      </w:r>
      <w:r>
        <w:t xml:space="preserve"> </w:t>
      </w:r>
      <w:r>
        <w:rPr>
          <w:i/>
        </w:rPr>
        <w:t xml:space="preserve">S. rufus</w:t>
      </w:r>
      <w:r>
        <w:t xml:space="preserve"> </w:t>
      </w:r>
      <w:r>
        <w:t xml:space="preserve">(</w:t>
      </w:r>
      <m:oMath>
        <m:r>
          <m:t>N</m:t>
        </m:r>
      </m:oMath>
      <w:r>
        <w:t xml:space="preserve"> </w:t>
      </w:r>
      <w:r>
        <w:t xml:space="preserve">=</w:t>
      </w:r>
      <w:r>
        <w:t xml:space="preserve"> </w:t>
      </w:r>
      <w:r>
        <w:rPr>
          <w:rStyle w:val="VerbatimChar"/>
        </w:rPr>
        <w:t xml:space="preserve">68,629</w:t>
      </w:r>
      <w:r>
        <w:t xml:space="preserve">,</w:t>
      </w:r>
      <w:r>
        <w:t xml:space="preserve"> </w:t>
      </w:r>
      <m:oMath>
        <m:r>
          <m:t>B</m:t>
        </m:r>
      </m:oMath>
      <w:r>
        <w:t xml:space="preserve"> </w:t>
      </w:r>
      <w:r>
        <w:t xml:space="preserve">=</w:t>
      </w:r>
      <w:r>
        <w:t xml:space="preserve"> </w:t>
      </w:r>
      <w:r>
        <w:rPr>
          <w:rStyle w:val="VerbatimChar"/>
        </w:rPr>
        <w:t xml:space="preserve">14.9</w:t>
      </w:r>
      <w:r>
        <w:t xml:space="preserve"> </w:t>
      </w:r>
      <w:r>
        <w:t xml:space="preserve">mt) were relatively abundant.</w:t>
      </w:r>
      <w:r>
        <w:t xml:space="preserve"> </w:t>
      </w:r>
      <w:r>
        <w:rPr>
          <w:i/>
        </w:rPr>
        <w:t xml:space="preserve">Sebastes levis</w:t>
      </w:r>
      <w:r>
        <w:t xml:space="preserve"> </w:t>
      </w:r>
      <w:r>
        <w:t xml:space="preserve">(</w:t>
      </w:r>
      <m:oMath>
        <m:r>
          <m:t>N</m:t>
        </m:r>
      </m:oMath>
      <w:r>
        <w:t xml:space="preserve"> </w:t>
      </w:r>
      <w:r>
        <w:t xml:space="preserve">=</w:t>
      </w:r>
      <w:r>
        <w:t xml:space="preserve"> </w:t>
      </w:r>
      <w:r>
        <w:rPr>
          <w:rStyle w:val="VerbatimChar"/>
        </w:rPr>
        <w:t xml:space="preserve">4,325</w:t>
      </w:r>
      <w:r>
        <w:t xml:space="preserve">,</w:t>
      </w:r>
      <w:r>
        <w:t xml:space="preserve"> </w:t>
      </w:r>
      <m:oMath>
        <m:r>
          <m:t>B</m:t>
        </m:r>
      </m:oMath>
      <w:r>
        <w:t xml:space="preserve"> </w:t>
      </w:r>
      <w:r>
        <w:t xml:space="preserve">=</w:t>
      </w:r>
      <w:r>
        <w:t xml:space="preserve"> </w:t>
      </w:r>
      <w:r>
        <w:rPr>
          <w:rStyle w:val="VerbatimChar"/>
        </w:rPr>
        <w:t xml:space="preserve">4.2</w:t>
      </w:r>
      <w:r>
        <w:t xml:space="preserve"> </w:t>
      </w:r>
      <w:r>
        <w:t xml:space="preserve">mt) comprised only</w:t>
      </w:r>
      <w:r>
        <w:t xml:space="preserve"> </w:t>
      </w:r>
      <w:r>
        <w:rPr>
          <w:rStyle w:val="VerbatimChar"/>
        </w:rPr>
        <w:t xml:space="preserve">0.2</w:t>
      </w:r>
      <w:r>
        <w:t xml:space="preserve">% of total abundance and</w:t>
      </w:r>
      <w:r>
        <w:t xml:space="preserve"> </w:t>
      </w:r>
      <w:r>
        <w:rPr>
          <w:rStyle w:val="VerbatimChar"/>
        </w:rPr>
        <w:t xml:space="preserve">2.8</w:t>
      </w:r>
      <w:r>
        <w:t xml:space="preserve">% of total biomass on The Footprint.</w:t>
      </w:r>
      <w:r>
        <w:t xml:space="preserve"> </w:t>
      </w:r>
      <w:r>
        <w:rPr>
          <w:i/>
        </w:rPr>
        <w:t xml:space="preserve">Sebastes paucispinis</w:t>
      </w:r>
      <w:r>
        <w:t xml:space="preserve"> </w:t>
      </w:r>
      <w:r>
        <w:t xml:space="preserve">(</w:t>
      </w:r>
      <m:oMath>
        <m:r>
          <m:t>N</m:t>
        </m:r>
      </m:oMath>
      <w:r>
        <w:t xml:space="preserve"> </w:t>
      </w:r>
      <w:r>
        <w:t xml:space="preserve">=</w:t>
      </w:r>
      <w:r>
        <w:t xml:space="preserve"> </w:t>
      </w:r>
      <w:r>
        <w:rPr>
          <w:rStyle w:val="VerbatimChar"/>
        </w:rPr>
        <w:t xml:space="preserve">13,342</w:t>
      </w:r>
      <w:r>
        <w:t xml:space="preserve">,</w:t>
      </w:r>
      <w:r>
        <w:t xml:space="preserve"> </w:t>
      </w:r>
      <m:oMath>
        <m:r>
          <m:t>B</m:t>
        </m:r>
      </m:oMath>
      <w:r>
        <w:t xml:space="preserve"> </w:t>
      </w:r>
      <w:r>
        <w:t xml:space="preserve">=</w:t>
      </w:r>
      <w:r>
        <w:t xml:space="preserve"> </w:t>
      </w:r>
      <w:r>
        <w:rPr>
          <w:rStyle w:val="VerbatimChar"/>
        </w:rPr>
        <w:t xml:space="preserve">8.6</w:t>
      </w:r>
      <w:r>
        <w:t xml:space="preserve"> </w:t>
      </w:r>
      <w:r>
        <w:t xml:space="preserve">mt) comprised</w:t>
      </w:r>
      <w:r>
        <w:t xml:space="preserve"> </w:t>
      </w:r>
      <w:r>
        <w:rPr>
          <w:rStyle w:val="VerbatimChar"/>
        </w:rPr>
        <w:t xml:space="preserve">0.7</w:t>
      </w:r>
      <w:r>
        <w:t xml:space="preserve">% of total abundance and</w:t>
      </w:r>
      <w:r>
        <w:t xml:space="preserve"> </w:t>
      </w:r>
      <w:r>
        <w:rPr>
          <w:rStyle w:val="VerbatimChar"/>
        </w:rPr>
        <w:t xml:space="preserve">5.8</w:t>
      </w:r>
      <w:r>
        <w:t xml:space="preserve">% of total biomass at this site.</w:t>
      </w:r>
    </w:p>
    <w:p>
      <w:pPr>
        <w:pStyle w:val="BodyText"/>
      </w:pPr>
      <w:r>
        <w:t xml:space="preserve">Combining estimates from both banks, a total of</w:t>
      </w:r>
      <w:r>
        <w:t xml:space="preserve"> </w:t>
      </w:r>
      <w:r>
        <w:rPr>
          <w:rStyle w:val="VerbatimChar"/>
        </w:rPr>
        <w:t xml:space="preserve">2,368,819</w:t>
      </w:r>
      <w:r>
        <w:t xml:space="preserve"> </w:t>
      </w:r>
      <w:r>
        <w:t xml:space="preserve">fishes with a biomass of</w:t>
      </w:r>
      <w:r>
        <w:t xml:space="preserve"> </w:t>
      </w:r>
      <w:r>
        <w:rPr>
          <w:rStyle w:val="VerbatimChar"/>
        </w:rPr>
        <w:t xml:space="preserve">207.9</w:t>
      </w:r>
      <w:r>
        <w:t xml:space="preserve"> </w:t>
      </w:r>
      <w:r>
        <w:t xml:space="preserve">mt (</w:t>
      </w:r>
      <w:r>
        <w:rPr>
          <w:b/>
        </w:rPr>
        <w:t xml:space="preserve">Table 7</w:t>
      </w:r>
      <w:r>
        <w:t xml:space="preserve">).</w:t>
      </w:r>
      <w:r>
        <w:t xml:space="preserve"> </w:t>
      </w:r>
      <w:r>
        <w:rPr>
          <w:i/>
        </w:rPr>
        <w:t xml:space="preserve">Sebastes jordani</w:t>
      </w:r>
      <w:r>
        <w:t xml:space="preserve">,</w:t>
      </w:r>
      <w:r>
        <w:t xml:space="preserve"> </w:t>
      </w:r>
      <w:r>
        <w:rPr>
          <w:i/>
        </w:rPr>
        <w:t xml:space="preserve">S. semicinctus</w:t>
      </w:r>
      <w:r>
        <w:t xml:space="preserve">, and</w:t>
      </w:r>
      <w:r>
        <w:t xml:space="preserve"> </w:t>
      </w:r>
      <w:r>
        <w:rPr>
          <w:i/>
        </w:rPr>
        <w:t xml:space="preserve">S. diploproa</w:t>
      </w:r>
      <w:r>
        <w:t xml:space="preserve"> </w:t>
      </w:r>
      <w:r>
        <w:t xml:space="preserve">were most abundant overall. Juvenile</w:t>
      </w:r>
      <w:r>
        <w:t xml:space="preserve"> </w:t>
      </w:r>
      <w:r>
        <w:rPr>
          <w:i/>
        </w:rPr>
        <w:t xml:space="preserve">M. productus</w:t>
      </w:r>
      <w:r>
        <w:t xml:space="preserve">,</w:t>
      </w:r>
      <w:r>
        <w:t xml:space="preserve"> </w:t>
      </w:r>
      <w:r>
        <w:rPr>
          <w:i/>
        </w:rPr>
        <w:t xml:space="preserve">S. rufus</w:t>
      </w:r>
      <w:r>
        <w:t xml:space="preserve">,</w:t>
      </w:r>
      <w:r>
        <w:t xml:space="preserve"> </w:t>
      </w:r>
      <w:r>
        <w:rPr>
          <w:i/>
        </w:rPr>
        <w:t xml:space="preserve">S. ensifer</w:t>
      </w:r>
      <w:r>
        <w:t xml:space="preserve">, and</w:t>
      </w:r>
      <w:r>
        <w:t xml:space="preserve"> </w:t>
      </w:r>
      <w:r>
        <w:rPr>
          <w:i/>
        </w:rPr>
        <w:t xml:space="preserve">S. hopkinsi</w:t>
      </w:r>
      <w:r>
        <w:t xml:space="preserve"> </w:t>
      </w:r>
      <w:r>
        <w:t xml:space="preserve">were also abundant. If</w:t>
      </w:r>
      <w:r>
        <w:t xml:space="preserve"> </w:t>
      </w:r>
      <w:r>
        <w:rPr>
          <w:i/>
        </w:rPr>
        <w:t xml:space="preserve">S. ensifer</w:t>
      </w:r>
      <w:r>
        <w:t xml:space="preserve"> </w:t>
      </w:r>
      <w:r>
        <w:t xml:space="preserve">and</w:t>
      </w:r>
      <w:r>
        <w:t xml:space="preserve"> </w:t>
      </w:r>
      <w:r>
        <w:rPr>
          <w:i/>
        </w:rPr>
        <w:t xml:space="preserve">Sebastomus</w:t>
      </w:r>
      <w:r>
        <w:t xml:space="preserve"> </w:t>
      </w:r>
      <w:r>
        <w:t xml:space="preserve">sp. (which were likely</w:t>
      </w:r>
      <w:r>
        <w:t xml:space="preserve"> </w:t>
      </w:r>
      <w:r>
        <w:rPr>
          <w:i/>
        </w:rPr>
        <w:t xml:space="preserve">S. ensifer</w:t>
      </w:r>
      <w:r>
        <w:t xml:space="preserve">) were combined, the abundance would be second only to</w:t>
      </w:r>
      <w:r>
        <w:t xml:space="preserve"> </w:t>
      </w:r>
      <w:r>
        <w:rPr>
          <w:i/>
        </w:rPr>
        <w:t xml:space="preserve">S. jordani</w:t>
      </w:r>
      <w:r>
        <w:t xml:space="preserve">. Four species (</w:t>
      </w:r>
      <w:r>
        <w:rPr>
          <w:i/>
        </w:rPr>
        <w:t xml:space="preserve">S. rufus</w:t>
      </w:r>
      <w:r>
        <w:t xml:space="preserve">,</w:t>
      </w:r>
      <w:r>
        <w:t xml:space="preserve"> </w:t>
      </w:r>
      <w:r>
        <w:rPr>
          <w:rStyle w:val="VerbatimChar"/>
        </w:rPr>
        <w:t xml:space="preserve">23</w:t>
      </w:r>
      <w:r>
        <w:t xml:space="preserve">% of total biomass;</w:t>
      </w:r>
      <w:r>
        <w:t xml:space="preserve"> </w:t>
      </w:r>
      <w:r>
        <w:rPr>
          <w:i/>
        </w:rPr>
        <w:t xml:space="preserve">S. jordani</w:t>
      </w:r>
      <w:r>
        <w:t xml:space="preserve">, 15%;</w:t>
      </w:r>
      <w:r>
        <w:t xml:space="preserve"> </w:t>
      </w:r>
      <w:r>
        <w:rPr>
          <w:i/>
        </w:rPr>
        <w:t xml:space="preserve">S. diploproa</w:t>
      </w:r>
      <w:r>
        <w:t xml:space="preserve">, 10%; and juvenile</w:t>
      </w:r>
      <w:r>
        <w:t xml:space="preserve"> </w:t>
      </w:r>
      <w:r>
        <w:rPr>
          <w:i/>
        </w:rPr>
        <w:t xml:space="preserve">M. productus</w:t>
      </w:r>
      <w:r>
        <w:t xml:space="preserve">, 10%) comprised over</w:t>
      </w:r>
      <w:r>
        <w:t xml:space="preserve"> </w:t>
      </w:r>
      <w:r>
        <w:rPr>
          <w:rStyle w:val="VerbatimChar"/>
        </w:rPr>
        <w:t xml:space="preserve">58</w:t>
      </w:r>
      <w:r>
        <w:t xml:space="preserve">% of the total biomass in the entire study area.</w:t>
      </w:r>
    </w:p>
    <w:p>
      <w:pPr>
        <w:pStyle w:val="BodyText"/>
      </w:pPr>
      <w:r>
        <w:t xml:space="preserve">The coefficient of variation (CV) ranged from</w:t>
      </w:r>
      <w:r>
        <w:t xml:space="preserve"> </w:t>
      </w:r>
      <w:r>
        <w:rPr>
          <w:rStyle w:val="VerbatimChar"/>
        </w:rPr>
        <w:t xml:space="preserve">0.12</w:t>
      </w:r>
      <w:r>
        <w:t xml:space="preserve"> </w:t>
      </w:r>
      <w:r>
        <w:t xml:space="preserve">to</w:t>
      </w:r>
      <w:r>
        <w:t xml:space="preserve"> </w:t>
      </w:r>
      <w:r>
        <w:rPr>
          <w:rStyle w:val="VerbatimChar"/>
        </w:rPr>
        <w:t xml:space="preserve">0.84</w:t>
      </w:r>
      <w:r>
        <w:t xml:space="preserve"> </w:t>
      </w:r>
      <w:r>
        <w:t xml:space="preserve">for estimates of total abundance and from</w:t>
      </w:r>
      <w:r>
        <w:t xml:space="preserve"> </w:t>
      </w:r>
      <w:r>
        <w:rPr>
          <w:rStyle w:val="VerbatimChar"/>
        </w:rPr>
        <w:t xml:space="preserve">0.15</w:t>
      </w:r>
      <w:r>
        <w:t xml:space="preserve"> </w:t>
      </w:r>
      <w:r>
        <w:t xml:space="preserve">to</w:t>
      </w:r>
      <w:r>
        <w:t xml:space="preserve"> </w:t>
      </w:r>
      <w:r>
        <w:rPr>
          <w:rStyle w:val="VerbatimChar"/>
        </w:rPr>
        <w:t xml:space="preserve">0.92</w:t>
      </w:r>
      <w:r>
        <w:t xml:space="preserve"> </w:t>
      </w:r>
      <w:r>
        <w:t xml:space="preserve">for estimates of total biomass over both banks combined (</w:t>
      </w:r>
      <w:r>
        <w:rPr>
          <w:b/>
        </w:rPr>
        <w:t xml:space="preserve">Table 7</w:t>
      </w:r>
      <w:r>
        <w:t xml:space="preserve">). The CV for total abundance was</w:t>
      </w:r>
      <w:r>
        <w:t xml:space="preserve"> </w:t>
      </w:r>
      <w:r>
        <w:rPr>
          <w:rStyle w:val="VerbatimChar"/>
        </w:rPr>
        <w:t xml:space="preserve">0.30</w:t>
      </w:r>
      <w:r>
        <w:t xml:space="preserve"> </w:t>
      </w:r>
      <w:r>
        <w:t xml:space="preserve">for</w:t>
      </w:r>
      <w:r>
        <w:t xml:space="preserve"> </w:t>
      </w:r>
      <w:r>
        <w:rPr>
          <w:i/>
        </w:rPr>
        <w:t xml:space="preserve">S. levis</w:t>
      </w:r>
      <w:r>
        <w:t xml:space="preserve">,</w:t>
      </w:r>
      <w:r>
        <w:t xml:space="preserve"> </w:t>
      </w:r>
      <w:r>
        <w:rPr>
          <w:rStyle w:val="VerbatimChar"/>
        </w:rPr>
        <w:t xml:space="preserve">0.26</w:t>
      </w:r>
      <w:r>
        <w:t xml:space="preserve"> </w:t>
      </w:r>
      <w:r>
        <w:t xml:space="preserve">for</w:t>
      </w:r>
      <w:r>
        <w:t xml:space="preserve"> </w:t>
      </w:r>
      <w:r>
        <w:rPr>
          <w:i/>
        </w:rPr>
        <w:t xml:space="preserve">S. paucispinis</w:t>
      </w:r>
      <w:r>
        <w:t xml:space="preserve">, and</w:t>
      </w:r>
      <w:r>
        <w:t xml:space="preserve"> </w:t>
      </w:r>
      <w:r>
        <w:rPr>
          <w:rStyle w:val="VerbatimChar"/>
        </w:rPr>
        <w:t xml:space="preserve">0.32</w:t>
      </w:r>
      <w:r>
        <w:t xml:space="preserve"> </w:t>
      </w:r>
      <w:r>
        <w:t xml:space="preserve">for</w:t>
      </w:r>
      <w:r>
        <w:t xml:space="preserve"> </w:t>
      </w:r>
      <w:r>
        <w:rPr>
          <w:i/>
        </w:rPr>
        <w:t xml:space="preserve">S. rufus</w:t>
      </w:r>
      <w:r>
        <w:t xml:space="preserve">; the CV for total biomass was</w:t>
      </w:r>
      <w:r>
        <w:t xml:space="preserve"> </w:t>
      </w:r>
      <w:r>
        <w:rPr>
          <w:rStyle w:val="VerbatimChar"/>
        </w:rPr>
        <w:t xml:space="preserve">0.44</w:t>
      </w:r>
      <w:r>
        <w:t xml:space="preserve"> </w:t>
      </w:r>
      <w:r>
        <w:t xml:space="preserve">for</w:t>
      </w:r>
      <w:r>
        <w:t xml:space="preserve"> </w:t>
      </w:r>
      <w:r>
        <w:rPr>
          <w:i/>
        </w:rPr>
        <w:t xml:space="preserve">S. levis</w:t>
      </w:r>
      <w:r>
        <w:t xml:space="preserve">,</w:t>
      </w:r>
      <w:r>
        <w:t xml:space="preserve"> </w:t>
      </w:r>
      <w:r>
        <w:rPr>
          <w:rStyle w:val="VerbatimChar"/>
        </w:rPr>
        <w:t xml:space="preserve">0.27</w:t>
      </w:r>
      <w:r>
        <w:t xml:space="preserve"> </w:t>
      </w:r>
      <w:r>
        <w:t xml:space="preserve">for</w:t>
      </w:r>
      <w:r>
        <w:t xml:space="preserve"> </w:t>
      </w:r>
      <w:r>
        <w:rPr>
          <w:i/>
        </w:rPr>
        <w:t xml:space="preserve">S. paucispinis</w:t>
      </w:r>
      <w:r>
        <w:t xml:space="preserve">, and</w:t>
      </w:r>
      <w:r>
        <w:t xml:space="preserve"> </w:t>
      </w:r>
      <w:r>
        <w:rPr>
          <w:rStyle w:val="VerbatimChar"/>
        </w:rPr>
        <w:t xml:space="preserve">0.36</w:t>
      </w:r>
      <w:r>
        <w:t xml:space="preserve"> </w:t>
      </w:r>
      <w:r>
        <w:t xml:space="preserve">for</w:t>
      </w:r>
      <w:r>
        <w:t xml:space="preserve"> </w:t>
      </w:r>
      <w:r>
        <w:rPr>
          <w:i/>
        </w:rPr>
        <w:t xml:space="preserve">S. rufus</w:t>
      </w:r>
      <w:r>
        <w:t xml:space="preserve">.</w:t>
      </w:r>
    </w:p>
    <w:p>
      <w:pPr>
        <w:pStyle w:val="Heading3"/>
      </w:pPr>
      <w:bookmarkStart w:id="50" w:name="rov-3"/>
      <w:r>
        <w:t xml:space="preserve">ROV</w:t>
      </w:r>
      <w:bookmarkEnd w:id="50"/>
    </w:p>
    <w:p>
      <w:pPr>
        <w:pStyle w:val="FirstParagraph"/>
      </w:pPr>
      <w:r>
        <w:t xml:space="preserve">Over</w:t>
      </w:r>
      <w:r>
        <w:t xml:space="preserve"> </w:t>
      </w:r>
      <w:r>
        <w:rPr>
          <w:rStyle w:val="VerbatimChar"/>
        </w:rPr>
        <w:t xml:space="preserve">37,700</w:t>
      </w:r>
      <w:r>
        <w:t xml:space="preserve"> </w:t>
      </w:r>
      <w:r>
        <w:t xml:space="preserve">individuals from thirty-three</w:t>
      </w:r>
      <w:r>
        <w:t xml:space="preserve"> </w:t>
      </w:r>
      <w:r>
        <w:rPr>
          <w:i/>
        </w:rPr>
        <w:t xml:space="preserve">Sebastes</w:t>
      </w:r>
      <w:r>
        <w:t xml:space="preserve"> </w:t>
      </w:r>
      <w:r>
        <w:t xml:space="preserve">species,</w:t>
      </w:r>
      <w:r>
        <w:t xml:space="preserve"> </w:t>
      </w:r>
      <w:r>
        <w:rPr>
          <w:i/>
        </w:rPr>
        <w:t xml:space="preserve">O. elongatus</w:t>
      </w:r>
      <w:r>
        <w:t xml:space="preserve">, and</w:t>
      </w:r>
      <w:r>
        <w:t xml:space="preserve"> </w:t>
      </w:r>
      <w:r>
        <w:rPr>
          <w:i/>
        </w:rPr>
        <w:t xml:space="preserve">M. productus</w:t>
      </w:r>
      <w:r>
        <w:t xml:space="preserve"> </w:t>
      </w:r>
      <w:r>
        <w:t xml:space="preserve">were counted during this survey. The groundfish community throughout the survey area was numerically dominated by four small, semi-pelagic and aggregating species (squarespot rockfish,</w:t>
      </w:r>
      <w:r>
        <w:t xml:space="preserve"> </w:t>
      </w:r>
      <w:r>
        <w:rPr>
          <w:i/>
        </w:rPr>
        <w:t xml:space="preserve">S. hopkinsi</w:t>
      </w:r>
      <w:r>
        <w:t xml:space="preserve">; swordspine rockfish,</w:t>
      </w:r>
      <w:r>
        <w:t xml:space="preserve"> </w:t>
      </w:r>
      <w:r>
        <w:rPr>
          <w:i/>
        </w:rPr>
        <w:t xml:space="preserve">S. ensifer</w:t>
      </w:r>
      <w:r>
        <w:t xml:space="preserve">; halfbanded rockfish,</w:t>
      </w:r>
      <w:r>
        <w:t xml:space="preserve"> </w:t>
      </w:r>
      <w:r>
        <w:rPr>
          <w:i/>
        </w:rPr>
        <w:t xml:space="preserve">S. semicinctus</w:t>
      </w:r>
      <w:r>
        <w:t xml:space="preserve">; and shortbelly rockfish,</w:t>
      </w:r>
      <w:r>
        <w:t xml:space="preserve"> </w:t>
      </w:r>
      <w:r>
        <w:rPr>
          <w:i/>
        </w:rPr>
        <w:t xml:space="preserve">S. jordani</w:t>
      </w:r>
      <w:r>
        <w:t xml:space="preserve">) that comprised ~</w:t>
      </w:r>
      <w:r>
        <w:rPr>
          <w:rStyle w:val="VerbatimChar"/>
        </w:rPr>
        <w:t xml:space="preserve">80</w:t>
      </w:r>
      <w:r>
        <w:t xml:space="preserve">% of all rockfishes (</w:t>
      </w:r>
      <w:r>
        <w:rPr>
          <w:b/>
        </w:rPr>
        <w:t xml:space="preserve">Table 1</w:t>
      </w:r>
      <w:r>
        <w:t xml:space="preserve">). Among non-aggregating species, bank (</w:t>
      </w:r>
      <w:r>
        <w:rPr>
          <w:i/>
        </w:rPr>
        <w:t xml:space="preserve">S. rufus</w:t>
      </w:r>
      <w:r>
        <w:t xml:space="preserve">,</w:t>
      </w:r>
      <w:r>
        <w:t xml:space="preserve"> </w:t>
      </w:r>
      <w:r>
        <w:rPr>
          <w:rStyle w:val="VerbatimChar"/>
        </w:rPr>
        <w:t xml:space="preserve">5</w:t>
      </w:r>
      <w:r>
        <w:t xml:space="preserve">%) and swordspine rockfishes (</w:t>
      </w:r>
      <w:r>
        <w:rPr>
          <w:i/>
        </w:rPr>
        <w:t xml:space="preserve">S. simulator</w:t>
      </w:r>
      <w:r>
        <w:t xml:space="preserve">,</w:t>
      </w:r>
      <w:r>
        <w:t xml:space="preserve"> </w:t>
      </w:r>
      <w:r>
        <w:rPr>
          <w:rStyle w:val="VerbatimChar"/>
        </w:rPr>
        <w:t xml:space="preserve">1.5</w:t>
      </w:r>
      <w:r>
        <w:t xml:space="preserve">%) were commonly observed.</w:t>
      </w:r>
      <w:r>
        <w:t xml:space="preserve"> </w:t>
      </w:r>
      <w:r>
        <w:rPr>
          <w:i/>
        </w:rPr>
        <w:t xml:space="preserve">Sebastes rufus</w:t>
      </w:r>
      <w:r>
        <w:t xml:space="preserve"> </w:t>
      </w:r>
      <w:r>
        <w:t xml:space="preserve">(n =</w:t>
      </w:r>
      <w:r>
        <w:t xml:space="preserve"> </w:t>
      </w:r>
      <w:r>
        <w:rPr>
          <w:rStyle w:val="VerbatimChar"/>
        </w:rPr>
        <w:t xml:space="preserve">1,883</w:t>
      </w:r>
      <w:r>
        <w:t xml:space="preserve">) was the most abundant target species. In comparison,</w:t>
      </w:r>
      <w:r>
        <w:t xml:space="preserve"> </w:t>
      </w:r>
      <w:r>
        <w:rPr>
          <w:i/>
        </w:rPr>
        <w:t xml:space="preserve">S. paucispinis</w:t>
      </w:r>
      <w:r>
        <w:t xml:space="preserve"> </w:t>
      </w:r>
      <w:r>
        <w:t xml:space="preserve">(n =</w:t>
      </w:r>
      <w:r>
        <w:t xml:space="preserve"> </w:t>
      </w:r>
      <w:r>
        <w:rPr>
          <w:rStyle w:val="VerbatimChar"/>
        </w:rPr>
        <w:t xml:space="preserve">232</w:t>
      </w:r>
      <w:r>
        <w:t xml:space="preserve">),</w:t>
      </w:r>
      <w:r>
        <w:t xml:space="preserve"> </w:t>
      </w:r>
      <w:r>
        <w:rPr>
          <w:i/>
        </w:rPr>
        <w:t xml:space="preserve">S. levis</w:t>
      </w:r>
      <w:r>
        <w:t xml:space="preserve"> </w:t>
      </w:r>
      <w:r>
        <w:t xml:space="preserve">(n =</w:t>
      </w:r>
      <w:r>
        <w:t xml:space="preserve"> </w:t>
      </w:r>
      <w:r>
        <w:rPr>
          <w:rStyle w:val="VerbatimChar"/>
        </w:rPr>
        <w:t xml:space="preserve">62</w:t>
      </w:r>
      <w:r>
        <w:t xml:space="preserve">), and</w:t>
      </w:r>
      <w:r>
        <w:t xml:space="preserve"> </w:t>
      </w:r>
      <w:r>
        <w:rPr>
          <w:i/>
        </w:rPr>
        <w:t xml:space="preserve">S. crocotulus</w:t>
      </w:r>
      <w:r>
        <w:t xml:space="preserve"> </w:t>
      </w:r>
      <w:r>
        <w:t xml:space="preserve">(n =</w:t>
      </w:r>
      <w:r>
        <w:t xml:space="preserve"> </w:t>
      </w:r>
      <w:r>
        <w:rPr>
          <w:rStyle w:val="VerbatimChar"/>
        </w:rPr>
        <w:t xml:space="preserve">16</w:t>
      </w:r>
      <w:r>
        <w:t xml:space="preserve">) were much less abundant (</w:t>
      </w:r>
      <w:r>
        <w:rPr>
          <w:b/>
        </w:rPr>
        <w:t xml:space="preserve">Table X</w:t>
      </w:r>
      <w:r>
        <w:t xml:space="preserve">).</w:t>
      </w:r>
    </w:p>
    <w:p>
      <w:pPr>
        <w:pStyle w:val="BodyText"/>
      </w:pPr>
      <w:r>
        <w:t xml:space="preserve">Overall abundance and biomass estimates were calculated for</w:t>
      </w:r>
      <w:r>
        <w:t xml:space="preserve"> </w:t>
      </w:r>
      <w:r>
        <w:rPr>
          <w:rStyle w:val="VerbatimChar"/>
        </w:rPr>
        <w:t xml:space="preserve">33</w:t>
      </w:r>
      <w:r>
        <w:t xml:space="preserve"> </w:t>
      </w:r>
      <w:r>
        <w:t xml:space="preserve">species of rockfish, three unidentified rockfish groups,</w:t>
      </w:r>
      <w:r>
        <w:t xml:space="preserve"> </w:t>
      </w:r>
      <w:r>
        <w:rPr>
          <w:i/>
        </w:rPr>
        <w:t xml:space="preserve">O. elongatus</w:t>
      </w:r>
      <w:r>
        <w:t xml:space="preserve">, and</w:t>
      </w:r>
      <w:r>
        <w:t xml:space="preserve"> </w:t>
      </w:r>
      <w:r>
        <w:rPr>
          <w:i/>
        </w:rPr>
        <w:t xml:space="preserve">M. productus</w:t>
      </w:r>
      <w:r>
        <w:t xml:space="preserve"> </w:t>
      </w:r>
      <w:r>
        <w:t xml:space="preserve">(</w:t>
      </w:r>
      <w:r>
        <w:rPr>
          <w:b/>
        </w:rPr>
        <w:t xml:space="preserve">Table 3</w:t>
      </w:r>
      <w:r>
        <w:t xml:space="preserve">). Estimates of abundance and biomass of each of these species within each depth strata on each bank is provided in</w:t>
      </w:r>
      <w:r>
        <w:t xml:space="preserve"> </w:t>
      </w:r>
      <w:r>
        <w:rPr>
          <w:b/>
        </w:rPr>
        <w:t xml:space="preserve">Appendix 3</w:t>
      </w:r>
      <w:r>
        <w:br w:type="textWrapping"/>
      </w:r>
      <w:r>
        <w:t xml:space="preserve">Approximately 2.3 million rockfishes,</w:t>
      </w:r>
      <w:r>
        <w:t xml:space="preserve"> </w:t>
      </w:r>
      <w:r>
        <w:rPr>
          <w:i/>
        </w:rPr>
        <w:t xml:space="preserve">O. elongatus</w:t>
      </w:r>
      <w:r>
        <w:t xml:space="preserve">, and</w:t>
      </w:r>
      <w:r>
        <w:t xml:space="preserve"> </w:t>
      </w:r>
      <w:r>
        <w:rPr>
          <w:i/>
        </w:rPr>
        <w:t xml:space="preserve">M. productus</w:t>
      </w:r>
      <w:r>
        <w:t xml:space="preserve"> </w:t>
      </w:r>
      <w:r>
        <w:t xml:space="preserve">were observed between 100-400 m on both banks (</w:t>
      </w:r>
      <w:r>
        <w:rPr>
          <w:b/>
        </w:rPr>
        <w:t xml:space="preserve">Table 3</w:t>
      </w:r>
      <w:r>
        <w:t xml:space="preserve">).</w:t>
      </w:r>
      <w:r>
        <w:t xml:space="preserve"> </w:t>
      </w:r>
      <w:r>
        <w:rPr>
          <w:i/>
        </w:rPr>
        <w:t xml:space="preserve">Sebastes ensifer</w:t>
      </w:r>
      <w:r>
        <w:t xml:space="preserve"> </w:t>
      </w:r>
      <w:r>
        <w:t xml:space="preserve">(</w:t>
      </w:r>
      <w:r>
        <w:rPr>
          <w:rStyle w:val="VerbatimChar"/>
        </w:rPr>
        <w:t xml:space="preserve">619,114</w:t>
      </w:r>
      <w:r>
        <w:t xml:space="preserve">) was the most abundant species, which was slightly more abundant than</w:t>
      </w:r>
      <w:r>
        <w:t xml:space="preserve"> </w:t>
      </w:r>
      <w:r>
        <w:rPr>
          <w:i/>
        </w:rPr>
        <w:t xml:space="preserve">S. hopkinsi</w:t>
      </w:r>
      <w:r>
        <w:t xml:space="preserve"> </w:t>
      </w:r>
      <w:r>
        <w:t xml:space="preserve">(</w:t>
      </w:r>
      <w:r>
        <w:rPr>
          <w:rStyle w:val="VerbatimChar"/>
        </w:rPr>
        <w:t xml:space="preserve">566,753</w:t>
      </w:r>
      <w:r>
        <w:t xml:space="preserve">). Among target species,</w:t>
      </w:r>
      <w:r>
        <w:t xml:space="preserve"> </w:t>
      </w:r>
      <w:r>
        <w:rPr>
          <w:i/>
        </w:rPr>
        <w:t xml:space="preserve">S. rufus</w:t>
      </w:r>
      <w:r>
        <w:t xml:space="preserve"> </w:t>
      </w:r>
      <w:r>
        <w:t xml:space="preserve">(</w:t>
      </w:r>
      <w:r>
        <w:rPr>
          <w:rStyle w:val="VerbatimChar"/>
        </w:rPr>
        <w:t xml:space="preserve">177,981</w:t>
      </w:r>
      <w:r>
        <w:t xml:space="preserve">) were highly abundant.</w:t>
      </w:r>
      <w:r>
        <w:t xml:space="preserve"> </w:t>
      </w:r>
      <w:r>
        <w:rPr>
          <w:i/>
        </w:rPr>
        <w:t xml:space="preserve">Sebastes paucispinis</w:t>
      </w:r>
      <w:r>
        <w:t xml:space="preserve"> </w:t>
      </w:r>
      <w:r>
        <w:t xml:space="preserve">(</w:t>
      </w:r>
      <w:r>
        <w:rPr>
          <w:rStyle w:val="VerbatimChar"/>
        </w:rPr>
        <w:t xml:space="preserve">12,624</w:t>
      </w:r>
      <w:r>
        <w:t xml:space="preserve">),</w:t>
      </w:r>
      <w:r>
        <w:t xml:space="preserve"> </w:t>
      </w:r>
      <w:r>
        <w:rPr>
          <w:i/>
        </w:rPr>
        <w:t xml:space="preserve">S. chlorostictus</w:t>
      </w:r>
      <w:r>
        <w:t xml:space="preserve"> </w:t>
      </w:r>
      <w:r>
        <w:t xml:space="preserve">(</w:t>
      </w:r>
      <w:r>
        <w:rPr>
          <w:rStyle w:val="VerbatimChar"/>
        </w:rPr>
        <w:t xml:space="preserve">5,206</w:t>
      </w:r>
      <w:r>
        <w:t xml:space="preserve">), and</w:t>
      </w:r>
      <w:r>
        <w:t xml:space="preserve"> </w:t>
      </w:r>
      <w:r>
        <w:rPr>
          <w:i/>
        </w:rPr>
        <w:t xml:space="preserve">S. levis</w:t>
      </w:r>
      <w:r>
        <w:t xml:space="preserve"> </w:t>
      </w:r>
      <w:r>
        <w:t xml:space="preserve">(</w:t>
      </w:r>
      <w:r>
        <w:rPr>
          <w:rStyle w:val="VerbatimChar"/>
        </w:rPr>
        <w:t xml:space="preserve">4,109</w:t>
      </w:r>
      <w:r>
        <w:t xml:space="preserve">) were much less abundant than those smaller, aggregating species (</w:t>
      </w:r>
      <w:r>
        <w:rPr>
          <w:b/>
        </w:rPr>
        <w:t xml:space="preserve">Table 3</w:t>
      </w:r>
      <w:r>
        <w:t xml:space="preserve">).</w:t>
      </w:r>
    </w:p>
    <w:p>
      <w:pPr>
        <w:pStyle w:val="BodyText"/>
      </w:pPr>
      <w:r>
        <w:t xml:space="preserve">Total biomass of all species was approximately</w:t>
      </w:r>
      <w:r>
        <w:t xml:space="preserve"> </w:t>
      </w:r>
      <w:r>
        <w:rPr>
          <w:rStyle w:val="VerbatimChar"/>
        </w:rPr>
        <w:t xml:space="preserve">287</w:t>
      </w:r>
      <w:r>
        <w:t xml:space="preserve"> </w:t>
      </w:r>
      <w:r>
        <w:t xml:space="preserve">metric tons (mt; 1 mt = 1,000 kg) in the same area (</w:t>
      </w:r>
      <w:r>
        <w:rPr>
          <w:b/>
        </w:rPr>
        <w:t xml:space="preserve">Table 3</w:t>
      </w:r>
      <w:r>
        <w:t xml:space="preserve">). Nearly</w:t>
      </w:r>
      <w:r>
        <w:t xml:space="preserve"> </w:t>
      </w:r>
      <w:r>
        <w:rPr>
          <w:rStyle w:val="VerbatimChar"/>
        </w:rPr>
        <w:t xml:space="preserve">62</w:t>
      </w:r>
      <w:r>
        <w:t xml:space="preserve">% of the total fish biomass was comprised of the combination of</w:t>
      </w:r>
      <w:r>
        <w:t xml:space="preserve"> </w:t>
      </w:r>
      <w:r>
        <w:rPr>
          <w:i/>
        </w:rPr>
        <w:t xml:space="preserve">S. rufus</w:t>
      </w:r>
      <w:r>
        <w:t xml:space="preserve"> </w:t>
      </w:r>
      <w:r>
        <w:t xml:space="preserve">(</w:t>
      </w:r>
      <w:r>
        <w:rPr>
          <w:rStyle w:val="VerbatimChar"/>
        </w:rPr>
        <w:t xml:space="preserve">60</w:t>
      </w:r>
      <w:r>
        <w:t xml:space="preserve"> </w:t>
      </w:r>
      <w:r>
        <w:t xml:space="preserve">mt) and small, aggregating species (</w:t>
      </w:r>
      <w:r>
        <w:rPr>
          <w:i/>
        </w:rPr>
        <w:t xml:space="preserve">S. hopkinsi</w:t>
      </w:r>
      <w:r>
        <w:t xml:space="preserve">,</w:t>
      </w:r>
      <w:r>
        <w:t xml:space="preserve"> </w:t>
      </w:r>
      <w:r>
        <w:rPr>
          <w:i/>
        </w:rPr>
        <w:t xml:space="preserve">S. ensifer</w:t>
      </w:r>
      <w:r>
        <w:t xml:space="preserve">, _S. jordan_i;</w:t>
      </w:r>
      <w:r>
        <w:t xml:space="preserve"> </w:t>
      </w:r>
      <w:r>
        <w:rPr>
          <w:rStyle w:val="VerbatimChar"/>
        </w:rPr>
        <w:t xml:space="preserve">118</w:t>
      </w:r>
      <w:r>
        <w:t xml:space="preserve"> </w:t>
      </w:r>
      <w:r>
        <w:t xml:space="preserve">mt). The other target species,</w:t>
      </w:r>
      <w:r>
        <w:t xml:space="preserve"> </w:t>
      </w:r>
      <w:r>
        <w:rPr>
          <w:i/>
        </w:rPr>
        <w:t xml:space="preserve">S. paucispinis</w:t>
      </w:r>
      <w:r>
        <w:t xml:space="preserve"> </w:t>
      </w:r>
      <w:r>
        <w:t xml:space="preserve">(</w:t>
      </w:r>
      <w:r>
        <w:rPr>
          <w:rStyle w:val="VerbatimChar"/>
        </w:rPr>
        <w:t xml:space="preserve">16.2</w:t>
      </w:r>
      <w:r>
        <w:t xml:space="preserve"> </w:t>
      </w:r>
      <w:r>
        <w:t xml:space="preserve">mt),</w:t>
      </w:r>
      <w:r>
        <w:t xml:space="preserve"> </w:t>
      </w:r>
      <w:r>
        <w:rPr>
          <w:i/>
        </w:rPr>
        <w:t xml:space="preserve">S. levis</w:t>
      </w:r>
      <w:r>
        <w:t xml:space="preserve"> </w:t>
      </w:r>
      <w:r>
        <w:t xml:space="preserve">(</w:t>
      </w:r>
      <w:r>
        <w:rPr>
          <w:rStyle w:val="VerbatimChar"/>
        </w:rPr>
        <w:t xml:space="preserve">7.5</w:t>
      </w:r>
      <w:r>
        <w:t xml:space="preserve"> </w:t>
      </w:r>
      <w:r>
        <w:t xml:space="preserve">mt), and</w:t>
      </w:r>
      <w:r>
        <w:t xml:space="preserve"> </w:t>
      </w:r>
      <w:r>
        <w:rPr>
          <w:i/>
        </w:rPr>
        <w:t xml:space="preserve">S. chlorostictus</w:t>
      </w:r>
      <w:r>
        <w:t xml:space="preserve"> </w:t>
      </w:r>
      <w:r>
        <w:t xml:space="preserve">(</w:t>
      </w:r>
      <w:r>
        <w:rPr>
          <w:rStyle w:val="VerbatimChar"/>
        </w:rPr>
        <w:t xml:space="preserve">2.5</w:t>
      </w:r>
      <w:r>
        <w:t xml:space="preserve"> </w:t>
      </w:r>
      <w:r>
        <w:t xml:space="preserve">mt) had relatively lower biomass.</w:t>
      </w:r>
    </w:p>
    <w:p>
      <w:pPr>
        <w:pStyle w:val="BodyText"/>
      </w:pPr>
      <w:r>
        <w:t xml:space="preserve">The overall coefficient of variation (CV) for abundance (range =</w:t>
      </w:r>
      <w:r>
        <w:t xml:space="preserve"> </w:t>
      </w:r>
      <w:r>
        <w:rPr>
          <w:rStyle w:val="VerbatimChar"/>
        </w:rPr>
        <w:t xml:space="preserve">0.12</w:t>
      </w:r>
      <w:r>
        <w:t xml:space="preserve">-</w:t>
      </w:r>
      <w:r>
        <w:rPr>
          <w:rStyle w:val="VerbatimChar"/>
        </w:rPr>
        <w:t xml:space="preserve">1.00</w:t>
      </w:r>
      <w:r>
        <w:t xml:space="preserve">) and biomass estimates (range =</w:t>
      </w:r>
      <w:r>
        <w:t xml:space="preserve"> </w:t>
      </w:r>
      <w:r>
        <w:rPr>
          <w:rStyle w:val="VerbatimChar"/>
        </w:rPr>
        <w:t xml:space="preserve">0.15</w:t>
      </w:r>
      <w:r>
        <w:t xml:space="preserve">-</w:t>
      </w:r>
      <w:r>
        <w:rPr>
          <w:rStyle w:val="VerbatimChar"/>
        </w:rPr>
        <w:t xml:space="preserve">1.01</w:t>
      </w:r>
      <w:r>
        <w:t xml:space="preserve">) varied greatly among all species (</w:t>
      </w:r>
      <w:r>
        <w:rPr>
          <w:b/>
        </w:rPr>
        <w:t xml:space="preserve">Table 3</w:t>
      </w:r>
      <w:r>
        <w:t xml:space="preserve">). Species whose abundance and biomass estimates with high CVs (i.e., greater than ~</w:t>
      </w:r>
      <w:r>
        <w:rPr>
          <w:rStyle w:val="VerbatimChar"/>
        </w:rPr>
        <w:t xml:space="preserve">0.50</w:t>
      </w:r>
      <w:r>
        <w:t xml:space="preserve">) were those that were either rarely encountered (e.g.,</w:t>
      </w:r>
      <w:r>
        <w:t xml:space="preserve"> </w:t>
      </w:r>
      <w:r>
        <w:rPr>
          <w:i/>
        </w:rPr>
        <w:t xml:space="preserve">S. crameri</w:t>
      </w:r>
      <w:r>
        <w:t xml:space="preserve">,</w:t>
      </w:r>
      <w:r>
        <w:t xml:space="preserve"> </w:t>
      </w:r>
      <w:r>
        <w:rPr>
          <w:i/>
        </w:rPr>
        <w:t xml:space="preserve">S. lentiginosus</w:t>
      </w:r>
      <w:r>
        <w:t xml:space="preserve">,</w:t>
      </w:r>
      <w:r>
        <w:t xml:space="preserve"> </w:t>
      </w:r>
      <w:r>
        <w:rPr>
          <w:i/>
        </w:rPr>
        <w:t xml:space="preserve">S. rufinanus</w:t>
      </w:r>
      <w:r>
        <w:t xml:space="preserve">, and</w:t>
      </w:r>
      <w:r>
        <w:t xml:space="preserve"> </w:t>
      </w:r>
      <w:r>
        <w:rPr>
          <w:i/>
        </w:rPr>
        <w:t xml:space="preserve">S. serranoides</w:t>
      </w:r>
      <w:r>
        <w:t xml:space="preserve">) or whose densities varied greatly with depth (e.g.,</w:t>
      </w:r>
      <w:r>
        <w:t xml:space="preserve"> </w:t>
      </w:r>
      <w:r>
        <w:rPr>
          <w:i/>
        </w:rPr>
        <w:t xml:space="preserve">S. hopkinsi</w:t>
      </w:r>
      <w:r>
        <w:t xml:space="preserve">,</w:t>
      </w:r>
      <w:r>
        <w:t xml:space="preserve"> </w:t>
      </w:r>
      <w:r>
        <w:rPr>
          <w:i/>
        </w:rPr>
        <w:t xml:space="preserve">S. jordani</w:t>
      </w:r>
      <w:r>
        <w:t xml:space="preserve">,</w:t>
      </w:r>
      <w:r>
        <w:t xml:space="preserve"> </w:t>
      </w:r>
      <w:r>
        <w:rPr>
          <w:i/>
        </w:rPr>
        <w:t xml:space="preserve">S. ovalis</w:t>
      </w:r>
      <w:r>
        <w:t xml:space="preserve">, and</w:t>
      </w:r>
      <w:r>
        <w:t xml:space="preserve"> </w:t>
      </w:r>
      <w:r>
        <w:rPr>
          <w:i/>
        </w:rPr>
        <w:t xml:space="preserve">S. semicinctus</w:t>
      </w:r>
      <w:r>
        <w:t xml:space="preserve">, which were densely aggregated in the shallower strata of the Footprint and almost entirely absent on Piggy Bank). Among target species, the CV values were relatively low and ranged from</w:t>
      </w:r>
      <w:r>
        <w:t xml:space="preserve"> </w:t>
      </w:r>
      <w:r>
        <w:rPr>
          <w:rStyle w:val="VerbatimChar"/>
        </w:rPr>
        <w:t xml:space="preserve">0.28</w:t>
      </w:r>
      <w:r>
        <w:t xml:space="preserve">-</w:t>
      </w:r>
      <w:r>
        <w:rPr>
          <w:rStyle w:val="VerbatimChar"/>
        </w:rPr>
        <w:t xml:space="preserve">0.46</w:t>
      </w:r>
      <w:r>
        <w:t xml:space="preserve"> </w:t>
      </w:r>
      <w:r>
        <w:t xml:space="preserve">and</w:t>
      </w:r>
      <w:r>
        <w:t xml:space="preserve"> </w:t>
      </w:r>
      <w:r>
        <w:rPr>
          <w:rStyle w:val="VerbatimChar"/>
        </w:rPr>
        <w:t xml:space="preserve">0.26</w:t>
      </w:r>
      <w:r>
        <w:t xml:space="preserve">-</w:t>
      </w:r>
      <w:r>
        <w:rPr>
          <w:rStyle w:val="VerbatimChar"/>
        </w:rPr>
        <w:t xml:space="preserve">0.44</w:t>
      </w:r>
      <w:r>
        <w:t xml:space="preserve"> </w:t>
      </w:r>
      <w:r>
        <w:t xml:space="preserve">for abundance and biomass, respectively. For</w:t>
      </w:r>
      <w:r>
        <w:t xml:space="preserve"> </w:t>
      </w:r>
      <w:r>
        <w:rPr>
          <w:i/>
        </w:rPr>
        <w:t xml:space="preserve">S. levis</w:t>
      </w:r>
      <w:r>
        <w:t xml:space="preserve">, the overall CV values of abundance and biomass were quite low (</w:t>
      </w:r>
      <w:r>
        <w:rPr>
          <w:rStyle w:val="VerbatimChar"/>
        </w:rPr>
        <w:t xml:space="preserve">0.28</w:t>
      </w:r>
      <w:r>
        <w:t xml:space="preserve"> </w:t>
      </w:r>
      <w:r>
        <w:t xml:space="preserve">and</w:t>
      </w:r>
      <w:r>
        <w:t xml:space="preserve"> </w:t>
      </w:r>
      <w:r>
        <w:rPr>
          <w:rStyle w:val="VerbatimChar"/>
        </w:rPr>
        <w:t xml:space="preserve">0.30</w:t>
      </w:r>
      <w:r>
        <w:t xml:space="preserve">, respectively), and probably reflect the relatively even distribution of this species among transects on the Footprint and their total absence from any transects on Piggy Bank (</w:t>
      </w:r>
      <w:r>
        <w:rPr>
          <w:b/>
        </w:rPr>
        <w:t xml:space="preserve">Figure 2</w:t>
      </w:r>
      <w:r>
        <w:t xml:space="preserve">).</w:t>
      </w:r>
      <w:r>
        <w:t xml:space="preserve"> </w:t>
      </w:r>
      <w:r>
        <w:rPr>
          <w:i/>
        </w:rPr>
        <w:t xml:space="preserve">Sebastes rufus</w:t>
      </w:r>
      <w:r>
        <w:t xml:space="preserve"> </w:t>
      </w:r>
      <w:r>
        <w:t xml:space="preserve">also had very low CV values (</w:t>
      </w:r>
      <w:r>
        <w:rPr>
          <w:rStyle w:val="VerbatimChar"/>
        </w:rPr>
        <w:t xml:space="preserve">0.26</w:t>
      </w:r>
      <w:r>
        <w:t xml:space="preserve"> </w:t>
      </w:r>
      <w:r>
        <w:t xml:space="preserve">for both abundance and biomass), but in contrast to</w:t>
      </w:r>
      <w:r>
        <w:t xml:space="preserve"> </w:t>
      </w:r>
      <w:r>
        <w:rPr>
          <w:i/>
        </w:rPr>
        <w:t xml:space="preserve">S. levis</w:t>
      </w:r>
      <w:r>
        <w:t xml:space="preserve">, was highly abundant in the deeper strata on both banks (</w:t>
      </w:r>
      <w:r>
        <w:rPr>
          <w:b/>
        </w:rPr>
        <w:t xml:space="preserve">Fig. 2</w:t>
      </w:r>
      <w:r>
        <w:t xml:space="preserve">). As expected, differences in the distribution of many species were apparent by depth and bank (</w:t>
      </w:r>
      <w:r>
        <w:rPr>
          <w:b/>
        </w:rPr>
        <w:t xml:space="preserve">Fig. 2</w:t>
      </w:r>
      <w:r>
        <w:t xml:space="preserve">). Small, more numerically abundant species (e.g.,</w:t>
      </w:r>
      <w:r>
        <w:t xml:space="preserve"> </w:t>
      </w:r>
      <w:r>
        <w:rPr>
          <w:i/>
        </w:rPr>
        <w:t xml:space="preserve">S. ensifer</w:t>
      </w:r>
      <w:r>
        <w:t xml:space="preserve">,</w:t>
      </w:r>
      <w:r>
        <w:t xml:space="preserve"> </w:t>
      </w:r>
      <w:r>
        <w:rPr>
          <w:i/>
        </w:rPr>
        <w:t xml:space="preserve">S. hopkinsi</w:t>
      </w:r>
      <w:r>
        <w:t xml:space="preserve">,</w:t>
      </w:r>
      <w:r>
        <w:t xml:space="preserve"> </w:t>
      </w:r>
      <w:r>
        <w:rPr>
          <w:i/>
        </w:rPr>
        <w:t xml:space="preserve">S. semicinctus</w:t>
      </w:r>
      <w:r>
        <w:t xml:space="preserve">, and</w:t>
      </w:r>
      <w:r>
        <w:t xml:space="preserve"> </w:t>
      </w:r>
      <w:r>
        <w:rPr>
          <w:i/>
        </w:rPr>
        <w:t xml:space="preserve">S. wilsoni</w:t>
      </w:r>
      <w:r>
        <w:t xml:space="preserve">) were commonly encountered on the shallower (&lt;200 m) portions of the Footprint.</w:t>
      </w:r>
      <w:r>
        <w:t xml:space="preserve"> </w:t>
      </w:r>
      <w:r>
        <w:rPr>
          <w:i/>
        </w:rPr>
        <w:t xml:space="preserve">Sebastes paucispinis</w:t>
      </w:r>
      <w:r>
        <w:t xml:space="preserve"> </w:t>
      </w:r>
      <w:r>
        <w:t xml:space="preserve">and</w:t>
      </w:r>
      <w:r>
        <w:t xml:space="preserve"> </w:t>
      </w:r>
      <w:r>
        <w:rPr>
          <w:i/>
        </w:rPr>
        <w:t xml:space="preserve">S. levis</w:t>
      </w:r>
      <w:r>
        <w:t xml:space="preserve"> </w:t>
      </w:r>
      <w:r>
        <w:t xml:space="preserve">were found almost exclusively on the Footprint.</w:t>
      </w:r>
      <w:r>
        <w:t xml:space="preserve"> </w:t>
      </w:r>
      <w:r>
        <w:rPr>
          <w:i/>
        </w:rPr>
        <w:t xml:space="preserve">Sebastes diploproa</w:t>
      </w:r>
      <w:r>
        <w:t xml:space="preserve">,</w:t>
      </w:r>
      <w:r>
        <w:t xml:space="preserve"> </w:t>
      </w:r>
      <w:r>
        <w:rPr>
          <w:i/>
        </w:rPr>
        <w:t xml:space="preserve">S. rufus</w:t>
      </w:r>
      <w:r>
        <w:t xml:space="preserve">, and</w:t>
      </w:r>
      <w:r>
        <w:t xml:space="preserve"> </w:t>
      </w:r>
      <w:r>
        <w:rPr>
          <w:i/>
        </w:rPr>
        <w:t xml:space="preserve">S. simulator</w:t>
      </w:r>
      <w:r>
        <w:t xml:space="preserve"> </w:t>
      </w:r>
      <w:r>
        <w:t xml:space="preserve">were found throughout the deeper strata on both banks, and were the only species commonly observed on Piggy Bank.</w:t>
      </w:r>
    </w:p>
    <w:p>
      <w:pPr>
        <w:pStyle w:val="Heading3"/>
      </w:pPr>
      <w:bookmarkStart w:id="51" w:name="auv-4"/>
      <w:r>
        <w:t xml:space="preserve">AUV</w:t>
      </w:r>
      <w:bookmarkEnd w:id="51"/>
    </w:p>
    <w:p>
      <w:pPr>
        <w:pStyle w:val="FirstParagraph"/>
      </w:pPr>
      <w:r>
        <w:rPr>
          <w:b/>
        </w:rPr>
        <w:t xml:space="preserve">[WAITING FOR LIZ’S UPDATED RESULTS]</w:t>
      </w:r>
      <w:r>
        <w:t xml:space="preserve"> </w:t>
      </w:r>
      <w:r>
        <w:rPr>
          <w:i/>
        </w:rPr>
        <w:t xml:space="preserve">A total of</w:t>
      </w:r>
      <w:r>
        <w:rPr>
          <w:i/>
        </w:rPr>
        <w:t xml:space="preserve"> </w:t>
      </w:r>
      <w:r>
        <w:rPr>
          <w:rStyle w:val="VerbatimChar"/>
          <w:i/>
        </w:rPr>
        <w:t xml:space="preserve">21,228</w:t>
      </w:r>
      <w:r>
        <w:rPr>
          <w:i/>
        </w:rPr>
        <w:t xml:space="preserve"> </w:t>
      </w:r>
      <w:r>
        <w:rPr>
          <w:i/>
        </w:rPr>
        <w:t xml:space="preserve">fishes from</w:t>
      </w:r>
      <w:r>
        <w:rPr>
          <w:i/>
        </w:rPr>
        <w:t xml:space="preserve"> </w:t>
      </w:r>
      <w:r>
        <w:rPr>
          <w:rStyle w:val="VerbatimChar"/>
          <w:i/>
        </w:rPr>
        <w:t xml:space="preserve">51</w:t>
      </w:r>
      <w:r>
        <w:rPr>
          <w:i/>
        </w:rPr>
        <w:t xml:space="preserve"> </w:t>
      </w:r>
      <w:r>
        <w:rPr>
          <w:i/>
        </w:rPr>
        <w:t xml:space="preserve">taxa were identified during the survey including</w:t>
      </w:r>
      <w:r>
        <w:rPr>
          <w:i/>
        </w:rPr>
        <w:t xml:space="preserve"> </w:t>
      </w:r>
      <w:r>
        <w:rPr>
          <w:rStyle w:val="VerbatimChar"/>
          <w:i/>
        </w:rPr>
        <w:t xml:space="preserve">18</w:t>
      </w:r>
      <w:r>
        <w:rPr>
          <w:i/>
        </w:rPr>
        <w:t xml:space="preserve"> </w:t>
      </w:r>
      <w:r>
        <w:rPr>
          <w:i/>
        </w:rPr>
        <w:t xml:space="preserve">rockfish species (</w:t>
      </w:r>
      <w:r>
        <w:rPr>
          <w:b/>
          <w:i/>
        </w:rPr>
        <w:t xml:space="preserve">Table X</w:t>
      </w:r>
      <w:r>
        <w:rPr>
          <w:i/>
        </w:rPr>
        <w:t xml:space="preserve">). Rockfishes comprised</w:t>
      </w:r>
      <w:r>
        <w:rPr>
          <w:i/>
        </w:rPr>
        <w:t xml:space="preserve"> </w:t>
      </w:r>
      <w:r>
        <w:rPr>
          <w:rStyle w:val="VerbatimChar"/>
          <w:i/>
        </w:rPr>
        <w:t xml:space="preserve">75</w:t>
      </w:r>
      <w:r>
        <w:rPr>
          <w:i/>
        </w:rPr>
        <w:t xml:space="preserve">% of the fishes encountered, including groups of unidentified rockfish (</w:t>
      </w:r>
      <w:r>
        <w:rPr>
          <w:i/>
          <w:i/>
        </w:rPr>
        <w:t xml:space="preserve">Sebastes</w:t>
      </w:r>
      <w:r>
        <w:rPr>
          <w:i/>
        </w:rPr>
        <w:t xml:space="preserve"> </w:t>
      </w:r>
      <w:r>
        <w:rPr>
          <w:i/>
        </w:rPr>
        <w:t xml:space="preserve">spp.,</w:t>
      </w:r>
      <w:r>
        <w:rPr>
          <w:i/>
        </w:rPr>
        <w:t xml:space="preserve"> </w:t>
      </w:r>
      <w:r>
        <w:rPr>
          <w:b/>
          <w:i/>
        </w:rPr>
        <w:t xml:space="preserve">X%</w:t>
      </w:r>
      <w:r>
        <w:rPr>
          <w:i/>
        </w:rPr>
        <w:t xml:space="preserve">), rosy-group rockfishes (</w:t>
      </w:r>
      <w:r>
        <w:rPr>
          <w:i/>
          <w:i/>
        </w:rPr>
        <w:t xml:space="preserve">Sebastomus</w:t>
      </w:r>
      <w:r>
        <w:rPr>
          <w:i/>
        </w:rPr>
        <w:t xml:space="preserve">,</w:t>
      </w:r>
      <w:r>
        <w:rPr>
          <w:i/>
        </w:rPr>
        <w:t xml:space="preserve"> </w:t>
      </w:r>
      <w:r>
        <w:rPr>
          <w:b/>
          <w:i/>
        </w:rPr>
        <w:t xml:space="preserve">X%</w:t>
      </w:r>
      <w:r>
        <w:rPr>
          <w:i/>
        </w:rPr>
        <w:t xml:space="preserve">), and thornyheads (</w:t>
      </w:r>
      <w:r>
        <w:rPr>
          <w:i/>
          <w:i/>
        </w:rPr>
        <w:t xml:space="preserve">Sebastolobus</w:t>
      </w:r>
      <w:r>
        <w:rPr>
          <w:i/>
        </w:rPr>
        <w:t xml:space="preserve"> </w:t>
      </w:r>
      <w:r>
        <w:rPr>
          <w:i/>
        </w:rPr>
        <w:t xml:space="preserve">sp.,</w:t>
      </w:r>
      <w:r>
        <w:rPr>
          <w:i/>
        </w:rPr>
        <w:t xml:space="preserve"> </w:t>
      </w:r>
      <w:r>
        <w:rPr>
          <w:b/>
          <w:i/>
        </w:rPr>
        <w:t xml:space="preserve">X%</w:t>
      </w:r>
      <w:r>
        <w:rPr>
          <w:i/>
        </w:rPr>
        <w:t xml:space="preserve">), and other species that could be identified to species (</w:t>
      </w:r>
      <w:r>
        <w:rPr>
          <w:b/>
          <w:i/>
        </w:rPr>
        <w:t xml:space="preserve">X%</w:t>
      </w:r>
      <w:r>
        <w:rPr>
          <w:i/>
        </w:rPr>
        <w:t xml:space="preserve">). Notable were observations of</w:t>
      </w:r>
      <w:r>
        <w:rPr>
          <w:i/>
        </w:rPr>
        <w:t xml:space="preserve"> </w:t>
      </w:r>
      <w:r>
        <w:rPr>
          <w:rStyle w:val="VerbatimChar"/>
          <w:i/>
        </w:rPr>
        <w:t xml:space="preserve">11</w:t>
      </w:r>
      <w:r>
        <w:rPr>
          <w:i/>
        </w:rPr>
        <w:t xml:space="preserve"> </w:t>
      </w:r>
      <w:r>
        <w:rPr>
          <w:i/>
        </w:rPr>
        <w:t xml:space="preserve">cowcod (</w:t>
      </w:r>
      <w:r>
        <w:rPr>
          <w:i/>
          <w:i/>
        </w:rPr>
        <w:t xml:space="preserve">S. levis</w:t>
      </w:r>
      <w:r>
        <w:rPr>
          <w:i/>
        </w:rPr>
        <w:t xml:space="preserve">), 29 bocaccio (</w:t>
      </w:r>
      <w:r>
        <w:rPr>
          <w:i/>
          <w:i/>
        </w:rPr>
        <w:t xml:space="preserve">S. paucispinis</w:t>
      </w:r>
      <w:r>
        <w:rPr>
          <w:i/>
        </w:rPr>
        <w:t xml:space="preserve">) and one bronzespotted rockfish (</w:t>
      </w:r>
      <w:r>
        <w:rPr>
          <w:i/>
          <w:i/>
        </w:rPr>
        <w:t xml:space="preserve">S. gilli</w:t>
      </w:r>
      <w:r>
        <w:rPr>
          <w:i/>
        </w:rPr>
        <w:t xml:space="preserve">). In addition,</w:t>
      </w:r>
      <w:r>
        <w:rPr>
          <w:i/>
        </w:rPr>
        <w:t xml:space="preserve"> </w:t>
      </w:r>
      <w:r>
        <w:rPr>
          <w:rStyle w:val="VerbatimChar"/>
          <w:i/>
        </w:rPr>
        <w:t xml:space="preserve">53</w:t>
      </w:r>
      <w:r>
        <w:rPr>
          <w:i/>
        </w:rPr>
        <w:t xml:space="preserve"> </w:t>
      </w:r>
      <w:r>
        <w:rPr>
          <w:i/>
        </w:rPr>
        <w:t xml:space="preserve">lingcod (</w:t>
      </w:r>
      <w:r>
        <w:rPr>
          <w:i/>
          <w:i/>
        </w:rPr>
        <w:t xml:space="preserve">Ophiodon elongatus</w:t>
      </w:r>
      <w:r>
        <w:rPr>
          <w:i/>
        </w:rPr>
        <w:t xml:space="preserve">),</w:t>
      </w:r>
      <w:r>
        <w:rPr>
          <w:i/>
        </w:rPr>
        <w:t xml:space="preserve"> </w:t>
      </w:r>
      <w:r>
        <w:rPr>
          <w:rStyle w:val="VerbatimChar"/>
          <w:i/>
        </w:rPr>
        <w:t xml:space="preserve">19</w:t>
      </w:r>
      <w:r>
        <w:rPr>
          <w:i/>
        </w:rPr>
        <w:t xml:space="preserve"> </w:t>
      </w:r>
      <w:r>
        <w:rPr>
          <w:i/>
        </w:rPr>
        <w:t xml:space="preserve">Pacific hake (</w:t>
      </w:r>
      <w:r>
        <w:rPr>
          <w:i/>
          <w:i/>
        </w:rPr>
        <w:t xml:space="preserve">Merluccius productus</w:t>
      </w:r>
      <w:r>
        <w:rPr>
          <w:i/>
        </w:rPr>
        <w:t xml:space="preserve">) and</w:t>
      </w:r>
      <w:r>
        <w:rPr>
          <w:i/>
        </w:rPr>
        <w:t xml:space="preserve"> </w:t>
      </w:r>
      <w:r>
        <w:rPr>
          <w:rStyle w:val="VerbatimChar"/>
          <w:i/>
        </w:rPr>
        <w:t xml:space="preserve">10</w:t>
      </w:r>
      <w:r>
        <w:rPr>
          <w:i/>
        </w:rPr>
        <w:t xml:space="preserve"> </w:t>
      </w:r>
      <w:r>
        <w:rPr>
          <w:i/>
        </w:rPr>
        <w:t xml:space="preserve">sablefish (</w:t>
      </w:r>
      <w:r>
        <w:rPr>
          <w:i/>
          <w:i/>
        </w:rPr>
        <w:t xml:space="preserve">Anoplopoma fimbria</w:t>
      </w:r>
      <w:r>
        <w:rPr>
          <w:i/>
        </w:rPr>
        <w:t xml:space="preserve">) were observed. Fish assemblages varied between depth strata and between the two banks. Twenty-nine taxa only occurred on the Footprint or along its Flank. Two species were observed on Piggy Bank only.</w:t>
      </w:r>
      <w:r>
        <w:rPr>
          <w:i/>
        </w:rPr>
        <w:t xml:space="preserve"> </w:t>
      </w:r>
    </w:p>
    <w:p>
      <w:pPr>
        <w:pStyle w:val="Heading2"/>
      </w:pPr>
      <w:bookmarkStart w:id="52" w:name="biodiversity"/>
      <w:r>
        <w:t xml:space="preserve">Biodiversity</w:t>
      </w:r>
      <w:bookmarkEnd w:id="52"/>
    </w:p>
    <w:p>
      <w:pPr>
        <w:pStyle w:val="Heading3"/>
      </w:pPr>
      <w:bookmarkStart w:id="53" w:name="sub-4"/>
      <w:r>
        <w:t xml:space="preserve">SUB</w:t>
      </w:r>
      <w:bookmarkEnd w:id="53"/>
    </w:p>
    <w:p>
      <w:pPr>
        <w:pStyle w:val="FirstParagraph"/>
      </w:pPr>
      <w:r>
        <w:t xml:space="preserve">Diversity (</w:t>
      </w:r>
      <w:r>
        <w:rPr>
          <w:b/>
        </w:rPr>
        <w:t xml:space="preserve">or richness??</w:t>
      </w:r>
      <w:r>
        <w:t xml:space="preserve">; measured as cumulative number of species in transects within a depth stratum, excluding groups), was highest on The Footprint in the 100-200 m (</w:t>
      </w:r>
      <w:r>
        <w:rPr>
          <w:rStyle w:val="VerbatimChar"/>
        </w:rPr>
        <w:t xml:space="preserve">23</w:t>
      </w:r>
      <w:r>
        <w:t xml:space="preserve"> </w:t>
      </w:r>
      <w:r>
        <w:t xml:space="preserve">species) and 200-300 m (</w:t>
      </w:r>
      <w:r>
        <w:rPr>
          <w:rStyle w:val="VerbatimChar"/>
        </w:rPr>
        <w:t xml:space="preserve">26</w:t>
      </w:r>
      <w:r>
        <w:t xml:space="preserve"> </w:t>
      </w:r>
      <w:r>
        <w:t xml:space="preserve">species) strata (</w:t>
      </w:r>
      <w:r>
        <w:rPr>
          <w:b/>
        </w:rPr>
        <w:t xml:space="preserve">Table X</w:t>
      </w:r>
      <w:r>
        <w:t xml:space="preserve">). Species richness (</w:t>
      </w:r>
      <m:oMath>
        <m:r>
          <m:t>S</m:t>
        </m:r>
      </m:oMath>
      <w:r>
        <w:t xml:space="preserve">) was lowest on Piggy Bank at both depth strata (</w:t>
      </w:r>
      <w:r>
        <w:rPr>
          <w:rStyle w:val="VerbatimChar"/>
        </w:rPr>
        <w:t xml:space="preserve">8</w:t>
      </w:r>
      <w:r>
        <w:t xml:space="preserve"> </w:t>
      </w:r>
      <w:r>
        <w:t xml:space="preserve">and</w:t>
      </w:r>
      <w:r>
        <w:t xml:space="preserve"> </w:t>
      </w:r>
      <w:r>
        <w:rPr>
          <w:rStyle w:val="VerbatimChar"/>
        </w:rPr>
        <w:t xml:space="preserve">11</w:t>
      </w:r>
      <w:r>
        <w:t xml:space="preserve"> </w:t>
      </w:r>
      <w:r>
        <w:t xml:space="preserve">species in the 200-300 and 300-400 m strata, respectively).</w:t>
      </w:r>
    </w:p>
    <w:p>
      <w:pPr>
        <w:pStyle w:val="Heading3"/>
      </w:pPr>
      <w:bookmarkStart w:id="54" w:name="rov-4"/>
      <w:r>
        <w:t xml:space="preserve">ROV</w:t>
      </w:r>
      <w:bookmarkEnd w:id="54"/>
    </w:p>
    <w:p>
      <w:pPr>
        <w:pStyle w:val="FirstParagraph"/>
      </w:pPr>
      <w:r>
        <w:t xml:space="preserve">Biodiversity also varied greatly by depth strata and bank (</w:t>
      </w:r>
      <w:r>
        <w:rPr>
          <w:b/>
        </w:rPr>
        <w:t xml:space="preserve">Table 6</w:t>
      </w:r>
      <w:r>
        <w:t xml:space="preserve">). The greatest number of species (richness =</w:t>
      </w:r>
      <w:r>
        <w:t xml:space="preserve"> </w:t>
      </w:r>
      <w:r>
        <w:rPr>
          <w:rStyle w:val="VerbatimChar"/>
        </w:rPr>
        <w:t xml:space="preserve">15</w:t>
      </w:r>
      <w:r>
        <w:t xml:space="preserve">) was observed in the 0-100 m depth stratum on the Footprint, and the fewest were observed in the 300-400 m stratum at Piggy Bank. The rarefied species richness (the number of species expected per number of samples) was greatest in the 300-400 m stratum at the Footprint, with all other strata having rarefied species richness between</w:t>
      </w:r>
      <w:r>
        <w:t xml:space="preserve"> </w:t>
      </w:r>
      <w:r>
        <w:rPr>
          <w:rStyle w:val="VerbatimChar"/>
        </w:rPr>
        <w:t xml:space="preserve">3.5</w:t>
      </w:r>
      <w:r>
        <w:t xml:space="preserve"> </w:t>
      </w:r>
      <w:r>
        <w:t xml:space="preserve">and</w:t>
      </w:r>
      <w:r>
        <w:t xml:space="preserve"> </w:t>
      </w:r>
      <w:r>
        <w:rPr>
          <w:rStyle w:val="VerbatimChar"/>
        </w:rPr>
        <w:t xml:space="preserve">5.1</w:t>
      </w:r>
      <w:r>
        <w:t xml:space="preserve">. Neither of these richness parameters account for the abundance of different species so Shannon</w:t>
      </w:r>
      <w:r>
        <w:t xml:space="preserve"> </w:t>
      </w:r>
      <m:oMath>
        <m:r>
          <m:t>H</m:t>
        </m:r>
        <m:r>
          <m:t>’</m:t>
        </m:r>
      </m:oMath>
      <w:r>
        <w:t xml:space="preserve"> </w:t>
      </w:r>
      <w:r>
        <w:t xml:space="preserve">and Simpson</w:t>
      </w:r>
      <w:r>
        <w:t xml:space="preserve"> </w:t>
      </w:r>
      <m:oMath>
        <m:r>
          <m:t>λ</m:t>
        </m:r>
      </m:oMath>
      <w:r>
        <w:t xml:space="preserve">, which do account for abundance differences, were also calculated. Again, the greatest diversity (both</w:t>
      </w:r>
      <w:r>
        <w:t xml:space="preserve"> </w:t>
      </w:r>
      <m:oMath>
        <m:r>
          <m:t>H</m:t>
        </m:r>
        <m:r>
          <m:t>’</m:t>
        </m:r>
      </m:oMath>
      <w:r>
        <w:t xml:space="preserve"> </w:t>
      </w:r>
      <w:r>
        <w:t xml:space="preserve">and</w:t>
      </w:r>
      <w:r>
        <w:t xml:space="preserve"> </w:t>
      </w:r>
      <m:oMath>
        <m:r>
          <m:t>λ</m:t>
        </m:r>
      </m:oMath>
      <w:r>
        <w:t xml:space="preserve">, respectively) were observed in the 300-400 m stratum at the Footprint, but diversity was relatively uniform across all depth strata and banks. Biodiversity estimates for each transect is presented in</w:t>
      </w:r>
      <w:r>
        <w:t xml:space="preserve"> </w:t>
      </w:r>
      <w:r>
        <w:rPr>
          <w:b/>
        </w:rPr>
        <w:t xml:space="preserve">Appendix 4</w:t>
      </w:r>
      <w:r>
        <w:t xml:space="preserve">.</w:t>
      </w:r>
    </w:p>
    <w:p>
      <w:pPr>
        <w:pStyle w:val="BodyText"/>
      </w:pPr>
      <w:r>
        <w:t xml:space="preserve">The species accumulation (rarefaction) curves from each bank have much different shapes (</w:t>
      </w:r>
      <w:r>
        <w:rPr>
          <w:b/>
        </w:rPr>
        <w:t xml:space="preserve">Figure 9</w:t>
      </w:r>
      <w:r>
        <w:t xml:space="preserve">). The curve for the Footprint rises steeply in the first few samples and begins to plateau after ~</w:t>
      </w:r>
      <w:r>
        <w:t xml:space="preserve"> </w:t>
      </w:r>
      <w:r>
        <w:rPr>
          <w:b/>
        </w:rPr>
        <w:t xml:space="preserve">10</w:t>
      </w:r>
      <w:r>
        <w:t xml:space="preserve"> </w:t>
      </w:r>
      <w:r>
        <w:t xml:space="preserve">transects. The rarefaction curve at Piggy Bank increased at a slower rate and never reached an asymptote. Although there were fewer transects at Piggy Bank, the other diversity estimates corroborate the finding that there is less biodiversity at Piggy Bank compared to the Footprint.</w:t>
      </w:r>
    </w:p>
    <w:p>
      <w:pPr>
        <w:pStyle w:val="Heading3"/>
      </w:pPr>
      <w:bookmarkStart w:id="55" w:name="auv-5"/>
      <w:r>
        <w:t xml:space="preserve">AUV</w:t>
      </w:r>
      <w:bookmarkEnd w:id="55"/>
    </w:p>
    <w:p>
      <w:pPr>
        <w:pStyle w:val="FirstParagraph"/>
      </w:pPr>
      <w:r>
        <w:rPr>
          <w:b/>
        </w:rPr>
        <w:t xml:space="preserve">[WAITING FOR LIZ’S UPDATED RESULTS]</w:t>
      </w:r>
      <w:r>
        <w:t xml:space="preserve"> </w:t>
      </w:r>
      <w:r>
        <w:t xml:space="preserve">Species richness (total species, excluding groups) was the highest in the 100-200 m stratum on the Footprint (N = 23 species) and in the 300-400 m stratum on the Flank (18 species,</w:t>
      </w:r>
      <w:r>
        <w:t xml:space="preserve"> </w:t>
      </w:r>
      <w:r>
        <w:rPr>
          <w:b/>
        </w:rPr>
        <w:t xml:space="preserve">Table x</w:t>
      </w:r>
      <w:r>
        <w:t xml:space="preserve">). Species richness was lowest in all three strata on Piggy Bank (six species at 200-300 m, eight species at 300-400 m, and seven species at 400-500 m).</w:t>
      </w:r>
    </w:p>
    <w:p>
      <w:pPr>
        <w:pStyle w:val="Heading1"/>
      </w:pPr>
      <w:bookmarkStart w:id="56" w:name="discussion"/>
      <w:r>
        <w:t xml:space="preserve">Discussion</w:t>
      </w:r>
      <w:bookmarkEnd w:id="56"/>
    </w:p>
    <w:p>
      <w:pPr>
        <w:pStyle w:val="Heading2"/>
      </w:pPr>
      <w:bookmarkStart w:id="57" w:name="survey-effort-1"/>
      <w:r>
        <w:t xml:space="preserve">Survey effort</w:t>
      </w:r>
      <w:bookmarkEnd w:id="57"/>
    </w:p>
    <w:p>
      <w:pPr>
        <w:pStyle w:val="FirstParagraph"/>
      </w:pPr>
      <w:r>
        <w:t xml:space="preserve">The AUV was able to sample the deeper 400-500 m stratum on the flank of Footprint, and to provide fish and habitat information that was not available from the ROV or SUB (**The ROV could have sampled deeper but .</w:t>
      </w:r>
    </w:p>
    <w:p>
      <w:pPr>
        <w:pStyle w:val="Heading2"/>
      </w:pPr>
      <w:bookmarkStart w:id="58" w:name="abundance-and-biomass-estimates-1"/>
      <w:r>
        <w:t xml:space="preserve">Abundance and biomass estimates</w:t>
      </w:r>
      <w:bookmarkEnd w:id="58"/>
    </w:p>
    <w:p>
      <w:pPr>
        <w:pStyle w:val="Heading3"/>
      </w:pPr>
      <w:bookmarkStart w:id="59" w:name="auv-6"/>
      <w:r>
        <w:t xml:space="preserve">AUV</w:t>
      </w:r>
      <w:bookmarkEnd w:id="59"/>
    </w:p>
    <w:p>
      <w:pPr>
        <w:pStyle w:val="FirstParagraph"/>
      </w:pPr>
      <w:r>
        <w:t xml:space="preserve">The species encountered by the AUV, ROV, and SUB were comparable.</w:t>
      </w:r>
    </w:p>
    <w:p>
      <w:pPr>
        <w:pStyle w:val="BodyText"/>
      </w:pPr>
      <w:r>
        <w:t xml:space="preserve">Species diversity was similar amongst all three methodologies showing greater species richness at the The Footprint and lower richness at Piggy Bank. The ROV and the SUB included records of rockfish species not identified by the AUV. This could be due to the fact that the cameras on the AUV are positioned downward, rather than forward facing, allowing fish directly in front of the unit to escape detection. Another possible reason could be the difficulty in identifying some rockfish species from the dorsal view. The AUV detected comparable numbers of fishes, but the fish were identified to groupings (i.e. Unidentified rockfish, or Sebastomus) as opposed to species.</w:t>
      </w:r>
    </w:p>
    <w:p>
      <w:r>
        <w:br w:type="page"/>
      </w:r>
    </w:p>
    <w:p>
      <w:pPr>
        <w:pStyle w:val="Heading1"/>
      </w:pPr>
      <w:bookmarkStart w:id="60" w:name="tables"/>
      <w:r>
        <w:t xml:space="preserve">Tables</w:t>
      </w:r>
      <w:bookmarkEnd w:id="60"/>
    </w:p>
    <w:p>
      <w:pPr>
        <w:pStyle w:val="FirstParagraph"/>
      </w:pPr>
      <w:r>
        <w:rPr>
          <w:b/>
        </w:rPr>
        <w:t xml:space="preserve">Table 1.</w:t>
      </w:r>
      <w:r>
        <w:t xml:space="preserve"> </w:t>
      </w:r>
      <w:r>
        <w:t xml:space="preserve">Coefficients used to convert total length (</w:t>
      </w:r>
      <w:r>
        <w:rPr>
          <w:i/>
        </w:rPr>
        <w:t xml:space="preserve">TL</w:t>
      </w:r>
      <w:r>
        <w:t xml:space="preserve">; cm) to weight (g) for biomass estimates.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441"/>
        <w:gridCol w:w="2408"/>
        <w:gridCol w:w="751"/>
        <w:gridCol w:w="751"/>
        <w:gridCol w:w="974"/>
        <w:gridCol w:w="1007"/>
        <w:gridCol w:w="2652"/>
        <w:gridCol w:w="2774"/>
      </w:tblGrid>
      <w:tr>
        <w:trPr>
          <w:trHeight w:val="433"/>
          <w:tblHeader/>
        </w:trPr>
        <w:tc>
          <w:tcPr>
            <w:tcBorders>
              <w:bottom w:val="single" w:sz="16" w:space="0" w:color="000000"/>
              <w:top w:val="single" w:sz="16" w:space="0" w:color="000000"/>
            </w:tcBorders>
            <w:tcMar>
              <w:top w:w="0" w:type="dxa"/>
              <w:bottom w:w="0" w:type="dxa"/>
              <w:left w:w="0" w:type="dxa"/>
              <w:right w:w="0" w:type="dxa"/>
            </w:tcMar>
            <w:vAlign w:val="center"/>
          </w:tcPr>
          <w:p>
            <w:pPr>
              <w:jc w:val="center"/>
              <w:spacing w:after="40" w:before="40"/>
              <w:ind w:left="40" w:right="40"/>
            </w:pPr>
            <w:r>
              <w:rPr>
                <w:rFonts w:ascii="Arial" w:hAnsi="Arial" w:cs="Arial"/>
                <w:sz w:val="20"/>
                <w:szCs w:val="20"/>
                <w:color w:val="000000"/>
              </w:rPr>
              <w:t xml:space="preserve">Scientific name</w:t>
            </w:r>
          </w:p>
        </w:tc>
        <w:tc>
          <w:tcPr>
            <w:tcBorders>
              <w:bottom w:val="single" w:sz="16" w:space="0" w:color="000000"/>
              <w:top w:val="single" w:sz="16" w:space="0" w:color="000000"/>
            </w:tcBorders>
            <w:tcMar>
              <w:top w:w="0" w:type="dxa"/>
              <w:bottom w:w="0" w:type="dxa"/>
              <w:left w:w="0" w:type="dxa"/>
              <w:right w:w="0" w:type="dxa"/>
            </w:tcMar>
            <w:vAlign w:val="center"/>
          </w:tcPr>
          <w:p>
            <w:pPr>
              <w:jc w:val="center"/>
              <w:spacing w:after="40" w:before="40"/>
              <w:ind w:left="40" w:right="40"/>
            </w:pPr>
            <w:r>
              <w:rPr>
                <w:rFonts w:ascii="Arial" w:hAnsi="Arial" w:cs="Arial"/>
                <w:sz w:val="20"/>
                <w:szCs w:val="20"/>
                <w:color w:val="000000"/>
              </w:rPr>
              <w:t xml:space="preserve">Common name</w:t>
            </w:r>
          </w:p>
        </w:tc>
        <w:tc>
          <w:tcPr>
            <w:tcBorders>
              <w:bottom w:val="single" w:sz="16" w:space="0" w:color="000000"/>
              <w:top w:val="single" w:sz="16" w:space="0" w:color="000000"/>
            </w:tcBorders>
            <w:tcMar>
              <w:top w:w="0" w:type="dxa"/>
              <w:bottom w:w="0" w:type="dxa"/>
              <w:left w:w="0" w:type="dxa"/>
              <w:right w:w="0" w:type="dxa"/>
            </w:tcMar>
            <w:vAlign w:val="center"/>
          </w:tcPr>
          <w:p>
            <w:pPr>
              <w:jc w:val="center"/>
              <w:spacing w:after="40" w:before="40"/>
              <w:ind w:left="40" w:right="40"/>
            </w:pPr>
            <w:r>
              <w:rPr>
                <w:rFonts w:ascii="Arial" w:hAnsi="Arial" w:cs="Arial"/>
                <w:sz w:val="20"/>
                <w:szCs w:val="20"/>
                <w:color w:val="000000"/>
              </w:rPr>
              <w:t xml:space="preserve">a</w:t>
            </w:r>
          </w:p>
        </w:tc>
        <w:tc>
          <w:tcPr>
            <w:tcBorders>
              <w:bottom w:val="single" w:sz="16" w:space="0" w:color="000000"/>
              <w:top w:val="single" w:sz="16" w:space="0" w:color="000000"/>
            </w:tcBorders>
            <w:tcMar>
              <w:top w:w="0" w:type="dxa"/>
              <w:bottom w:w="0" w:type="dxa"/>
              <w:left w:w="0" w:type="dxa"/>
              <w:right w:w="0" w:type="dxa"/>
            </w:tcMar>
            <w:vAlign w:val="center"/>
          </w:tcPr>
          <w:p>
            <w:pPr>
              <w:jc w:val="center"/>
              <w:spacing w:after="40" w:before="40"/>
              <w:ind w:left="40" w:right="40"/>
            </w:pPr>
            <w:r>
              <w:rPr>
                <w:rFonts w:ascii="Arial" w:hAnsi="Arial" w:cs="Arial"/>
                <w:sz w:val="20"/>
                <w:szCs w:val="20"/>
                <w:color w:val="000000"/>
              </w:rPr>
              <w:t xml:space="preserve">b</w:t>
            </w:r>
          </w:p>
        </w:tc>
        <w:tc>
          <w:tcPr>
            <w:tcBorders>
              <w:bottom w:val="single" w:sz="16" w:space="0" w:color="000000"/>
              <w:top w:val="single" w:sz="16" w:space="0" w:color="000000"/>
            </w:tcBorders>
            <w:tcMar>
              <w:top w:w="0" w:type="dxa"/>
              <w:bottom w:w="0" w:type="dxa"/>
              <w:left w:w="0" w:type="dxa"/>
              <w:right w:w="0" w:type="dxa"/>
            </w:tcMar>
            <w:vAlign w:val="center"/>
          </w:tcPr>
          <w:p>
            <w:pPr>
              <w:jc w:val="center"/>
              <w:spacing w:after="40" w:before="40"/>
              <w:ind w:left="40" w:right="40"/>
            </w:pPr>
            <w:r>
              <w:rPr>
                <w:rFonts w:ascii="Arial" w:hAnsi="Arial" w:cs="Arial"/>
                <w:sz w:val="20"/>
                <w:szCs w:val="20"/>
                <w:color w:val="000000"/>
              </w:rPr>
              <w:t xml:space="preserve">L_max</w:t>
            </w:r>
          </w:p>
        </w:tc>
        <w:tc>
          <w:tcPr>
            <w:tcBorders>
              <w:bottom w:val="single" w:sz="16" w:space="0" w:color="000000"/>
              <w:top w:val="single" w:sz="16" w:space="0" w:color="000000"/>
            </w:tcBorders>
            <w:tcMar>
              <w:top w:w="0" w:type="dxa"/>
              <w:bottom w:w="0" w:type="dxa"/>
              <w:left w:w="0" w:type="dxa"/>
              <w:right w:w="0" w:type="dxa"/>
            </w:tcMar>
            <w:vAlign w:val="center"/>
          </w:tcPr>
          <w:p>
            <w:pPr>
              <w:jc w:val="center"/>
              <w:spacing w:after="40" w:before="40"/>
              <w:ind w:left="40" w:right="40"/>
            </w:pPr>
            <w:r>
              <w:rPr>
                <w:rFonts w:ascii="Arial" w:hAnsi="Arial" w:cs="Arial"/>
                <w:sz w:val="20"/>
                <w:szCs w:val="20"/>
                <w:color w:val="000000"/>
              </w:rPr>
              <w:t xml:space="preserve">Sex</w:t>
            </w:r>
          </w:p>
        </w:tc>
        <w:tc>
          <w:tcPr>
            <w:tcBorders>
              <w:bottom w:val="single" w:sz="16" w:space="0" w:color="000000"/>
              <w:top w:val="single" w:sz="16" w:space="0" w:color="000000"/>
            </w:tcBorders>
            <w:tcMar>
              <w:top w:w="0" w:type="dxa"/>
              <w:bottom w:w="0" w:type="dxa"/>
              <w:left w:w="0" w:type="dxa"/>
              <w:right w:w="0" w:type="dxa"/>
            </w:tcMar>
            <w:vAlign w:val="center"/>
          </w:tcPr>
          <w:p>
            <w:pPr>
              <w:jc w:val="center"/>
              <w:spacing w:after="40" w:before="40"/>
              <w:ind w:left="40" w:right="40"/>
            </w:pPr>
            <w:r>
              <w:rPr>
                <w:rFonts w:ascii="Arial" w:hAnsi="Arial" w:cs="Arial"/>
                <w:sz w:val="20"/>
                <w:szCs w:val="20"/>
                <w:color w:val="000000"/>
              </w:rPr>
              <w:t xml:space="preserve">Reference</w:t>
            </w:r>
          </w:p>
        </w:tc>
        <w:tc>
          <w:tcPr>
            <w:tcBorders>
              <w:bottom w:val="single" w:sz="16" w:space="0" w:color="000000"/>
              <w:top w:val="single" w:sz="16" w:space="0" w:color="000000"/>
            </w:tcBorders>
            <w:tcMar>
              <w:top w:w="0" w:type="dxa"/>
              <w:bottom w:w="0" w:type="dxa"/>
              <w:left w:w="0" w:type="dxa"/>
              <w:right w:w="0" w:type="dxa"/>
            </w:tcMar>
            <w:vAlign w:val="center"/>
          </w:tcPr>
          <w:p>
            <w:pPr>
              <w:jc w:val="center"/>
              <w:spacing w:after="40" w:before="40"/>
              <w:ind w:left="40" w:right="40"/>
            </w:pPr>
            <w:r>
              <w:rPr>
                <w:rFonts w:ascii="Arial" w:hAnsi="Arial" w:cs="Arial"/>
                <w:sz w:val="20"/>
                <w:szCs w:val="20"/>
                <w:color w:val="000000"/>
              </w:rPr>
              <w:t xml:space="preserve">Comment</w:t>
            </w:r>
          </w:p>
        </w:tc>
      </w:tr>
      <w:tr>
        <w:trPr>
          <w:trHeight w:val="438"/>
        </w:trPr>
        <w:tc>
          <w:tcPr>
            <w:tcBorders>
              <w:bottom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Merluccius productus</w:t>
            </w:r>
          </w:p>
        </w:tc>
        <w:tc>
          <w:tcPr>
            <w:tcBorders>
              <w:bottom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Pacific hake</w:t>
            </w:r>
          </w:p>
        </w:tc>
        <w:tc>
          <w:tcPr>
            <w:tcBorders>
              <w:bottom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0.035</w:t>
            </w:r>
          </w:p>
        </w:tc>
        <w:tc>
          <w:tcPr>
            <w:tcBorders>
              <w:bottom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2.556</w:t>
            </w:r>
          </w:p>
        </w:tc>
        <w:tc>
          <w:tcPr>
            <w:tcBorders>
              <w:bottom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91.000</w:t>
            </w:r>
          </w:p>
        </w:tc>
        <w:tc>
          <w:tcPr>
            <w:tcBorders>
              <w:bottom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male</w:t>
            </w:r>
          </w:p>
        </w:tc>
        <w:tc>
          <w:tcPr>
            <w:tcBorders>
              <w:bottom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(Dark, 1975)</w:t>
            </w:r>
          </w:p>
        </w:tc>
        <w:tc>
          <w:tcPr>
            <w:tcBorders>
              <w:bottom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Ophiodon elongatus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Lingcod</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0.011</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152.000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(RecFIN, 2009)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aurora</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Aurora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0.024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2.832</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41.000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(Wilkins et al., 1998)</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chlorostictus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Greenspotted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3.163</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47.200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constellatus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Starry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3.160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46.000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crameri</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Darkblotched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0.029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2.824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58.000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(Wilkins et al., 1998)</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crocotulus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Sunset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0.022</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2.923</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76.000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borrowed from S. miniatus</w:t>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diploproa</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Splitnose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3.244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46.000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(PSFMC, 1999)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elongatus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Greenstripe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0.008</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3.127</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43.000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ensifer</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Swordspine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0.013</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2.970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30.000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entomelas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Widow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0.016</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2.943</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59.000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eos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Pink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2.957</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56.000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(PSFMC, 1999)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gilli</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Bronzespotted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0.018</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2.981</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71.200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(PSFMC, 1999)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hopkinsi</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Squarespot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0.015</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2.984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jordani</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Shortbelly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0.006</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3.160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35.000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(PSFMC, 1999)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lentiginosus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Freckled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0.007</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3.319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23.000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(Chen, 1971)</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borrowed from S. umbrosus</w:t>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levis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Cowcod</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3.093</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94.000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macdonaldi</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Mexican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0.045</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2.664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66.000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(PSFMC, 1999)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melanostomus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Blackgill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0.012</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3.042</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61.000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ovalis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Speckled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0.005</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3.217</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56.000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female</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paucispinis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Bocaccio</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0.016</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2.881</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91.000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female</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phillipsi</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Chameleon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0.024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2.832</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52.000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unsexed</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(Wilkins et al., 1998)</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borrowed from S. aurora</w:t>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rosaceus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Rosy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0.005</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3.386</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36.000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rosenblatti</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Greenblotched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0.011</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3.106</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48.000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ruberrimus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Yelloweye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0.007</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3.222</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91.000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(Rosenthal et al., 1982)</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rubrivinctus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Flag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0.021</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2.943</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44.000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(RecFIN, 2009)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rufinanus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Dwarf-red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0.015</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2.984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17.000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borrowed from S. hopkinsi</w:t>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rufus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Bank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0.008</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3.147</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55.200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saxicola</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Stripetail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3.120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41.000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(PSFMC, 1999)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semicinctus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Halfbanded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0.013</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3.016</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25.000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female</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serranoides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Olive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0.015</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2.964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61.000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male</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and Westphal, 1981)</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simulator</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Pinkrose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0.006</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3.279</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42.100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unpublished data)</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sp.</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Rockfish-unidentified</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0.015</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2.984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NA</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borrowed from S. hopkinsi</w:t>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wilsoni</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Pygmy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0.012</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3.023</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23.000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(Moulton, 1977)</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borrowed from S. emphaeus</w:t>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Sebastes zacentrus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Sharpchin rockfish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0.006</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3.280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45.000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(Wilkins et al., 1998)</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Sebastolobus alascanus</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Shortspine thornyhead</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3.357</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80.000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(Wakefield,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
            </w:r>
          </w:p>
        </w:tc>
      </w:tr>
      <w:tr>
        <w:trPr>
          <w:trHeight w:val="438"/>
        </w:trPr>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Sebastolobus sp.</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Thornyhead-unidentified</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0.004</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3.357</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80.000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(Wakefield, 1990)</w:t>
            </w:r>
          </w:p>
        </w:tc>
        <w:tc>
          <w:tcPr>
            <w:tcBorders>
              <w:bottom w:val="single" w:sz="8" w:space="0" w:color="000000"/>
              <w:top w:val="single" w:sz="8"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borrowed from S. alascanus</w:t>
            </w:r>
          </w:p>
        </w:tc>
      </w:tr>
      <w:tr>
        <w:trPr>
          <w:trHeight w:val="438"/>
        </w:trPr>
        <w:tc>
          <w:tcPr>
            <w:tcBorders>
              <w:bottom w:val="single" w:sz="16" w:space="0" w:color="000000"/>
            </w:tcBorders>
            <w:tcMar>
              <w:top w:w="0" w:type="dxa"/>
              <w:bottom w:w="0" w:type="dxa"/>
              <w:left w:w="0" w:type="dxa"/>
              <w:right w:w="0" w:type="dxa"/>
            </w:tcMar>
            <w:vAlign w:val="center"/>
          </w:tcPr>
          <w:p>
            <w:pPr>
              <w:jc w:val="right"/>
              <w:spacing w:after="40" w:before="40"/>
              <w:ind w:left="40" w:right="40"/>
            </w:pPr>
            <w:r>
              <w:rPr>
                <w:rFonts w:ascii="Arial" w:hAnsi="Arial" w:cs="Arial"/>
                <w:i/>
                <w:sz w:val="20"/>
                <w:szCs w:val="20"/>
                <w:color w:val="000000"/>
              </w:rPr>
              <w:t xml:space="preserve">Sebastomus sp.</w:t>
            </w:r>
          </w:p>
        </w:tc>
        <w:tc>
          <w:tcPr>
            <w:tcBorders>
              <w:bottom w:val="single" w:sz="16"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Rosy-group rockfish</w:t>
            </w:r>
          </w:p>
        </w:tc>
        <w:tc>
          <w:tcPr>
            <w:tcBorders>
              <w:bottom w:val="single" w:sz="16"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0.013</w:t>
            </w:r>
          </w:p>
        </w:tc>
        <w:tc>
          <w:tcPr>
            <w:tcBorders>
              <w:bottom w:val="single" w:sz="16"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2.970</w:t>
            </w:r>
          </w:p>
        </w:tc>
        <w:tc>
          <w:tcPr>
            <w:tcBorders>
              <w:bottom w:val="single" w:sz="16"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NA</w:t>
            </w:r>
          </w:p>
        </w:tc>
        <w:tc>
          <w:tcPr>
            <w:tcBorders>
              <w:bottom w:val="single" w:sz="16"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both</w:t>
            </w:r>
          </w:p>
        </w:tc>
        <w:tc>
          <w:tcPr>
            <w:tcBorders>
              <w:bottom w:val="single" w:sz="16"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(Love et al., 1990)</w:t>
            </w:r>
          </w:p>
        </w:tc>
        <w:tc>
          <w:tcPr>
            <w:tcBorders>
              <w:bottom w:val="single" w:sz="16" w:space="0" w:color="000000"/>
            </w:tcBorders>
            <w:tcMar>
              <w:top w:w="0" w:type="dxa"/>
              <w:bottom w:w="0" w:type="dxa"/>
              <w:left w:w="0" w:type="dxa"/>
              <w:right w:w="0" w:type="dxa"/>
            </w:tcMar>
            <w:vAlign w:val="center"/>
          </w:tcPr>
          <w:p>
            <w:pPr>
              <w:jc w:val="right"/>
              <w:spacing w:after="40" w:before="40"/>
              <w:ind w:left="40" w:right="40"/>
            </w:pPr>
            <w:r>
              <w:rPr>
                <w:rFonts w:ascii="Arial" w:hAnsi="Arial" w:cs="Arial"/>
                <w:sz w:val="20"/>
                <w:szCs w:val="20"/>
                <w:color w:val="000000"/>
              </w:rPr>
              <w:t xml:space="preserve">borrowed from S. ensifer</w:t>
            </w:r>
          </w:p>
        </w:tc>
      </w:tr>
    </w:tbl>
    <w:p>
      <w:r>
        <w:br w:type="page"/>
      </w:r>
    </w:p>
    <w:p>
      <w:pPr>
        <w:pStyle w:val="Heading1"/>
      </w:pPr>
      <w:bookmarkStart w:id="61" w:name="figures"/>
      <w:r>
        <w:t xml:space="preserve">Figures</w:t>
      </w:r>
      <w:bookmarkEnd w:id="61"/>
    </w:p>
    <w:p>
      <w:pPr>
        <w:pStyle w:val="FirstParagraph"/>
      </w:pPr>
      <w:r>
        <w:rPr>
          <w:b/>
        </w:rPr>
        <w:t xml:space="preserve">Figure 1.</w:t>
      </w:r>
      <w:r>
        <w:t xml:space="preserve"> </w:t>
      </w:r>
      <w:r>
        <w:t xml:space="preserve">Map of the survey area indicating the extent of the sampling area, which includes The Footprint and Piggy Bank (dashed yellow box), depth strata (blue polygons), and the 250 x 250 m grid used to randomly select AUV sample locations. The area within each polygon is in</w:t>
      </w:r>
      <w:r>
        <w:t xml:space="preserve"> </w:t>
      </w:r>
      <w:r>
        <w:rPr>
          <w:b/>
        </w:rPr>
        <w:t xml:space="preserve">Table X.</w:t>
      </w:r>
      <w:r>
        <w:t xml:space="preserve"> </w:t>
      </w:r>
      <w:r>
        <w:rPr>
          <w:b/>
        </w:rPr>
        <w:t xml:space="preserve">[Replace with new figure without ROV transects, showing AUV 250x250 m grid and randomly selected cells]</w:t>
      </w:r>
      <w:r>
        <w:t xml:space="preserve">.</w:t>
      </w:r>
    </w:p>
    <w:p>
      <w:r>
        <w:br w:type="page"/>
      </w:r>
    </w:p>
    <w:p>
      <w:pPr>
        <w:pStyle w:val="BodyText"/>
      </w:pPr>
      <w:r>
        <w:rPr>
          <w:b/>
        </w:rPr>
        <w:t xml:space="preserve">Figure 2.</w:t>
      </w:r>
      <w:r>
        <w:t xml:space="preserve"> </w:t>
      </w:r>
      <w:r>
        <w:t xml:space="preserve">Locations of ROV, SUB, and AUV transects at the Footprint and Piggy Bank.</w:t>
      </w:r>
    </w:p>
    <w:p>
      <w:r>
        <w:br w:type="page"/>
      </w:r>
    </w:p>
    <w:p>
      <w:pPr>
        <w:pStyle w:val="Heading1"/>
      </w:pPr>
      <w:bookmarkStart w:id="62" w:name="literature-cited"/>
      <w:r>
        <w:t xml:space="preserve">Literature cited</w:t>
      </w:r>
      <w:bookmarkEnd w:id="62"/>
    </w:p>
    <w:bookmarkStart w:id="65" w:name="refs"/>
    <w:bookmarkStart w:id="63" w:name="ref-Greene1999"/>
    <w:p>
      <w:pPr>
        <w:pStyle w:val="Bibliography"/>
      </w:pPr>
      <w:r>
        <w:t xml:space="preserve">Greene, H. G., Yoklavich, M. M., Starr, R. M., O’Connell, V. M., Wakefield, W. W., Sullivan, D. E., and McRea, J.</w:t>
      </w:r>
      <w:r>
        <w:t xml:space="preserve"> </w:t>
      </w:r>
      <w:r>
        <w:rPr>
          <w:i/>
        </w:rPr>
        <w:t xml:space="preserve">et al.</w:t>
      </w:r>
      <w:r>
        <w:t xml:space="preserve"> </w:t>
      </w:r>
      <w:r>
        <w:t xml:space="preserve">1999. A classification scheme for deep seafloor habitats. Oceanologica Acta, 22: 663–678.</w:t>
      </w:r>
    </w:p>
    <w:bookmarkEnd w:id="63"/>
    <w:bookmarkStart w:id="64" w:name="ref-Stierhoff2016"/>
    <w:p>
      <w:pPr>
        <w:pStyle w:val="Bibliography"/>
      </w:pPr>
      <w:r>
        <w:t xml:space="preserve">Stierhoff, K., Murfin, D. W., Demer, D., Mau, S. A., and Pinkard-Meier, D. R. 2016. Improving the estimations of transect length and width for underwater visual surveys of targets on or near the seabed. ICES Journal of Marine Science, 73: 2729–2736.</w:t>
      </w:r>
    </w:p>
    <w:bookmarkEnd w:id="64"/>
    <w:bookmarkEnd w:id="65"/>
    <w:sectPr w:rsidR="00C528CB" w:rsidSect="0053325A">
      <w:footerReference w:type="default" r:id="rId9"/>
      <w:pgSz w:w="12240" w:h="15840"/>
      <w:pgMar w:top="1440" w:right="1080" w:bottom="1440" w:left="108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6476324"/>
      <w:docPartObj>
        <w:docPartGallery w:val="Page Numbers (Bottom of Page)"/>
        <w:docPartUnique/>
      </w:docPartObj>
    </w:sdtPr>
    <w:sdtEndPr>
      <w:rPr>
        <w:noProof/>
      </w:rPr>
    </w:sdtEndPr>
    <w:sdtContent>
      <w:p w:rsidR="00652877" w:rsidRDefault="00652877">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rsidR="00652877" w:rsidRDefault="0065287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4CE14A5"/>
    <w:multiLevelType w:val="multilevel"/>
    <w:tmpl w:val="B1F473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5A0C6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69E003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10801F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07C5FD2"/>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2EF03B9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9322C2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CA049C6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8D4C14C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A3EE4F14"/>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F4C8624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A6ACB9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B0D1CC7"/>
    <w:multiLevelType w:val="multilevel"/>
    <w:tmpl w:val="AA8E81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3" w15:restartNumberingAfterBreak="0">
    <w:nsid w:val="64011DB9"/>
    <w:multiLevelType w:val="multilevel"/>
    <w:tmpl w:val="6D48E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46673c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3"/>
  </w:num>
  <w:num w:numId="4">
    <w:abstractNumId w:val="13"/>
  </w:num>
  <w:num w:numId="5">
    <w:abstractNumId w:val="13"/>
  </w:num>
  <w:num w:numId="6">
    <w:abstractNumId w:val="1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3"/>
  </w:num>
  <w:num w:numId="9">
    <w:abstractNumId w:val="11"/>
  </w:num>
  <w:num w:numId="10">
    <w:abstractNumId w:val="9"/>
  </w:num>
  <w:num w:numId="11">
    <w:abstractNumId w:val="8"/>
  </w:num>
  <w:num w:numId="12">
    <w:abstractNumId w:val="7"/>
  </w:num>
  <w:num w:numId="13">
    <w:abstractNumId w:val="6"/>
  </w:num>
  <w:num w:numId="14">
    <w:abstractNumId w:val="10"/>
  </w:num>
  <w:num w:numId="15">
    <w:abstractNumId w:val="5"/>
  </w:num>
  <w:num w:numId="16">
    <w:abstractNumId w:val="4"/>
  </w:num>
  <w:num w:numId="17">
    <w:abstractNumId w:val="3"/>
  </w:num>
  <w:num w:numId="18">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B5C2D"/>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2B5C2D"/>
    <w:pPr>
      <w:keepNext/>
      <w:keepLines/>
      <w:spacing w:before="200" w:after="0"/>
      <w:outlineLvl w:val="1"/>
    </w:pPr>
    <w:rPr>
      <w:rFonts w:eastAsiaTheme="majorEastAsia" w:cstheme="majorBidi"/>
      <w:b/>
      <w:bCs/>
      <w:sz w:val="28"/>
      <w:szCs w:val="32"/>
    </w:rPr>
  </w:style>
  <w:style w:type="paragraph" w:styleId="Heading3">
    <w:name w:val="heading 3"/>
    <w:basedOn w:val="Normal"/>
    <w:next w:val="BodyText"/>
    <w:uiPriority w:val="9"/>
    <w:unhideWhenUsed/>
    <w:qFormat/>
    <w:rsid w:val="002B5C2D"/>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2B5C2D"/>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A5E7A"/>
    <w:pPr>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A5E7A"/>
  </w:style>
  <w:style w:type="paragraph" w:styleId="Header">
    <w:name w:val="header"/>
    <w:basedOn w:val="Normal"/>
    <w:link w:val="HeaderChar"/>
    <w:unhideWhenUsed/>
    <w:rsid w:val="00652877"/>
    <w:pPr>
      <w:tabs>
        <w:tab w:val="center" w:pos="4680"/>
        <w:tab w:val="right" w:pos="9360"/>
      </w:tabs>
      <w:spacing w:after="0"/>
    </w:pPr>
  </w:style>
  <w:style w:type="character" w:customStyle="1" w:styleId="HeaderChar">
    <w:name w:val="Header Char"/>
    <w:basedOn w:val="DefaultParagraphFont"/>
    <w:link w:val="Header"/>
    <w:rsid w:val="00652877"/>
  </w:style>
  <w:style w:type="paragraph" w:styleId="Footer">
    <w:name w:val="footer"/>
    <w:basedOn w:val="Normal"/>
    <w:link w:val="FooterChar"/>
    <w:uiPriority w:val="99"/>
    <w:unhideWhenUsed/>
    <w:rsid w:val="00652877"/>
    <w:pPr>
      <w:tabs>
        <w:tab w:val="center" w:pos="4680"/>
        <w:tab w:val="right" w:pos="9360"/>
      </w:tabs>
      <w:spacing w:after="0"/>
    </w:pPr>
  </w:style>
  <w:style w:type="character" w:customStyle="1" w:styleId="FooterChar">
    <w:name w:val="Footer Char"/>
    <w:basedOn w:val="DefaultParagraphFont"/>
    <w:link w:val="Footer"/>
    <w:uiPriority w:val="99"/>
    <w:rsid w:val="00652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4670</Words>
  <Characters>26621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2018-03-22T21:40:15Z</dcterms:created>
  <dcterms:modified xsi:type="dcterms:W3CDTF">2018-03-22T21:40:15Z</dcterms:modified>
</cp:coreProperties>
</file>