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4.png" ContentType="image/png"/>
  <Override PartName="/word/media/image7.png" ContentType="image/png"/>
  <Override PartName="/word/media/image9.png" ContentType="image/png"/>
  <Override PartName="/word/media/image6.png" ContentType="image/png"/>
  <Override PartName="/word/media/image8.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White</w:t>
      </w:r>
      <w:r>
        <w:t xml:space="preserve"> </w:t>
      </w:r>
      <w:r>
        <w:t xml:space="preserve">Abalone</w:t>
      </w:r>
      <w:r>
        <w:t xml:space="preserve"> </w:t>
      </w:r>
      <w:r>
        <w:t xml:space="preserve">Research</w:t>
      </w:r>
      <w:r>
        <w:t xml:space="preserve"> </w:t>
      </w:r>
      <w:r>
        <w:t xml:space="preserve">Plan</w:t>
      </w:r>
    </w:p>
    <w:p>
      <w:pPr>
        <w:pStyle w:val="Author"/>
      </w:pPr>
      <w:r>
        <w:t xml:space="preserve">Kevin</w:t>
      </w:r>
      <w:r>
        <w:t xml:space="preserve"> </w:t>
      </w:r>
      <w:r>
        <w:t xml:space="preserve">L.</w:t>
      </w:r>
      <w:r>
        <w:t xml:space="preserve"> </w:t>
      </w:r>
      <w:r>
        <w:t xml:space="preserve">Stierhoff</w:t>
      </w:r>
    </w:p>
    <w:p>
      <w:pPr>
        <w:pStyle w:val="Date"/>
      </w:pPr>
      <w:r>
        <w:t xml:space="preserve">25</w:t>
      </w:r>
      <w:r>
        <w:t xml:space="preserve"> </w:t>
      </w:r>
      <w:r>
        <w:t xml:space="preserve">October</w:t>
      </w:r>
      <w:r>
        <w:t xml:space="preserve"> </w:t>
      </w:r>
      <w:r>
        <w:t xml:space="preserve">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xecutive-summary"/>
      <w:bookmarkEnd w:id="21"/>
      <w:r>
        <w:t xml:space="preserve">Executive Summary</w:t>
      </w:r>
    </w:p>
    <w:p>
      <w:pPr>
        <w:pStyle w:val="FirstParagraph"/>
      </w:pPr>
      <w:r>
        <w:rPr>
          <w:b/>
        </w:rPr>
        <w:t xml:space="preserve">TBD</w:t>
      </w:r>
    </w:p>
    <w:p>
      <w:pPr>
        <w:pStyle w:val="Heading1"/>
      </w:pPr>
      <w:bookmarkStart w:id="22" w:name="introduction"/>
      <w:bookmarkEnd w:id="22"/>
      <w:r>
        <w:t xml:space="preserve">Introduction</w:t>
      </w:r>
    </w:p>
    <w:p>
      <w:pPr>
        <w:pStyle w:val="FirstParagraph"/>
      </w:pPr>
      <w:r>
        <w:t xml:space="preserve">This research plan describes the research activities to be undertaken by researchers in the Advanced Survey Technologies (AST) Group at NOAA's Southwest Fisheries Science Center as they pertain to the recovery of endangered white abalone (</w:t>
      </w:r>
      <w:r>
        <w:rPr>
          <w:i/>
        </w:rPr>
        <w:t xml:space="preserve">Haliotis sorenseni</w:t>
      </w:r>
      <w:r>
        <w:t xml:space="preserve">) throughout historic geographic range. Within NOAA, the AST Group has unique expertise and technological capabilities in the areas of underwater optics and acoustics that was developed, in part, to monitor white abalone populations at depths beyond which SCUBA and other methods were ineffective, inefficient, or unsafe.</w:t>
      </w:r>
      <w:r>
        <w:t xml:space="preserve"> </w:t>
      </w:r>
      <w:r>
        <w:rPr>
          <w:b/>
        </w:rPr>
        <w:t xml:space="preserve">It provides an overview of the history of white abalone fisheries, the current status of their populations, threats to recovery, and ...</w:t>
      </w:r>
    </w:p>
    <w:p>
      <w:pPr>
        <w:pStyle w:val="Heading1"/>
      </w:pPr>
      <w:bookmarkStart w:id="23" w:name="background-and-purpose"/>
      <w:bookmarkEnd w:id="23"/>
      <w:r>
        <w:t xml:space="preserve">Background and purpose</w:t>
      </w:r>
    </w:p>
    <w:p>
      <w:pPr>
        <w:pStyle w:val="Heading2"/>
      </w:pPr>
      <w:bookmarkStart w:id="24" w:name="population-status"/>
      <w:bookmarkEnd w:id="24"/>
      <w:r>
        <w:t xml:space="preserve">Population status</w:t>
      </w:r>
    </w:p>
    <w:p>
      <w:pPr>
        <w:pStyle w:val="FirstParagraph"/>
      </w:pPr>
      <w:r>
        <w:t xml:space="preserve">White abalone were historically found between Point Conception, CA (USA) and Punta Abreojos, Baja California (Mexico). They are among the deepest occurring abalone species in California (5–50m depth), with major concentrations having occurred between 25 and 30 m</w:t>
      </w:r>
      <w:r>
        <w:t xml:space="preserve"> </w:t>
      </w:r>
      <w:r>
        <w:t xml:space="preserve">(Tegner, 1989)</w:t>
      </w:r>
      <w:r>
        <w:t xml:space="preserve">. White abalone are estimated to live up to 35 years</w:t>
      </w:r>
      <w:r>
        <w:t xml:space="preserve"> </w:t>
      </w:r>
      <w:r>
        <w:t xml:space="preserve">(Tutschulte and Connell, 1988)</w:t>
      </w:r>
      <w:r>
        <w:t xml:space="preserve">, and their longevity has been validated to be as great as 27 years using bomb radiocarbon dating</w:t>
      </w:r>
      <w:r>
        <w:t xml:space="preserve"> </w:t>
      </w:r>
      <w:r>
        <w:t xml:space="preserve">(Andrews</w:t>
      </w:r>
      <w:r>
        <w:t xml:space="preserve"> </w:t>
      </w:r>
      <w:r>
        <w:rPr>
          <w:i/>
        </w:rPr>
        <w:t xml:space="preserve">et al.</w:t>
      </w:r>
      <w:r>
        <w:t xml:space="preserve">, 2013)</w:t>
      </w:r>
      <w:r>
        <w:t xml:space="preserve">. Like other abalone species, the recruitment of white abalone may be episodic</w:t>
      </w:r>
      <w:r>
        <w:t xml:space="preserve"> </w:t>
      </w:r>
      <w:r>
        <w:t xml:space="preserve">(McShane and Naylor, 1996)</w:t>
      </w:r>
      <w:r>
        <w:t xml:space="preserve">. White abalone once supported a brief commercial fishery in North America, but by the mid-1980s, landings fell to near zero and the commercial fishery was closed in 1997</w:t>
      </w:r>
      <w:r>
        <w:t xml:space="preserve"> </w:t>
      </w:r>
      <w:r>
        <w:t xml:space="preserve">(Hobday</w:t>
      </w:r>
      <w:r>
        <w:t xml:space="preserve"> </w:t>
      </w:r>
      <w:r>
        <w:rPr>
          <w:i/>
        </w:rPr>
        <w:t xml:space="preserve">et al.</w:t>
      </w:r>
      <w:r>
        <w:t xml:space="preserve">, 2001)</w:t>
      </w:r>
      <w:r>
        <w:t xml:space="preserve">. The white abalone fishery in Mexico appears to have collapsed in the 1960s</w:t>
      </w:r>
      <w:r>
        <w:t xml:space="preserve"> </w:t>
      </w:r>
      <w:r>
        <w:t xml:space="preserve">(Shepherd</w:t>
      </w:r>
      <w:r>
        <w:t xml:space="preserve"> </w:t>
      </w:r>
      <w:r>
        <w:rPr>
          <w:i/>
        </w:rPr>
        <w:t xml:space="preserve">et al.</w:t>
      </w:r>
      <w:r>
        <w:t xml:space="preserve">, 1998)</w:t>
      </w:r>
      <w:r>
        <w:t xml:space="preserve">. Despite fishery closures, white abalone abundance continued to decline through the 1990s and as a result, white abalone became the first marine invertebrate to be listed as endangered throughout its range under the Endangered Species Act (ESA) in 2001</w:t>
      </w:r>
      <w:r>
        <w:t xml:space="preserve"> </w:t>
      </w:r>
      <w:r>
        <w:t xml:space="preserve">(National Marine Fisheries Service, 2001)</w:t>
      </w:r>
      <w:r>
        <w:t xml:space="preserve">. A formal status review concluded that the species’ abundance was greatly reduced due to overharvesting during the 1970s and that remnant populations showed no sign of recovery following the closure of the fishery</w:t>
      </w:r>
      <w:r>
        <w:t xml:space="preserve"> </w:t>
      </w:r>
      <w:r>
        <w:t xml:space="preserve">(Hobday and Tegner, 2000)</w:t>
      </w:r>
      <w:r>
        <w:t xml:space="preserve">. It is believed that no significant recruitment has occurred since the 1960s</w:t>
      </w:r>
      <w:r>
        <w:t xml:space="preserve"> </w:t>
      </w:r>
      <w:r>
        <w:t xml:space="preserve">(Davis</w:t>
      </w:r>
      <w:r>
        <w:t xml:space="preserve"> </w:t>
      </w:r>
      <w:r>
        <w:rPr>
          <w:i/>
        </w:rPr>
        <w:t xml:space="preserve">et al.</w:t>
      </w:r>
      <w:r>
        <w:t xml:space="preserve">, 1996; Hobday and Tegner, 2000)</w:t>
      </w:r>
      <w:r>
        <w:t xml:space="preserve"> </w:t>
      </w:r>
      <w:r>
        <w:t xml:space="preserve">and that the substantial reduction in white abalone densities has contributed to this decrease in reproductive success through an Allee effect</w:t>
      </w:r>
      <w:r>
        <w:t xml:space="preserve"> </w:t>
      </w:r>
      <w:r>
        <w:t xml:space="preserve">(Allee, 1931; Berec</w:t>
      </w:r>
      <w:r>
        <w:t xml:space="preserve"> </w:t>
      </w:r>
      <w:r>
        <w:rPr>
          <w:i/>
        </w:rPr>
        <w:t xml:space="preserve">et al.</w:t>
      </w:r>
      <w:r>
        <w:t xml:space="preserve">, 2007)</w:t>
      </w:r>
      <w:r>
        <w:t xml:space="preserve">. Limited information on movement patterns suggests that the more sedentary behavior of white abalone compared to green and pink abalone make it unlikely that recovery of locally extirpated or depleted populations could occur through immigration or aggregation, respectively</w:t>
      </w:r>
      <w:r>
        <w:t xml:space="preserve"> </w:t>
      </w:r>
      <w:r>
        <w:t xml:space="preserve">(Hobday and Tegner, 2000; Tutschulte, 1976)</w:t>
      </w:r>
      <w:r>
        <w:t xml:space="preserve">. Monitoring of wild white abalone has confirmed that populations continue to decline in some areas and that the wild population is at high risk of extinction</w:t>
      </w:r>
      <w:r>
        <w:t xml:space="preserve"> </w:t>
      </w:r>
      <w:r>
        <w:t xml:space="preserve">(Butler</w:t>
      </w:r>
      <w:r>
        <w:t xml:space="preserve"> </w:t>
      </w:r>
      <w:r>
        <w:rPr>
          <w:i/>
        </w:rPr>
        <w:t xml:space="preserve">et al.</w:t>
      </w:r>
      <w:r>
        <w:t xml:space="preserve">, 2006; Stierhoff</w:t>
      </w:r>
      <w:r>
        <w:t xml:space="preserve"> </w:t>
      </w:r>
      <w:r>
        <w:rPr>
          <w:i/>
        </w:rPr>
        <w:t xml:space="preserve">et al.</w:t>
      </w:r>
      <w:r>
        <w:t xml:space="preserve">, 2014a, 2012)</w:t>
      </w:r>
      <w:r>
        <w:t xml:space="preserve">. Given the continued decline following protection, recent efforts have focused on the development and expansion of captive breeding programs by NMFS and its partner institutions to hopefully restore wild white abalone densities to levels that are self-sustaining.</w:t>
      </w:r>
    </w:p>
    <w:p>
      <w:pPr>
        <w:pStyle w:val="Heading2"/>
      </w:pPr>
      <w:bookmarkStart w:id="25" w:name="threats"/>
      <w:bookmarkEnd w:id="25"/>
      <w:r>
        <w:t xml:space="preserve">Threats</w:t>
      </w:r>
    </w:p>
    <w:p>
      <w:pPr>
        <w:pStyle w:val="FirstParagraph"/>
      </w:pPr>
      <w:r>
        <w:t xml:space="preserve">Loss and destruction of habitat, disease, predation, illegal harvest, and inadequate enforcement are all potential threats and impediments to white abalone recovery. However, the White Abalone Recovery Plan</w:t>
      </w:r>
      <w:r>
        <w:t xml:space="preserve"> </w:t>
      </w:r>
      <w:r>
        <w:t xml:space="preserve">(hereafter, Recovery Plan; National Marine Fisheries Service, 2008)</w:t>
      </w:r>
      <w:r>
        <w:t xml:space="preserve"> </w:t>
      </w:r>
      <w:r>
        <w:t xml:space="preserve">states that the most significant threat to white abalone recovery relates to the residual effects low population density on their continued reproduction and survival.</w:t>
      </w:r>
    </w:p>
    <w:p>
      <w:pPr>
        <w:pStyle w:val="Heading2"/>
      </w:pPr>
      <w:bookmarkStart w:id="26" w:name="recovery"/>
      <w:bookmarkEnd w:id="26"/>
      <w:r>
        <w:t xml:space="preserve">Recovery</w:t>
      </w:r>
    </w:p>
    <w:p>
      <w:pPr>
        <w:pStyle w:val="FirstParagraph"/>
      </w:pPr>
      <w:r>
        <w:t xml:space="preserve">Even if limited natural recruitment of white abalone is occurring, it is happening too slowly to give the species the foothold it needs to weather future threats and be viable over the long-term. The best way to safeguard white abalone against extinction is a captive breeding program aiming to produce young abalone. These captive-raised animals can enhance wild populations to the point that densities are boosted enough to sustain healthy and prolific populations. This enhancement may occur as a variety of approaches aimed at increasing abundance and reproductive success of white abalone in the wild by placement of these captive bred individuals (outplanting) in currently unoccupied areas or groups of wild abalone and captive bred abalone. Continued monitoring of wild white abalone and their habitat must occur at the same time as captive breeding in order to identify habitats best-suited for future enhancement efforts and to track species’ status over time.</w:t>
      </w:r>
    </w:p>
    <w:p>
      <w:pPr>
        <w:pStyle w:val="BodyText"/>
      </w:pPr>
      <w:r>
        <w:t xml:space="preserve">The White Abalone Recovery Plan aims to ensure the recovery of the white abalone population throughout its range (in both the US and Mexico), defined as the establishment of self-sustaining populations based on threshold densities, minimum population size, size frequency distributions, population trends, and spatial distribution</w:t>
      </w:r>
      <w:r>
        <w:t xml:space="preserve"> </w:t>
      </w:r>
      <w:r>
        <w:t xml:space="preserve">(see details in National Marine Fisheries Service, 2008)</w:t>
      </w:r>
      <w:r>
        <w:t xml:space="preserve">. It is important to note that this definition of white abalone recovery may not necessarily support a fishery.</w:t>
      </w:r>
    </w:p>
    <w:p>
      <w:pPr>
        <w:pStyle w:val="Heading1"/>
      </w:pPr>
      <w:bookmarkStart w:id="27" w:name="national-priorities-for-white-abalone-research"/>
      <w:bookmarkEnd w:id="27"/>
      <w:r>
        <w:t xml:space="preserve">National priorities for white abalone research</w:t>
      </w:r>
    </w:p>
    <w:p>
      <w:pPr>
        <w:pStyle w:val="Heading2"/>
      </w:pPr>
      <w:bookmarkStart w:id="28" w:name="white-abalone-recovery-plan"/>
      <w:bookmarkEnd w:id="28"/>
      <w:r>
        <w:t xml:space="preserve">White Abalone Recovery Plan</w:t>
      </w:r>
    </w:p>
    <w:p>
      <w:pPr>
        <w:pStyle w:val="FirstParagraph"/>
      </w:pPr>
      <w:r>
        <w:t xml:space="preserve">In 2008, NOAA finalized the Recovery Plan</w:t>
      </w:r>
      <w:r>
        <w:t xml:space="preserve"> </w:t>
      </w:r>
      <w:r>
        <w:t xml:space="preserve">(National Marine Fisheries Service, 2008)</w:t>
      </w:r>
      <w:r>
        <w:t xml:space="preserve">. That document describes the status of the species, goals for recovery throughout its range, and the recommendd strategy to achieve recovery, including:</w:t>
      </w:r>
    </w:p>
    <w:p>
      <w:pPr>
        <w:pStyle w:val="Compact"/>
        <w:numPr>
          <w:numId w:val="1001"/>
          <w:ilvl w:val="0"/>
        </w:numPr>
      </w:pPr>
      <w:r>
        <w:rPr>
          <w:b/>
        </w:rPr>
        <w:t xml:space="preserve">Assess and monitor subpopulations of white abalone in the wild in cooperation with the state of California, other federal agencies, private organizations and the Mexican government</w:t>
      </w:r>
      <w:r>
        <w:t xml:space="preserve">,</w:t>
      </w:r>
    </w:p>
    <w:p>
      <w:pPr>
        <w:pStyle w:val="Compact"/>
        <w:numPr>
          <w:numId w:val="1001"/>
          <w:ilvl w:val="0"/>
        </w:numPr>
      </w:pPr>
      <w:r>
        <w:rPr>
          <w:b/>
        </w:rPr>
        <w:t xml:space="preserve">Identify and characterize existing and potential white abalone habitat through acoustic remote sensing technology</w:t>
      </w:r>
      <w:r>
        <w:t xml:space="preserve">,</w:t>
      </w:r>
    </w:p>
    <w:p>
      <w:pPr>
        <w:pStyle w:val="Compact"/>
        <w:numPr>
          <w:numId w:val="1001"/>
          <w:ilvl w:val="0"/>
        </w:numPr>
      </w:pPr>
      <w:r>
        <w:t xml:space="preserve">Protect white abalone populations and their habitat in the wild,</w:t>
      </w:r>
    </w:p>
    <w:p>
      <w:pPr>
        <w:pStyle w:val="Compact"/>
        <w:numPr>
          <w:numId w:val="1001"/>
          <w:ilvl w:val="0"/>
        </w:numPr>
      </w:pPr>
      <w:r>
        <w:t xml:space="preserve">Continue and expand a captive propagation and enhancement program for white abalone in California, and</w:t>
      </w:r>
    </w:p>
    <w:p>
      <w:pPr>
        <w:pStyle w:val="Compact"/>
        <w:numPr>
          <w:numId w:val="1001"/>
          <w:ilvl w:val="0"/>
        </w:numPr>
      </w:pPr>
      <w:r>
        <w:t xml:space="preserve">Develop enforcement, public outreach and education plans. 6. Secure financial support for white abalone recovery.</w:t>
      </w:r>
    </w:p>
    <w:p>
      <w:pPr>
        <w:pStyle w:val="FirstParagraph"/>
      </w:pPr>
      <w:r>
        <w:t xml:space="preserve">Of those, the Advanced Survey Technologies (AST) Group (and formerly the Benthic Resources Group) at the SWFSC and its partners have been contributing primarily to Items 1 and 2 using visual and acoustic surveys. Recently, members of AST have contributed to Item 4 by using technical SCUBA diving expertise to collect isolated white abalone in deep-water habitats to augment the brood stock used for captive breeding by the Genetics, Physiology, and Aquaculture Group at the SWFSC and its partner institutions throughout CA.</w:t>
      </w:r>
    </w:p>
    <w:p>
      <w:pPr>
        <w:pStyle w:val="Heading2"/>
      </w:pPr>
      <w:bookmarkStart w:id="29" w:name="species-in-the-spotlight"/>
      <w:bookmarkEnd w:id="29"/>
      <w:r>
        <w:t xml:space="preserve">Species in the Spotlight</w:t>
      </w:r>
    </w:p>
    <w:p>
      <w:pPr>
        <w:pStyle w:val="FirstParagraph"/>
      </w:pPr>
      <w:r>
        <w:t xml:space="preserve">NOAA's</w:t>
      </w:r>
      <w:r>
        <w:t xml:space="preserve"> </w:t>
      </w:r>
      <w:hyperlink r:id="rId30">
        <w:r>
          <w:rPr>
            <w:rStyle w:val="Hyperlink"/>
          </w:rPr>
          <w:t xml:space="preserve">Species in the Spotlight</w:t>
        </w:r>
      </w:hyperlink>
      <w:r>
        <w:t xml:space="preserve"> </w:t>
      </w:r>
      <w:r>
        <w:t xml:space="preserve">initiative is part of a strategy to marshal resources on species listed under the Endangered Species Act of 1973 (ESA) for which immediate, targeted efforts are vital for stabilizing their populations and preventing their extinction. Eight species were identified by the National Marine Fisheries Service (NMFS) as among the most at-risk of extinction, including</w:t>
      </w:r>
      <w:r>
        <w:t xml:space="preserve"> </w:t>
      </w:r>
      <w:hyperlink r:id="rId31">
        <w:r>
          <w:rPr>
            <w:rStyle w:val="Hyperlink"/>
          </w:rPr>
          <w:t xml:space="preserve">white abalone</w:t>
        </w:r>
      </w:hyperlink>
      <w:r>
        <w:t xml:space="preserve">.</w:t>
      </w:r>
    </w:p>
    <w:p>
      <w:pPr>
        <w:pStyle w:val="BodyText"/>
      </w:pPr>
      <w:r>
        <w:t xml:space="preserve">These species were identified as most at-risk of extinction based on three criteria (1) endangered listing, (2) declining populations, and (3) are considered a recovery priority #1</w:t>
      </w:r>
      <w:r>
        <w:rPr>
          <w:rStyle w:val="FootnoteReference"/>
        </w:rPr>
        <w:footnoteReference w:id="32"/>
      </w:r>
      <w:r>
        <w:t xml:space="preserve"> </w:t>
      </w:r>
      <w:r>
        <w:t xml:space="preserve">. We know the threats facing these species and understand the management actions we can take that will have a high probability of success. The</w:t>
      </w:r>
      <w:r>
        <w:t xml:space="preserve"> </w:t>
      </w:r>
      <w:hyperlink r:id="rId33">
        <w:r>
          <w:rPr>
            <w:rStyle w:val="Hyperlink"/>
          </w:rPr>
          <w:t xml:space="preserve">5-Year Action Plan actions</w:t>
        </w:r>
      </w:hyperlink>
      <w:r>
        <w:t xml:space="preserve"> </w:t>
      </w:r>
      <w:r>
        <w:t xml:space="preserve">builds upon existing recovery or conservation plans and details the focused efforts needed over the next 5 years to reduce threats and stabilize population declines. We will engage our partners in the public and private sectors in actions they can take to support this important effort. We will report on our progress through the Biennial Report to Congress and post updates on our</w:t>
      </w:r>
      <w:r>
        <w:t xml:space="preserve"> </w:t>
      </w:r>
      <w:hyperlink r:id="rId34">
        <w:r>
          <w:rPr>
            <w:rStyle w:val="Hyperlink"/>
          </w:rPr>
          <w:t xml:space="preserve">website</w:t>
        </w:r>
      </w:hyperlink>
      <w:r>
        <w:t xml:space="preserve">. This strategy will guide agency actions where we have the discretion to make critical investments to safeguard these most endangered species. The strategy will not divert resources away from the important and continued efforts to support all ESA-listed species under our authority. Many of our species have long-standing conservation programs supported by multiple partners. We remain committed to those programs. This action plan is designed to highlight the actions that can be taken by us, other federal and state resource agencies, environmental organizations, Native American Tribes and other partners to turn the trend around for this species from a declining trajectory to a trajectory towards recovery.</w:t>
      </w:r>
    </w:p>
    <w:p>
      <w:pPr>
        <w:pStyle w:val="Heading1"/>
      </w:pPr>
      <w:bookmarkStart w:id="35" w:name="southwest-fisheries-science-center-priorities"/>
      <w:bookmarkEnd w:id="35"/>
      <w:r>
        <w:t xml:space="preserve">Southwest Fisheries Science Center Priorities</w:t>
      </w:r>
    </w:p>
    <w:p>
      <w:pPr>
        <w:pStyle w:val="FirstParagraph"/>
      </w:pPr>
      <w:r>
        <w:t xml:space="preserve">The FY18 Strategic Plan outlined by the SWFSC places a high priority on research related to white abalone habitat and population assessment; captive breeding and stock enhancement; and overall recovery of this ESA-listed species in collaboration with various outside agencies including the US Navy, CICESE, and academic partners. This emphasis is in-part due to the selection of white abalone as one of eight Species in the Spotlight.</w:t>
      </w:r>
    </w:p>
    <w:p>
      <w:pPr>
        <w:pStyle w:val="Heading1"/>
      </w:pPr>
      <w:bookmarkStart w:id="36" w:name="research-themes"/>
      <w:bookmarkEnd w:id="36"/>
      <w:r>
        <w:t xml:space="preserve">Research themes</w:t>
      </w:r>
    </w:p>
    <w:p>
      <w:pPr>
        <w:pStyle w:val="FirstParagraph"/>
      </w:pPr>
      <w:r>
        <w:rPr>
          <w:b/>
        </w:rPr>
        <w:t xml:space="preserve">OVERVIEW OF OF RESEARCH THEMES</w:t>
      </w:r>
    </w:p>
    <w:p>
      <w:pPr>
        <w:pStyle w:val="Heading2"/>
      </w:pPr>
      <w:bookmarkStart w:id="37" w:name="research-theme-1---remotely-operated-vehicle-operations"/>
      <w:bookmarkEnd w:id="37"/>
      <w:r>
        <w:t xml:space="preserve">Research theme 1 - Remotely operated vehicle operations</w:t>
      </w:r>
    </w:p>
    <w:p>
      <w:pPr>
        <w:pStyle w:val="FirstParagraph"/>
      </w:pPr>
      <w:r>
        <w:t xml:space="preserve">The Recovery Plan identifies several critical actions to aid the recovery of this endangered species, two of which have been research foci since 2001: 1) assess and monitor wild subpopulations in cooperation with state, Federal, and international partners; 2) identify and characterize existing and potential white abalone habitat. White abalone have the deepest depth distribution of all abalone species in California</w:t>
      </w:r>
      <w:r>
        <w:t xml:space="preserve"> </w:t>
      </w:r>
      <w:r>
        <w:t xml:space="preserve">(Leighton, 2000)</w:t>
      </w:r>
      <w:r>
        <w:t xml:space="preserve"> </w:t>
      </w:r>
      <w:r>
        <w:rPr>
          <w:b/>
        </w:rPr>
        <w:t xml:space="preserve">(Hobday, others)</w:t>
      </w:r>
      <w:r>
        <w:t xml:space="preserve">, occurring at the highest density between 30 and 60 m. The deep distribution of white abalone habitat poses logistical challenges to sampling using traditional visual survey methods such as SCUBA, which is constrained by depth and bottom-time restrictions. For this reason, remote sensing technologies, primarily remotely operated vehicles (ROVs) and active acoustic sensors, have been developed and/or used by scientists at the SWFSC and their partners to conduct this research.</w:t>
      </w:r>
    </w:p>
    <w:p>
      <w:pPr>
        <w:pStyle w:val="Heading3"/>
      </w:pPr>
      <w:bookmarkStart w:id="38" w:name="research-foci-for-theme-1"/>
      <w:bookmarkEnd w:id="38"/>
      <w:r>
        <w:t xml:space="preserve">Research foci for Theme 1</w:t>
      </w:r>
    </w:p>
    <w:p>
      <w:pPr>
        <w:pStyle w:val="Heading4"/>
      </w:pPr>
      <w:bookmarkStart w:id="39" w:name="demography-of-deep-water-populations-in-historically-imporant-areas"/>
      <w:bookmarkEnd w:id="39"/>
      <w:r>
        <w:t xml:space="preserve">Demography of deep-water populations in historically imporant areas</w:t>
      </w:r>
    </w:p>
    <w:p>
      <w:pPr>
        <w:pStyle w:val="FirstParagraph"/>
      </w:pPr>
      <w:r>
        <w:t xml:space="preserve">The SWFSC and its partners have used ROVs to survey white abalone at a number of historically important locations throughout the Southern California Bight (SCB) since 2000 (</w:t>
      </w:r>
      <w:r>
        <w:rPr>
          <w:b/>
        </w:rPr>
        <w:t xml:space="preserve">Table: Survey site summary</w:t>
      </w:r>
      <w:r>
        <w:rPr>
          <w:b/>
        </w:rPr>
        <w:t xml:space="preserve"> </w:t>
      </w:r>
      <w:r>
        <w:t xml:space="preserve">). Monitoring effort has been greatest at Tanner Bank, San Clemente Island, Santa Catalina Island, and Cortes Banks and has produced estimates of population size, size distribution, and seabed habitat at those sites</w:t>
      </w:r>
      <w:r>
        <w:t xml:space="preserve"> </w:t>
      </w:r>
      <w:r>
        <w:t xml:space="preserve">(Butler</w:t>
      </w:r>
      <w:r>
        <w:t xml:space="preserve"> </w:t>
      </w:r>
      <w:r>
        <w:rPr>
          <w:i/>
        </w:rPr>
        <w:t xml:space="preserve">et al.</w:t>
      </w:r>
      <w:r>
        <w:t xml:space="preserve">, 2006; Stierhoff</w:t>
      </w:r>
      <w:r>
        <w:t xml:space="preserve"> </w:t>
      </w:r>
      <w:r>
        <w:rPr>
          <w:i/>
        </w:rPr>
        <w:t xml:space="preserve">et al.</w:t>
      </w:r>
      <w:r>
        <w:t xml:space="preserve">, 2014a, 2012, 2014b)</w:t>
      </w:r>
      <w:r>
        <w:t xml:space="preserve">. Monitoring has focused primarily on the white abalone population Tanner Bank, which had the greatest density and largest estimated population size based on early surveys</w:t>
      </w:r>
      <w:r>
        <w:t xml:space="preserve"> </w:t>
      </w:r>
      <w:r>
        <w:t xml:space="preserve">(Butler</w:t>
      </w:r>
      <w:r>
        <w:t xml:space="preserve"> </w:t>
      </w:r>
      <w:r>
        <w:rPr>
          <w:i/>
        </w:rPr>
        <w:t xml:space="preserve">et al.</w:t>
      </w:r>
      <w:r>
        <w:t xml:space="preserve">, 2006)</w:t>
      </w:r>
      <w:r>
        <w:t xml:space="preserve">, and at San Clemente Island where commercial landings were greatest</w:t>
      </w:r>
      <w:r>
        <w:t xml:space="preserve"> </w:t>
      </w:r>
      <w:r>
        <w:t xml:space="preserve">(Hobday and Tegner, 2000; Hobday</w:t>
      </w:r>
      <w:r>
        <w:t xml:space="preserve"> </w:t>
      </w:r>
      <w:r>
        <w:rPr>
          <w:i/>
        </w:rPr>
        <w:t xml:space="preserve">et al.</w:t>
      </w:r>
      <w:r>
        <w:t xml:space="preserve">, 2001)</w:t>
      </w:r>
      <w:r>
        <w:t xml:space="preserve">.</w:t>
      </w:r>
    </w:p>
    <w:p>
      <w:pPr>
        <w:pStyle w:val="BodyText"/>
      </w:pPr>
      <w:r>
        <w:rPr>
          <w:b/>
        </w:rPr>
        <w:t xml:space="preserve">Table: Survey site summary.</w:t>
      </w:r>
      <w:r>
        <w:t xml:space="preserve"> </w:t>
      </w:r>
      <w:r>
        <w:t xml:space="preserve">A summary of remotely operated vehicle survey effort by site and year.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Survey site</w:t>
            </w:r>
          </w:p>
        </w:tc>
        <w:tc>
          <w:tcPr>
            <w:tcBorders>
              <w:bottom w:val="single"/>
            </w:tcBorders>
            <w:vAlign w:val="bottom"/>
          </w:tcPr>
          <w:p>
            <w:pPr>
              <w:pStyle w:val="Compact"/>
              <w:jc w:val="right"/>
            </w:pPr>
            <w:r>
              <w:t xml:space="preserve">Dives</w:t>
            </w:r>
          </w:p>
        </w:tc>
        <w:tc>
          <w:tcPr>
            <w:tcBorders>
              <w:bottom w:val="single"/>
            </w:tcBorders>
            <w:vAlign w:val="bottom"/>
          </w:tcPr>
          <w:p>
            <w:pPr>
              <w:pStyle w:val="Compact"/>
              <w:jc w:val="left"/>
            </w:pPr>
            <w:r>
              <w:t xml:space="preserve">Years</w:t>
            </w:r>
          </w:p>
        </w:tc>
      </w:tr>
      <w:tr>
        <w:tc>
          <w:p>
            <w:pPr>
              <w:pStyle w:val="Compact"/>
              <w:jc w:val="left"/>
            </w:pPr>
            <w:r>
              <w:t xml:space="preserve">Tanner Bank</w:t>
            </w:r>
          </w:p>
        </w:tc>
        <w:tc>
          <w:p>
            <w:pPr>
              <w:pStyle w:val="Compact"/>
              <w:jc w:val="right"/>
            </w:pPr>
            <w:r>
              <w:t xml:space="preserve">138</w:t>
            </w:r>
          </w:p>
        </w:tc>
        <w:tc>
          <w:p>
            <w:pPr>
              <w:pStyle w:val="Compact"/>
              <w:jc w:val="left"/>
            </w:pPr>
            <w:r>
              <w:t xml:space="preserve">2000, 2002, 2004, 2006, 2008, 2010, 2014</w:t>
            </w:r>
          </w:p>
        </w:tc>
      </w:tr>
      <w:tr>
        <w:tc>
          <w:p>
            <w:pPr>
              <w:pStyle w:val="Compact"/>
              <w:jc w:val="left"/>
            </w:pPr>
            <w:r>
              <w:t xml:space="preserve">San Clemente Island</w:t>
            </w:r>
          </w:p>
        </w:tc>
        <w:tc>
          <w:p>
            <w:pPr>
              <w:pStyle w:val="Compact"/>
              <w:jc w:val="right"/>
            </w:pPr>
            <w:r>
              <w:t xml:space="preserve">119</w:t>
            </w:r>
          </w:p>
        </w:tc>
        <w:tc>
          <w:p>
            <w:pPr>
              <w:pStyle w:val="Compact"/>
              <w:jc w:val="left"/>
            </w:pPr>
            <w:r>
              <w:t xml:space="preserve">2000, 2004, 2007, 2012, 2016</w:t>
            </w:r>
          </w:p>
        </w:tc>
      </w:tr>
      <w:tr>
        <w:tc>
          <w:p>
            <w:pPr>
              <w:pStyle w:val="Compact"/>
              <w:jc w:val="left"/>
            </w:pPr>
            <w:r>
              <w:t xml:space="preserve">Santa Catalina Island</w:t>
            </w:r>
          </w:p>
        </w:tc>
        <w:tc>
          <w:p>
            <w:pPr>
              <w:pStyle w:val="Compact"/>
              <w:jc w:val="right"/>
            </w:pPr>
            <w:r>
              <w:t xml:space="preserve">37</w:t>
            </w:r>
          </w:p>
        </w:tc>
        <w:tc>
          <w:p>
            <w:pPr>
              <w:pStyle w:val="Compact"/>
              <w:jc w:val="left"/>
            </w:pPr>
            <w:r>
              <w:t xml:space="preserve">2000, 2005, 2008, 2016</w:t>
            </w:r>
          </w:p>
        </w:tc>
      </w:tr>
      <w:tr>
        <w:tc>
          <w:p>
            <w:pPr>
              <w:pStyle w:val="Compact"/>
              <w:jc w:val="left"/>
            </w:pPr>
            <w:r>
              <w:t xml:space="preserve">Cortes Bank</w:t>
            </w:r>
          </w:p>
        </w:tc>
        <w:tc>
          <w:p>
            <w:pPr>
              <w:pStyle w:val="Compact"/>
              <w:jc w:val="right"/>
            </w:pPr>
            <w:r>
              <w:t xml:space="preserve">33</w:t>
            </w:r>
          </w:p>
        </w:tc>
        <w:tc>
          <w:p>
            <w:pPr>
              <w:pStyle w:val="Compact"/>
              <w:jc w:val="left"/>
            </w:pPr>
            <w:r>
              <w:t xml:space="preserve">2003, 2014</w:t>
            </w:r>
          </w:p>
        </w:tc>
      </w:tr>
      <w:tr>
        <w:tc>
          <w:p>
            <w:pPr>
              <w:pStyle w:val="Compact"/>
              <w:jc w:val="left"/>
            </w:pPr>
            <w:r>
              <w:t xml:space="preserve">Palos Verdes</w:t>
            </w:r>
          </w:p>
        </w:tc>
        <w:tc>
          <w:p>
            <w:pPr>
              <w:pStyle w:val="Compact"/>
              <w:jc w:val="right"/>
            </w:pPr>
            <w:r>
              <w:t xml:space="preserve">20</w:t>
            </w:r>
          </w:p>
        </w:tc>
        <w:tc>
          <w:p>
            <w:pPr>
              <w:pStyle w:val="Compact"/>
              <w:jc w:val="left"/>
            </w:pPr>
            <w:r>
              <w:t xml:space="preserve">2015</w:t>
            </w:r>
          </w:p>
        </w:tc>
      </w:tr>
      <w:tr>
        <w:tc>
          <w:p>
            <w:pPr>
              <w:pStyle w:val="Compact"/>
              <w:jc w:val="left"/>
            </w:pPr>
            <w:r>
              <w:t xml:space="preserve">Isla Natividad</w:t>
            </w:r>
          </w:p>
        </w:tc>
        <w:tc>
          <w:p>
            <w:pPr>
              <w:pStyle w:val="Compact"/>
              <w:jc w:val="right"/>
            </w:pPr>
            <w:r>
              <w:t xml:space="preserve">17</w:t>
            </w:r>
          </w:p>
        </w:tc>
        <w:tc>
          <w:p>
            <w:pPr>
              <w:pStyle w:val="Compact"/>
              <w:jc w:val="left"/>
            </w:pPr>
            <w:r>
              <w:t xml:space="preserve">2006</w:t>
            </w:r>
          </w:p>
        </w:tc>
      </w:tr>
      <w:tr>
        <w:tc>
          <w:p>
            <w:pPr>
              <w:pStyle w:val="Compact"/>
              <w:jc w:val="left"/>
            </w:pPr>
            <w:r>
              <w:t xml:space="preserve">Punta San Jose</w:t>
            </w:r>
          </w:p>
        </w:tc>
        <w:tc>
          <w:p>
            <w:pPr>
              <w:pStyle w:val="Compact"/>
              <w:jc w:val="right"/>
            </w:pPr>
            <w:r>
              <w:t xml:space="preserve">17</w:t>
            </w:r>
          </w:p>
        </w:tc>
        <w:tc>
          <w:p>
            <w:pPr>
              <w:pStyle w:val="Compact"/>
              <w:jc w:val="left"/>
            </w:pPr>
            <w:r>
              <w:t xml:space="preserve">2006</w:t>
            </w:r>
          </w:p>
        </w:tc>
      </w:tr>
      <w:tr>
        <w:tc>
          <w:p>
            <w:pPr>
              <w:pStyle w:val="Compact"/>
              <w:jc w:val="left"/>
            </w:pPr>
            <w:r>
              <w:t xml:space="preserve">Coronado Islands</w:t>
            </w:r>
          </w:p>
        </w:tc>
        <w:tc>
          <w:p>
            <w:pPr>
              <w:pStyle w:val="Compact"/>
              <w:jc w:val="right"/>
            </w:pPr>
            <w:r>
              <w:t xml:space="preserve">6</w:t>
            </w:r>
          </w:p>
        </w:tc>
        <w:tc>
          <w:p>
            <w:pPr>
              <w:pStyle w:val="Compact"/>
              <w:jc w:val="left"/>
            </w:pPr>
            <w:r>
              <w:t xml:space="preserve">2006</w:t>
            </w:r>
          </w:p>
        </w:tc>
      </w:tr>
      <w:tr>
        <w:tc>
          <w:p>
            <w:pPr>
              <w:pStyle w:val="Compact"/>
              <w:jc w:val="left"/>
            </w:pPr>
            <w:r>
              <w:t xml:space="preserve">San Miguel Island</w:t>
            </w:r>
          </w:p>
        </w:tc>
        <w:tc>
          <w:p>
            <w:pPr>
              <w:pStyle w:val="Compact"/>
              <w:jc w:val="right"/>
            </w:pPr>
            <w:r>
              <w:t xml:space="preserve">6</w:t>
            </w:r>
          </w:p>
        </w:tc>
        <w:tc>
          <w:p>
            <w:pPr>
              <w:pStyle w:val="Compact"/>
              <w:jc w:val="left"/>
            </w:pPr>
            <w:r>
              <w:t xml:space="preserve">2005</w:t>
            </w:r>
          </w:p>
        </w:tc>
      </w:tr>
      <w:tr>
        <w:tc>
          <w:p>
            <w:pPr>
              <w:pStyle w:val="Compact"/>
              <w:jc w:val="left"/>
            </w:pPr>
            <w:r>
              <w:t xml:space="preserve">San Nicolas Island</w:t>
            </w:r>
          </w:p>
        </w:tc>
        <w:tc>
          <w:p>
            <w:pPr>
              <w:pStyle w:val="Compact"/>
              <w:jc w:val="right"/>
            </w:pPr>
            <w:r>
              <w:t xml:space="preserve">5</w:t>
            </w:r>
          </w:p>
        </w:tc>
        <w:tc>
          <w:p>
            <w:pPr>
              <w:pStyle w:val="Compact"/>
              <w:jc w:val="left"/>
            </w:pPr>
            <w:r>
              <w:t xml:space="preserve">2001</w:t>
            </w:r>
          </w:p>
        </w:tc>
      </w:tr>
      <w:tr>
        <w:tc>
          <w:p>
            <w:pPr>
              <w:pStyle w:val="Compact"/>
              <w:jc w:val="left"/>
            </w:pPr>
            <w:r>
              <w:t xml:space="preserve">Point Loma</w:t>
            </w:r>
          </w:p>
        </w:tc>
        <w:tc>
          <w:p>
            <w:pPr>
              <w:pStyle w:val="Compact"/>
              <w:jc w:val="right"/>
            </w:pPr>
            <w:r>
              <w:t xml:space="preserve">4</w:t>
            </w:r>
          </w:p>
        </w:tc>
        <w:tc>
          <w:p>
            <w:pPr>
              <w:pStyle w:val="Compact"/>
              <w:jc w:val="left"/>
            </w:pPr>
            <w:r>
              <w:t xml:space="preserve">2005</w:t>
            </w:r>
          </w:p>
        </w:tc>
      </w:tr>
      <w:tr>
        <w:tc>
          <w:p>
            <w:pPr>
              <w:pStyle w:val="Compact"/>
              <w:jc w:val="left"/>
            </w:pPr>
            <w:r>
              <w:t xml:space="preserve">La Jolla Canyon</w:t>
            </w:r>
          </w:p>
        </w:tc>
        <w:tc>
          <w:p>
            <w:pPr>
              <w:pStyle w:val="Compact"/>
              <w:jc w:val="right"/>
            </w:pPr>
            <w:r>
              <w:t xml:space="preserve">3</w:t>
            </w:r>
          </w:p>
        </w:tc>
        <w:tc>
          <w:p>
            <w:pPr>
              <w:pStyle w:val="Compact"/>
              <w:jc w:val="left"/>
            </w:pPr>
            <w:r>
              <w:t xml:space="preserve">2005</w:t>
            </w:r>
          </w:p>
        </w:tc>
      </w:tr>
      <w:tr>
        <w:tc>
          <w:p>
            <w:pPr>
              <w:pStyle w:val="Compact"/>
              <w:jc w:val="left"/>
            </w:pPr>
            <w:r>
              <w:t xml:space="preserve">Santa Cruz Island</w:t>
            </w:r>
          </w:p>
        </w:tc>
        <w:tc>
          <w:p>
            <w:pPr>
              <w:pStyle w:val="Compact"/>
              <w:jc w:val="right"/>
            </w:pPr>
            <w:r>
              <w:t xml:space="preserve">1</w:t>
            </w:r>
          </w:p>
        </w:tc>
        <w:tc>
          <w:p>
            <w:pPr>
              <w:pStyle w:val="Compact"/>
              <w:jc w:val="left"/>
            </w:pPr>
            <w:r>
              <w:t xml:space="preserve">2011</w:t>
            </w:r>
          </w:p>
        </w:tc>
      </w:tr>
    </w:tbl>
    <w:p>
      <w:pPr>
        <w:pStyle w:val="BodyText"/>
      </w:pPr>
      <w:r>
        <w:t xml:space="preserve">In 2002, bathymetric mapping was conducted at Tanner Bank, Cortes Bank, San Clemente Island, and Farnsworth Bank (off the coast of Santa Catalina Island) using a multibeam sonar to identify areas of rocky substrate and quantify the amount of potentially available white abalone habitat (</w:t>
      </w:r>
      <w:r>
        <w:rPr>
          <w:b/>
        </w:rPr>
        <w:t xml:space="preserve">Figure: White Abalone Habitats</w:t>
      </w:r>
      <w:r>
        <w:t xml:space="preserve">). Next, depth-stratified visual transect surveys were conducted using an ROV at each location to estimate white abalone density, abundance, and size structure. The results from surveys in 2002 and 2004 provided a “baseline” estimate of available habitat, abundance, and size structure of the populations in these areas. Subsequent visual surveys conducted at Tanner Bank in 2008 and 2010 indicated that the population at that site had declined by approximately 78% since 2002 despite protection under ESA</w:t>
      </w:r>
      <w:r>
        <w:t xml:space="preserve"> </w:t>
      </w:r>
      <w:r>
        <w:t xml:space="preserve">(Stierhoff</w:t>
      </w:r>
      <w:r>
        <w:t xml:space="preserve"> </w:t>
      </w:r>
      <w:r>
        <w:rPr>
          <w:i/>
        </w:rPr>
        <w:t xml:space="preserve">et al.</w:t>
      </w:r>
      <w:r>
        <w:t xml:space="preserve">, 2012)</w:t>
      </w:r>
      <w:r>
        <w:t xml:space="preserve">. Data from the most recent survey conducted at Tanner Bank and Cortes Bank in 2014 are still being analyzed, but preliminary results indicate the the population at those two sites remain severely depleted (K. Stierhoff, unpublished data). The majority of white abalone observed at Tanner Bank have been singletons (i.e., solitary, reproductively isolated individuals with &gt; 2 m nearest neighbor distance), large (&gt; 9 cm), and the mean length in each survey has increased over time, which suggests an aging population of mostly isolated individuals with little or no indication of recent recruitment. A survey at San Clemente Island in 2012 suggested a small but stable remnant population</w:t>
      </w:r>
      <w:r>
        <w:t xml:space="preserve"> </w:t>
      </w:r>
      <w:r>
        <w:t xml:space="preserve">(Stierhoff</w:t>
      </w:r>
      <w:r>
        <w:t xml:space="preserve"> </w:t>
      </w:r>
      <w:r>
        <w:rPr>
          <w:i/>
        </w:rPr>
        <w:t xml:space="preserve">et al.</w:t>
      </w:r>
      <w:r>
        <w:t xml:space="preserve">, 2014a)</w:t>
      </w:r>
      <w:r>
        <w:t xml:space="preserve">, but the extremely low density at that site resulted in population estimates with high uncertainty. A subsequent survey at San Clemente Island in 2015 observed only two white abalone in 36 transects</w:t>
      </w:r>
      <w:r>
        <w:t xml:space="preserve"> </w:t>
      </w:r>
      <w:r>
        <w:t xml:space="preserve">(Neuman</w:t>
      </w:r>
      <w:r>
        <w:t xml:space="preserve"> </w:t>
      </w:r>
      <w:r>
        <w:rPr>
          <w:i/>
        </w:rPr>
        <w:t xml:space="preserve">et al.</w:t>
      </w:r>
      <w:r>
        <w:t xml:space="preserve">, 2017)</w:t>
      </w:r>
      <w:r>
        <w:t xml:space="preserve">. The low numbers of observations resulted in estimates of population size that are too imprecise for statistical comparisons to results from the 2004 or 2012 survey.</w:t>
      </w:r>
    </w:p>
    <w:p>
      <w:pPr>
        <w:pStyle w:val="Heading4"/>
      </w:pPr>
      <w:bookmarkStart w:id="40" w:name="exporatory-surveys-in-other-potentially-viable-deep-water-habitats"/>
      <w:bookmarkEnd w:id="40"/>
      <w:r>
        <w:t xml:space="preserve">Exporatory surveys in other potentially viable deep-water habitats</w:t>
      </w:r>
    </w:p>
    <w:p>
      <w:pPr>
        <w:pStyle w:val="FirstParagraph"/>
      </w:pPr>
      <w:r>
        <w:t xml:space="preserve">In addition to the more intensive sampling conducted at the long-term monitoring sites, smaller-scale surveys have been conducted at some areas where white abalone have been observed or are thought to occur (</w:t>
      </w:r>
      <w:r>
        <w:rPr>
          <w:b/>
        </w:rPr>
        <w:t xml:space="preserve">Table: Survey site summary</w:t>
      </w:r>
      <w:r>
        <w:t xml:space="preserve">). In 2008, five visual transect surveys were conducted at Farnsworth Bank, but only one white abalone was observed. In 2015, 20 visual transect surveys were conducted at two sites near Palos Verdes, CA (“The Ridges” and “Horseshoe Kelp”). These two sites are relatively shallow (approximately 20-40 m), have been surveyed by numerous groups using SCUBA, and are known to be habitat for white and pinto abalone (</w:t>
      </w:r>
      <w:r>
        <w:rPr>
          <w:i/>
        </w:rPr>
        <w:t xml:space="preserve">H. kamtschatkana</w:t>
      </w:r>
      <w:r>
        <w:t xml:space="preserve">). During that survey, three white abalone were observed and 29 pinto abalone.</w:t>
      </w:r>
    </w:p>
    <w:p>
      <w:pPr>
        <w:pStyle w:val="BodyText"/>
      </w:pPr>
      <w:r>
        <w:t xml:space="preserve">The delisting of white abalone under ESA requires consideration of the species' population status throughout its known geograpical range, which extends south to Punta Abreojos, Baja California, Mexico. Surveys were conducted, in cooperation with fishery managers and members of the local fishing coopertives (or cooperativos) off Punta San Jose (near Ensenada) and around Isla Natividad.</w:t>
      </w:r>
    </w:p>
    <w:p>
      <w:pPr>
        <w:pStyle w:val="BodyText"/>
      </w:pPr>
      <w:r>
        <w:t xml:space="preserve">Following the First Binational Abalone Symposium hosted by CICESE in Ensenada, Baja California, renewed cooperation/enthusiasm...</w:t>
      </w:r>
    </w:p>
    <w:p>
      <w:pPr>
        <w:pStyle w:val="BodyText"/>
      </w:pPr>
      <w:r>
        <w:t xml:space="preserve">In 2017, funding was received from the NMFS Office of Scientific and Technology International Research Program, the NMFS Office of Protected Resources, and the WCRO ($85K, total) to conduct new surveys in cooperation with local fishermen and fishery scientists in high-probability white abalone habitats to provide critical information on the status of white abalone populations in Mexico, and to help them develop methods and monitoring programs for white abalone.</w:t>
      </w:r>
    </w:p>
    <w:p>
      <w:pPr>
        <w:pStyle w:val="Heading4"/>
      </w:pPr>
      <w:bookmarkStart w:id="41" w:name="improving-assessments-using-advanced-technology"/>
      <w:bookmarkEnd w:id="41"/>
      <w:r>
        <w:t xml:space="preserve">Improving assessments using advanced technology</w:t>
      </w:r>
    </w:p>
    <w:p>
      <w:pPr>
        <w:pStyle w:val="FirstParagraph"/>
      </w:pPr>
      <w:r>
        <w:rPr>
          <w:b/>
        </w:rPr>
        <w:t xml:space="preserve">Design and development of visual survey tools</w:t>
      </w:r>
      <w:r>
        <w:t xml:space="preserve"> </w:t>
      </w:r>
      <w:r>
        <w:t xml:space="preserve">In 1999, a ROV (</w:t>
      </w:r>
      <w:r>
        <w:rPr>
          <w:i/>
        </w:rPr>
        <w:t xml:space="preserve">Phantom 2+2</w:t>
      </w:r>
      <w:r>
        <w:t xml:space="preserve">, Deep Ocean Engineering) was purchased to conduct visual surveys of white abalone and generate baseline population estimates soon after the species was listed as endangered under the ESA. The earliest configuration of this ROV was rated to a water depth of 500 m and had a standard definition video camera (NTSC, 520 x 480 lines of resolution), halogen lights, and four thrusters (two horizontal, two vert-trans). There was no means of tracking the location of the ROV from the ship, and no tether management. Over time, the ROV hull was upgraded to a</w:t>
      </w:r>
      <w:r>
        <w:t xml:space="preserve"> </w:t>
      </w:r>
      <w:r>
        <w:rPr>
          <w:i/>
        </w:rPr>
        <w:t xml:space="preserve">Phantom DS4</w:t>
      </w:r>
      <w:r>
        <w:t xml:space="preserve"> </w:t>
      </w:r>
      <w:r>
        <w:t xml:space="preserve">(2001), which added two horizontal thrusters and increased the depth rating. Furthermore, additional cameras and sensors were added to improve the quality and quantity of data and imagery collected during surveys including: a high-resolution (3 megapixel) digital still camera (2003; Scorpio Plus, Insite Pacific) and strobes; calibrated, high-intensity lasers for estimating the size and range of targets observed near the seabed; a Doppler velocity log (2005; 1200 kHz Workhourse Navigator, Teledyne) for precise estimation of speed, distance, and altitude; a conductivity-temperature-depth (2006; Citadel CTD, RDI Teledyne) probe and oxygen optode (Model 3975, Aanderaa); an ultrashort baseline acoustic tracking system (2002; TrackPoint-IIplus, ORE Offshore); and a forward-looking scanning sonar (2005; MS1000, Kongsberg-Simrad). In 2010, a more precise and user-friendly USBL (TrackLink 1500HA, LinkQuest) was added.</w:t>
      </w:r>
    </w:p>
    <w:p>
      <w:pPr>
        <w:pStyle w:val="BodyText"/>
      </w:pPr>
      <w:r>
        <w:t xml:space="preserve">In 2011, the engineers and biologists at the SWFSC finalized the design and construction of a new high-definition (HD), high-voltage, DC-powered ROV (</w:t>
      </w:r>
      <w:hyperlink r:id="rId42">
        <w:r>
          <w:rPr>
            <w:rStyle w:val="Hyperlink"/>
          </w:rPr>
          <w:t xml:space="preserve">HDHV-ROV</w:t>
        </w:r>
      </w:hyperlink>
      <w:r>
        <w:t xml:space="preserve">) to improve the survey capabilities of the ROV program. The HDHV-ROV incorporated many of the instruments from the</w:t>
      </w:r>
      <w:r>
        <w:t xml:space="preserve"> </w:t>
      </w:r>
      <w:r>
        <w:rPr>
          <w:i/>
        </w:rPr>
        <w:t xml:space="preserve">Phantom DS4</w:t>
      </w:r>
      <w:r>
        <w:t xml:space="preserve"> </w:t>
      </w:r>
      <w:r>
        <w:t xml:space="preserve">ROV, and added: an HD (1080i) color video camera (Mini Zeus, Insite Pacific); LED lighting (LED Multi-SeaLite, Deep Sea Power &amp; Light); a fiber-optic umbilical to increase bandwith for video and data transmission; and brushless DC trusters, which greatly reduced noise and eliminated laborious maintenance required by the</w:t>
      </w:r>
      <w:r>
        <w:t xml:space="preserve"> </w:t>
      </w:r>
      <w:r>
        <w:rPr>
          <w:i/>
        </w:rPr>
        <w:t xml:space="preserve">Phantom</w:t>
      </w:r>
      <w:r>
        <w:t xml:space="preserve"> </w:t>
      </w:r>
      <w:r>
        <w:t xml:space="preserve">trusters. In 2016, a calibrated stereo camera pair was installed to improve the measurement of targets observed during the surveys, and a multibeam imaging sonar (M3, Kongsberg-Simrad) was added to aid navigation, provide high-resolution maps of the seabed, or both. We continue to explore ways in which the survey capabilities of the SWFSC ROV can be improved.</w:t>
      </w:r>
    </w:p>
    <w:p>
      <w:pPr>
        <w:pStyle w:val="BodyText"/>
      </w:pPr>
      <w:r>
        <w:rPr>
          <w:b/>
        </w:rPr>
        <w:t xml:space="preserve">Improving visual survey methods</w:t>
      </w:r>
      <w:r>
        <w:br w:type="textWrapping"/>
      </w:r>
      <w:r>
        <w:t xml:space="preserve">Accurate and precise measurements of transect length and width are critical to the estimation of abalone density and abundance. In 2016, a study was conducted to examine the accuracy and precision of distance estimates derived from different ROV instruments, and described a practical method to estimate transect width throughout surveys using standard survey equipment and analysital methods</w:t>
      </w:r>
      <w:r>
        <w:t xml:space="preserve"> </w:t>
      </w:r>
      <w:r>
        <w:t xml:space="preserve">(Stierhoff</w:t>
      </w:r>
      <w:r>
        <w:t xml:space="preserve"> </w:t>
      </w:r>
      <w:r>
        <w:rPr>
          <w:i/>
        </w:rPr>
        <w:t xml:space="preserve">et al.</w:t>
      </w:r>
      <w:r>
        <w:t xml:space="preserve">, 2016)</w:t>
      </w:r>
      <w:r>
        <w:t xml:space="preserve">. That study found that transect distance measured using a Doppler velocity log were precise and accurate (</w:t>
      </w:r>
      <w:r>
        <w:rPr>
          <w:b/>
        </w:rPr>
        <w:t xml:space="preserve">precision, accuracy</w:t>
      </w:r>
      <w:r>
        <w:t xml:space="preserve">), and that transect area measured using the optical properties and orientation of the video camera were comparable to estimates derived using more laborious image analysis techniques. These methods significantly streamline and improve estimates of area searched during optical transect surveys, and will be employed during future surveys of abalone and other demersal fishes.</w:t>
      </w:r>
    </w:p>
    <w:p>
      <w:pPr>
        <w:pStyle w:val="Heading4"/>
      </w:pPr>
      <w:bookmarkStart w:id="43" w:name="improving-assessments-through-habitat-modeling"/>
      <w:bookmarkEnd w:id="43"/>
      <w:r>
        <w:t xml:space="preserve">Improving assessments through habitat modeling</w:t>
      </w:r>
    </w:p>
    <w:p>
      <w:pPr>
        <w:pStyle w:val="FirstParagraph"/>
      </w:pPr>
      <w:r>
        <w:rPr>
          <w:i/>
        </w:rPr>
        <w:t xml:space="preserve">Initially, ROVs were used to survey white abalone populations in areas where historical landings were greatest (e.g., San Clemente Island, Tanner and Cortes Banks, and Santa Catalina Island). More recently, surveys have been conducted in areas where high-resolution multibeam bathymetric data exist and survey-based densities and abundances were greatest (i.e., Tanner Bank, and to a lesser extent San Clemente Island), and survey effort is typically focused on areas deemed potential white abalone habitat. Based on the results of Butler et al. (2006), potential habitat is broadly defined as rocky substrate between the depths of 30 to 60 m. However, other factors, including rugosity, slope, and geologic composition, likely determine whether some habitats are more optimal than others.</w:t>
      </w:r>
    </w:p>
    <w:p>
      <w:pPr>
        <w:pStyle w:val="BodyText"/>
      </w:pPr>
      <w:r>
        <w:rPr>
          <w:i/>
        </w:rPr>
        <w:t xml:space="preserve">I will identify suitable habitat in the Southern California Bight to inform future outplanting efforts of White Abalone. Given that this population exists at such low numbers and data is limited to presence-only (lacking or unreliable absence data), maximum entropy (Maxent) models are strong candidates for modeling habitat suitability (Phillips et al 2006). Using White Abalone survey data (SWFSC ROV and SCUBA surveys, California Department of Fish and Wildlife (CDFW), citizen science, etc.) as well as potential environmental factors of suitable habitat, I will develop a Maxent model to inform White Abalone outplanting efforts. To the extent possible, I will evaluate the effects of climate change on the designated suitable habitats to predict long-term suitability.</w:t>
      </w:r>
    </w:p>
    <w:p>
      <w:pPr>
        <w:pStyle w:val="Heading2"/>
      </w:pPr>
      <w:bookmarkStart w:id="44" w:name="research-theme-2---scuba-operations"/>
      <w:bookmarkEnd w:id="44"/>
      <w:r>
        <w:t xml:space="preserve">Research theme 2 - SCUBA operations</w:t>
      </w:r>
    </w:p>
    <w:p>
      <w:pPr>
        <w:pStyle w:val="FirstParagraph"/>
      </w:pPr>
      <w:r>
        <w:rPr>
          <w:i/>
        </w:rPr>
        <w:t xml:space="preserve">To date, population assessment surveys have been limited to deep-water populations using ROVs. However, surveys of nearshore habitats by NOAA researchers and citizen scientist groups are identifying white abalone in areas where they were thought to be extirpated or at very low density. Heavy surge and dense kelp are often inaccessible or unsafe for using ROVs. Therefore, the SWFSC and its partners will increasingly use open-circuit SCUBA, closed-circuit rebreathers, or both to survey white abalone in shallow-nearshore areas where ROV surveys are impractical or impossible.</w:t>
      </w:r>
    </w:p>
    <w:p>
      <w:pPr>
        <w:pStyle w:val="BodyText"/>
      </w:pPr>
      <w:r>
        <w:rPr>
          <w:i/>
        </w:rPr>
        <w:t xml:space="preserve">SCUBA surveys have several advantages over ROV surveys. First, measurements of shell length and nearest neighbor distances (which is important for estimating group size and for identifying reproductively isolated individuals) are more accurate than those from ROVs. Furthermore, SCUBA divers have the potential to collect biological samples for genetic analysis and disease monitoring (see Theme 3 below), which is not possible using ROVs.</w:t>
      </w:r>
    </w:p>
    <w:p>
      <w:pPr>
        <w:pStyle w:val="Heading3"/>
      </w:pPr>
      <w:bookmarkStart w:id="45" w:name="research-foci-for-theme-2"/>
      <w:bookmarkEnd w:id="45"/>
      <w:r>
        <w:t xml:space="preserve">Research foci for Theme 2</w:t>
      </w:r>
    </w:p>
    <w:p>
      <w:pPr>
        <w:pStyle w:val="Heading4"/>
      </w:pPr>
      <w:bookmarkStart w:id="46" w:name="demography-of-shallow-water-populations"/>
      <w:bookmarkEnd w:id="46"/>
      <w:r>
        <w:t xml:space="preserve">Demography of shallow-water populations</w:t>
      </w:r>
    </w:p>
    <w:p>
      <w:pPr>
        <w:pStyle w:val="Heading4"/>
      </w:pPr>
      <w:bookmarkStart w:id="47" w:name="brood-stock-collection"/>
      <w:bookmarkEnd w:id="47"/>
      <w:r>
        <w:t xml:space="preserve">Brood stock collection</w:t>
      </w:r>
    </w:p>
    <w:p>
      <w:pPr>
        <w:pStyle w:val="FirstParagraph"/>
      </w:pPr>
      <w:r>
        <w:rPr>
          <w:i/>
        </w:rPr>
        <w:t xml:space="preserve">The collection of additional brood stock to enhance captive breeding efforts will be an essential part of a successful stock enhancement program. While collection of adult individuals is not possible using the ROV, it may be used to search for and identify white abalone in deep-water habitats where searching for abalone using SCUBA is impractical. Once individuals are identified with the ROV, directed SCUBA surveys (either open-circuit SCUBA or closed-circuit rebreathers) may be conducted to estimate nearest neighbor distances (a metric used to identify reproductively isolated individuals) and collect white abalone that are deemed to be singletons (see</w:t>
      </w:r>
      <w:r>
        <w:rPr>
          <w:i/>
        </w:rPr>
        <w:t xml:space="preserve"> </w:t>
      </w:r>
      <w:r>
        <w:rPr>
          <w:b/>
          <w:i/>
        </w:rPr>
        <w:t xml:space="preserve">Theme X</w:t>
      </w:r>
      <w:r>
        <w:rPr>
          <w:i/>
        </w:rPr>
        <w:t xml:space="preserve"> </w:t>
      </w:r>
      <w:r>
        <w:rPr>
          <w:i/>
        </w:rPr>
        <w:t xml:space="preserve">below).</w:t>
      </w:r>
    </w:p>
    <w:p>
      <w:pPr>
        <w:pStyle w:val="Heading4"/>
      </w:pPr>
      <w:bookmarkStart w:id="48" w:name="behavioral-studies-using-acoustic-telemetry"/>
      <w:bookmarkEnd w:id="48"/>
      <w:r>
        <w:t xml:space="preserve">Behavioral studies using acoustic telemetry</w:t>
      </w:r>
    </w:p>
    <w:p>
      <w:pPr>
        <w:pStyle w:val="Heading1"/>
      </w:pPr>
      <w:bookmarkStart w:id="49" w:name="funding-sources"/>
      <w:bookmarkEnd w:id="49"/>
      <w:r>
        <w:t xml:space="preserve">Funding sources</w:t>
      </w:r>
    </w:p>
    <w:p>
      <w:pPr>
        <w:pStyle w:val="Heading2"/>
      </w:pPr>
      <w:bookmarkStart w:id="50" w:name="discretionary-noaa-funding"/>
      <w:bookmarkEnd w:id="50"/>
      <w:r>
        <w:t xml:space="preserve">Discretionary NOAA Funding</w:t>
      </w:r>
    </w:p>
    <w:p>
      <w:pPr>
        <w:pStyle w:val="FirstParagraph"/>
      </w:pPr>
      <w:r>
        <w:t xml:space="preserve">In 2000, soon after white abalone were listed as endangered under the ESA, the SWFSC received ~$200K to purchase an ROV (</w:t>
      </w:r>
      <w:r>
        <w:rPr>
          <w:i/>
        </w:rPr>
        <w:t xml:space="preserve">Phantom</w:t>
      </w:r>
      <w:r>
        <w:t xml:space="preserve">, Deep Ocean Engineering) for surveying deep-water white abalone populations throughout southern CA. Since then, the SWFSC has mostly relied upon the West Coast Regional Office (WCRO, formerly the Southwest Regional Office) to support the costs of conducting field surveys, and improvements and repairs to the ROV system. These were discretionary funds and, therefore, the frequency and amount of funding were variable (between $15K-80K per year) and unpredictable, and in some years no funding was received (</w:t>
      </w:r>
      <w:r>
        <w:rPr>
          <w:b/>
        </w:rPr>
        <w:t xml:space="preserve">Table: Discretionary NOAA Funding</w:t>
      </w:r>
      <w:r>
        <w:t xml:space="preserve">). Nonetheless, the SWFSC was able to conduct meaningful surveys to monitor changes in white abalone populations at historically important locations every 2-4 years, an interval that is likely adequate to detect and track changes in population size. However, the level of funding received from the WCRO was not sufficient to survey all of the historically important sites, and the amount of survey effort (i.e., number of sea days) possible with the available funding was likely not optimal to minimize error in population estimates.</w:t>
      </w:r>
    </w:p>
    <w:p>
      <w:pPr>
        <w:pStyle w:val="BodyText"/>
      </w:pPr>
      <w:r>
        <w:rPr>
          <w:b/>
        </w:rPr>
        <w:t xml:space="preserve">Table: Discretionary NOAA Funding</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Year</w:t>
            </w:r>
          </w:p>
        </w:tc>
        <w:tc>
          <w:tcPr>
            <w:tcBorders>
              <w:bottom w:val="single"/>
            </w:tcBorders>
            <w:vAlign w:val="bottom"/>
          </w:tcPr>
          <w:p>
            <w:pPr>
              <w:pStyle w:val="Compact"/>
              <w:jc w:val="right"/>
            </w:pPr>
            <w:r>
              <w:t xml:space="preserve">Amount</w:t>
            </w:r>
          </w:p>
        </w:tc>
      </w:tr>
      <w:tr>
        <w:tc>
          <w:p>
            <w:pPr>
              <w:pStyle w:val="Compact"/>
              <w:jc w:val="right"/>
            </w:pPr>
            <w:r>
              <w:t xml:space="preserve">2004</w:t>
            </w:r>
          </w:p>
        </w:tc>
        <w:tc>
          <w:p>
            <w:pPr>
              <w:pStyle w:val="Compact"/>
              <w:jc w:val="right"/>
            </w:pPr>
            <w:r>
              <w:t xml:space="preserve">0</w:t>
            </w:r>
          </w:p>
        </w:tc>
      </w:tr>
      <w:tr>
        <w:tc>
          <w:p>
            <w:pPr>
              <w:pStyle w:val="Compact"/>
              <w:jc w:val="right"/>
            </w:pPr>
            <w:r>
              <w:t xml:space="preserve">2007</w:t>
            </w:r>
          </w:p>
        </w:tc>
        <w:tc>
          <w:p>
            <w:pPr>
              <w:pStyle w:val="Compact"/>
              <w:jc w:val="right"/>
            </w:pPr>
            <w:r>
              <w:t xml:space="preserve">30000</w:t>
            </w:r>
          </w:p>
        </w:tc>
      </w:tr>
      <w:tr>
        <w:tc>
          <w:p>
            <w:pPr>
              <w:pStyle w:val="Compact"/>
              <w:jc w:val="right"/>
            </w:pPr>
            <w:r>
              <w:t xml:space="preserve">2008</w:t>
            </w:r>
          </w:p>
        </w:tc>
        <w:tc>
          <w:p>
            <w:pPr>
              <w:pStyle w:val="Compact"/>
              <w:jc w:val="right"/>
            </w:pPr>
            <w:r>
              <w:t xml:space="preserve">50000</w:t>
            </w:r>
          </w:p>
        </w:tc>
      </w:tr>
      <w:tr>
        <w:tc>
          <w:p>
            <w:pPr>
              <w:pStyle w:val="Compact"/>
              <w:jc w:val="right"/>
            </w:pPr>
            <w:r>
              <w:t xml:space="preserve">2009</w:t>
            </w:r>
          </w:p>
        </w:tc>
        <w:tc>
          <w:p>
            <w:pPr>
              <w:pStyle w:val="Compact"/>
              <w:jc w:val="right"/>
            </w:pPr>
            <w:r>
              <w:t xml:space="preserve">30000</w:t>
            </w:r>
          </w:p>
        </w:tc>
      </w:tr>
      <w:tr>
        <w:tc>
          <w:p>
            <w:pPr>
              <w:pStyle w:val="Compact"/>
              <w:jc w:val="right"/>
            </w:pPr>
            <w:r>
              <w:t xml:space="preserve">2010</w:t>
            </w:r>
          </w:p>
        </w:tc>
        <w:tc>
          <w:p>
            <w:pPr>
              <w:pStyle w:val="Compact"/>
              <w:jc w:val="right"/>
            </w:pPr>
            <w:r>
              <w:t xml:space="preserve">80000</w:t>
            </w:r>
          </w:p>
        </w:tc>
      </w:tr>
      <w:tr>
        <w:tc>
          <w:p>
            <w:pPr>
              <w:pStyle w:val="Compact"/>
              <w:jc w:val="right"/>
            </w:pPr>
            <w:r>
              <w:t xml:space="preserve">2011</w:t>
            </w:r>
          </w:p>
        </w:tc>
        <w:tc>
          <w:p>
            <w:pPr>
              <w:pStyle w:val="Compact"/>
              <w:jc w:val="right"/>
            </w:pPr>
            <w:r>
              <w:t xml:space="preserve">20000</w:t>
            </w:r>
          </w:p>
        </w:tc>
      </w:tr>
      <w:tr>
        <w:tc>
          <w:p>
            <w:pPr>
              <w:pStyle w:val="Compact"/>
              <w:jc w:val="right"/>
            </w:pPr>
            <w:r>
              <w:t xml:space="preserve">2012</w:t>
            </w:r>
          </w:p>
        </w:tc>
        <w:tc>
          <w:p>
            <w:pPr>
              <w:pStyle w:val="Compact"/>
              <w:jc w:val="right"/>
            </w:pPr>
            <w:r>
              <w:t xml:space="preserve">0</w:t>
            </w:r>
          </w:p>
        </w:tc>
      </w:tr>
      <w:tr>
        <w:tc>
          <w:p>
            <w:pPr>
              <w:pStyle w:val="Compact"/>
              <w:jc w:val="right"/>
            </w:pPr>
            <w:r>
              <w:t xml:space="preserve">2013</w:t>
            </w:r>
          </w:p>
        </w:tc>
        <w:tc>
          <w:p>
            <w:pPr>
              <w:pStyle w:val="Compact"/>
              <w:jc w:val="right"/>
            </w:pPr>
            <w:r>
              <w:t xml:space="preserve">50000</w:t>
            </w:r>
          </w:p>
        </w:tc>
      </w:tr>
      <w:tr>
        <w:tc>
          <w:p>
            <w:pPr>
              <w:pStyle w:val="Compact"/>
              <w:jc w:val="right"/>
            </w:pPr>
            <w:r>
              <w:t xml:space="preserve">2014</w:t>
            </w:r>
          </w:p>
        </w:tc>
        <w:tc>
          <w:p>
            <w:pPr>
              <w:pStyle w:val="Compact"/>
              <w:jc w:val="right"/>
            </w:pPr>
            <w:r>
              <w:t xml:space="preserve">50000</w:t>
            </w:r>
          </w:p>
        </w:tc>
      </w:tr>
      <w:tr>
        <w:tc>
          <w:p>
            <w:pPr>
              <w:pStyle w:val="Compact"/>
              <w:jc w:val="right"/>
            </w:pPr>
            <w:r>
              <w:t xml:space="preserve">2015</w:t>
            </w:r>
          </w:p>
        </w:tc>
        <w:tc>
          <w:p>
            <w:pPr>
              <w:pStyle w:val="Compact"/>
              <w:jc w:val="right"/>
            </w:pPr>
            <w:r>
              <w:t xml:space="preserve">0</w:t>
            </w:r>
          </w:p>
        </w:tc>
      </w:tr>
      <w:tr>
        <w:tc>
          <w:p>
            <w:pPr>
              <w:pStyle w:val="Compact"/>
              <w:jc w:val="right"/>
            </w:pPr>
            <w:r>
              <w:t xml:space="preserve">2016</w:t>
            </w:r>
          </w:p>
        </w:tc>
        <w:tc>
          <w:p>
            <w:pPr>
              <w:pStyle w:val="Compact"/>
              <w:jc w:val="right"/>
            </w:pPr>
            <w:r>
              <w:t xml:space="preserve">15000</w:t>
            </w:r>
          </w:p>
        </w:tc>
      </w:tr>
    </w:tbl>
    <w:p>
      <w:pPr>
        <w:pStyle w:val="Heading2"/>
      </w:pPr>
      <w:bookmarkStart w:id="51" w:name="interagency-agreements"/>
      <w:bookmarkEnd w:id="51"/>
      <w:r>
        <w:t xml:space="preserve">Interagency Agreements</w:t>
      </w:r>
    </w:p>
    <w:p>
      <w:pPr>
        <w:pStyle w:val="FirstParagraph"/>
      </w:pPr>
      <w:r>
        <w:t xml:space="preserve">Given the limited amount of funding generally available from internal sources, and the need to focus survey efforts at Tanner Bank, few surveys had been conducted at other historically significant areas, particularly San Clemente Island (SCI). In 2012, the SWFSC and WCRO entered into a military interdepartmental purchase request (MIPR) agreement with the Navy to conduct the first population assessment surveys of white abalone along the western shore of SCI since it was originally surveyed in 2004 (</w:t>
      </w:r>
      <w:r>
        <w:rPr>
          <w:b/>
        </w:rPr>
        <w:t xml:space="preserve">Table: Interagency Agreement Funds</w:t>
      </w:r>
      <w:r>
        <w:t xml:space="preserve">). In 2015, a second agreement provided funding to provide updated population estimates, but also for various projects aimed at improving survey methods and gaining a better understand of the behavior of white abalone and other abalone species that occur in the U.S. Navy's operational areas around San Clemente Island and Point Loma near San Diego, CA. All interagency agreements aimed to support the Navy's Integrated Natural Resources Management Plan for SCI and the State of CA's Abalone Recovery and Management Plan (ARMP).</w:t>
      </w:r>
    </w:p>
    <w:p>
      <w:pPr>
        <w:pStyle w:val="BodyText"/>
      </w:pPr>
      <w:r>
        <w:rPr>
          <w:b/>
        </w:rPr>
        <w:t xml:space="preserve">Table: Interagency Agreement Funds.</w:t>
      </w:r>
      <w:r>
        <w:t xml:space="preserve"> </w:t>
      </w:r>
      <w:r>
        <w:t xml:space="preserve">Funding year, amount ($), and agreement number for agreements between the Navy and NOAA.</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Year</w:t>
            </w:r>
          </w:p>
        </w:tc>
        <w:tc>
          <w:tcPr>
            <w:tcBorders>
              <w:bottom w:val="single"/>
            </w:tcBorders>
            <w:vAlign w:val="bottom"/>
          </w:tcPr>
          <w:p>
            <w:pPr>
              <w:pStyle w:val="Compact"/>
              <w:jc w:val="right"/>
            </w:pPr>
            <w:r>
              <w:t xml:space="preserve">Amount</w:t>
            </w:r>
          </w:p>
        </w:tc>
        <w:tc>
          <w:tcPr>
            <w:tcBorders>
              <w:bottom w:val="single"/>
            </w:tcBorders>
            <w:vAlign w:val="bottom"/>
          </w:tcPr>
          <w:p>
            <w:pPr>
              <w:pStyle w:val="Compact"/>
              <w:jc w:val="left"/>
            </w:pPr>
            <w:r>
              <w:t xml:space="preserve">Agreement number</w:t>
            </w:r>
          </w:p>
        </w:tc>
      </w:tr>
      <w:tr>
        <w:tc>
          <w:p>
            <w:pPr>
              <w:pStyle w:val="Compact"/>
              <w:jc w:val="left"/>
            </w:pPr>
            <w:r>
              <w:t xml:space="preserve">FY12</w:t>
            </w:r>
          </w:p>
        </w:tc>
        <w:tc>
          <w:p>
            <w:pPr>
              <w:pStyle w:val="Compact"/>
              <w:jc w:val="right"/>
            </w:pPr>
            <w:r>
              <w:t xml:space="preserve">76000</w:t>
            </w:r>
          </w:p>
        </w:tc>
        <w:tc>
          <w:p>
            <w:pPr>
              <w:pStyle w:val="Compact"/>
              <w:jc w:val="left"/>
            </w:pPr>
            <w:r>
              <w:t xml:space="preserve">US NAVY SWR-F147</w:t>
            </w:r>
          </w:p>
        </w:tc>
      </w:tr>
      <w:tr>
        <w:tc>
          <w:p>
            <w:pPr>
              <w:pStyle w:val="Compact"/>
              <w:jc w:val="left"/>
            </w:pPr>
            <w:r>
              <w:t xml:space="preserve">FY15-16</w:t>
            </w:r>
          </w:p>
        </w:tc>
        <w:tc>
          <w:p>
            <w:pPr>
              <w:pStyle w:val="Compact"/>
              <w:jc w:val="right"/>
            </w:pPr>
            <w:r>
              <w:t xml:space="preserve">251237</w:t>
            </w:r>
          </w:p>
        </w:tc>
        <w:tc>
          <w:p>
            <w:pPr>
              <w:pStyle w:val="Compact"/>
              <w:jc w:val="left"/>
            </w:pPr>
            <w:r>
              <w:t xml:space="preserve">US NAVY WCR-F1404</w:t>
            </w:r>
          </w:p>
        </w:tc>
      </w:tr>
    </w:tbl>
    <w:p>
      <w:pPr>
        <w:pStyle w:val="Heading2"/>
      </w:pPr>
      <w:bookmarkStart w:id="52" w:name="us-navynoaa-memorandum-of-agreement"/>
      <w:bookmarkEnd w:id="52"/>
      <w:r>
        <w:t xml:space="preserve">US Navy/NOAA Memorandum of Agreement</w:t>
      </w:r>
    </w:p>
    <w:p>
      <w:pPr>
        <w:pStyle w:val="FirstParagraph"/>
      </w:pPr>
      <w:r>
        <w:t xml:space="preserve">In 2016, the Navy and NOAA entered into a Memorandum of Agreement (MOA) where the Navy would provide financial support for the recovery of critically endangered white abalone populations that occur at Tanner and Cortes Banks in exchange for the ability to continue conducting at-sea testing and training within the Navy's irreplaceable and strategically significant Southern California (SOCAL) Range Complex that are compatible with the recovery of the species (also called the Seven-Year Plan). The MOA will provide a total of ~$2,175,000 over the course of the Seven-Year Plan in support of efforts to monitor demography; improve survey methodology; develop methods to monitor behavior, disease prevalence, genetic diversity, demography; and monitor habitats and assess outplant sites (</w:t>
      </w:r>
      <w:r>
        <w:rPr>
          <w:b/>
        </w:rPr>
        <w:t xml:space="preserve">Table: Navy Funds</w:t>
      </w:r>
      <w:r>
        <w:t xml:space="preserve">). Approximately $1,495,000 of funding is allocated to ROV operations to survey white abalone populations and their offshore habitats at San Clemente Island, Tanner Bank, and Cortes Bank, and to explore and characterize and monitor potential outplant sites in nearshore habitats. Approximately ~$200,000 is allocated to the development and refinement of advanced technology (e.g., acoustic telemetry and time-lapse videography) for studying the movement and behavior white abalone and other closely related surrogate species. Total funding in any one year ranges from ~$118K-545K/year.</w:t>
      </w:r>
    </w:p>
    <w:p>
      <w:pPr>
        <w:pStyle w:val="Heading2"/>
      </w:pPr>
      <w:bookmarkStart w:id="53" w:name="competitive-noaa-funding"/>
      <w:bookmarkEnd w:id="53"/>
      <w:r>
        <w:t xml:space="preserve">Competitive NOAA Funding</w:t>
      </w:r>
    </w:p>
    <w:p>
      <w:pPr>
        <w:pStyle w:val="FirstParagraph"/>
      </w:pPr>
      <w:r>
        <w:t xml:space="preserve">In 2017, the SWFSC, WCRO, and RC received funding from the Office of Science and Technology's International Science Program ($35K) to conduct a 10-d survey of white abalone and their habitats along the Pacific coast of Baja California, Mexico in collaboration with international colleagues from the Centro de Investigacion Científica y de Educación Superior de Ensenada (CICESE), the Comunidad and Biodiversidad (COBI), and local fishing cooperativos (to ensure industry support and participation). Additional funds ($50K) were provided by the NOAA's Office of Protected Resources to complete the work. Nearly half of the white abalone's historic range lies in Mexican waters. This project aims to use ROVs, multibeam acoustics, and SCUBA to collect critical information on the demography, spatial ecology, and genetics of white abalone populations in Mexico, which have gone largely unstudied since being ESA-listed in 2001.</w:t>
      </w:r>
    </w:p>
    <w:p>
      <w:pPr>
        <w:pStyle w:val="BodyText"/>
      </w:pPr>
    </w:p>
    <w:p>
      <w:pPr>
        <w:pStyle w:val="BodyText"/>
      </w:pPr>
      <w:r>
        <w:drawing>
          <wp:inline>
            <wp:extent cx="5523221" cy="3682147"/>
            <wp:effectExtent b="0" l="0" r="0" t="0"/>
            <wp:docPr descr="" title="" id="1" name="Picture"/>
            <a:graphic>
              <a:graphicData uri="http://schemas.openxmlformats.org/drawingml/2006/picture">
                <pic:pic>
                  <pic:nvPicPr>
                    <pic:cNvPr descr="white_abalone_research_plan_files/figure-docx/NavyFunding-1.png" id="0" name="Picture"/>
                    <pic:cNvPicPr>
                      <a:picLocks noChangeArrowheads="1" noChangeAspect="1"/>
                    </pic:cNvPicPr>
                  </pic:nvPicPr>
                  <pic:blipFill>
                    <a:blip r:embed="rId54"/>
                    <a:stretch>
                      <a:fillRect/>
                    </a:stretch>
                  </pic:blipFill>
                  <pic:spPr bwMode="auto">
                    <a:xfrm>
                      <a:off x="0" y="0"/>
                      <a:ext cx="5523221" cy="3682147"/>
                    </a:xfrm>
                    <a:prstGeom prst="rect">
                      <a:avLst/>
                    </a:prstGeom>
                    <a:noFill/>
                    <a:ln w="9525">
                      <a:noFill/>
                      <a:headEnd/>
                      <a:tailEnd/>
                    </a:ln>
                  </pic:spPr>
                </pic:pic>
              </a:graphicData>
            </a:graphic>
          </wp:inline>
        </w:drawing>
      </w:r>
    </w:p>
    <w:p>
      <w:pPr>
        <w:pStyle w:val="BodyText"/>
      </w:pPr>
      <w:r>
        <w:rPr>
          <w:b/>
        </w:rPr>
        <w:t xml:space="preserve">Table: Navy Funds.</w:t>
      </w:r>
      <w:r>
        <w:t xml:space="preserve"> </w:t>
      </w:r>
      <w:r>
        <w:t xml:space="preserve">Funding allocation by year and research theme for the US Navy/NOAA Memorandum of Agreement and Seven-Year Plan.</w:t>
      </w:r>
    </w:p>
    <w:p>
      <w:pPr>
        <w:pStyle w:val="BodyText"/>
      </w:pPr>
    </w:p>
    <w:p>
      <w:pPr>
        <w:pStyle w:val="Heading1"/>
      </w:pPr>
      <w:bookmarkStart w:id="55" w:name="year-research-plan"/>
      <w:bookmarkEnd w:id="55"/>
      <w:r>
        <w:t xml:space="preserve">5-year Research Plan</w:t>
      </w:r>
    </w:p>
    <w:p>
      <w:pPr>
        <w:pStyle w:val="FirstParagraph"/>
      </w:pPr>
      <w:r>
        <w:t xml:space="preserve">Since most funding is received on a fiscal year (FY) schedule, planning is described on a FY calendar.</w:t>
      </w:r>
    </w:p>
    <w:p>
      <w:pPr>
        <w:pStyle w:val="Heading2"/>
      </w:pPr>
      <w:bookmarkStart w:id="56" w:name="fy2018"/>
      <w:bookmarkEnd w:id="56"/>
      <w:r>
        <w:t xml:space="preserve">FY2018</w:t>
      </w:r>
    </w:p>
    <w:p>
      <w:pPr>
        <w:pStyle w:val="Heading2"/>
      </w:pPr>
      <w:bookmarkStart w:id="57" w:name="fy2019"/>
      <w:bookmarkEnd w:id="57"/>
      <w:r>
        <w:t xml:space="preserve">FY2019</w:t>
      </w:r>
    </w:p>
    <w:p>
      <w:pPr>
        <w:pStyle w:val="Heading2"/>
      </w:pPr>
      <w:bookmarkStart w:id="58" w:name="fy2020"/>
      <w:bookmarkEnd w:id="58"/>
      <w:r>
        <w:t xml:space="preserve">FY2020</w:t>
      </w:r>
    </w:p>
    <w:p>
      <w:pPr>
        <w:pStyle w:val="Heading2"/>
      </w:pPr>
      <w:bookmarkStart w:id="59" w:name="fy2021"/>
      <w:bookmarkEnd w:id="59"/>
      <w:r>
        <w:t xml:space="preserve">FY2021</w:t>
      </w:r>
    </w:p>
    <w:p>
      <w:pPr>
        <w:pStyle w:val="Heading2"/>
      </w:pPr>
      <w:bookmarkStart w:id="60" w:name="fy2022"/>
      <w:bookmarkEnd w:id="60"/>
      <w:r>
        <w:t xml:space="preserve">FY2022</w:t>
      </w:r>
    </w:p>
    <w:p>
      <w:pPr>
        <w:pStyle w:val="Heading1"/>
      </w:pPr>
      <w:bookmarkStart w:id="61" w:name="personnel"/>
      <w:bookmarkEnd w:id="61"/>
      <w:r>
        <w:t xml:space="preserve">Personnel</w:t>
      </w:r>
    </w:p>
    <w:p>
      <w:pPr>
        <w:pStyle w:val="Heading2"/>
      </w:pPr>
      <w:bookmarkStart w:id="62" w:name="swfsc-staff"/>
      <w:bookmarkEnd w:id="62"/>
      <w:r>
        <w:t xml:space="preserve">SWFSC Staff</w:t>
      </w:r>
    </w:p>
    <w:p>
      <w:pPr>
        <w:pStyle w:val="FirstParagraph"/>
      </w:pPr>
      <w:r>
        <w:t xml:space="preserve">Kevin Stierhoff, Ph.D. (Research Fisheries Biologist, ROV Team Lead; AST), David Murfin (Electrical engineer; AST), Scott Mau (Research Fisheries Biologist; AST)</w:t>
      </w:r>
    </w:p>
    <w:p>
      <w:pPr>
        <w:pStyle w:val="Heading2"/>
      </w:pPr>
      <w:bookmarkStart w:id="63" w:name="partner-institution-staff"/>
      <w:bookmarkEnd w:id="63"/>
      <w:r>
        <w:t xml:space="preserve">Partner institution staff</w:t>
      </w:r>
    </w:p>
    <w:p>
      <w:pPr>
        <w:pStyle w:val="Heading3"/>
      </w:pPr>
      <w:bookmarkStart w:id="64" w:name="west-coast-regional-office"/>
      <w:bookmarkEnd w:id="64"/>
      <w:r>
        <w:t xml:space="preserve">West Coast Regional Office</w:t>
      </w:r>
    </w:p>
    <w:p>
      <w:pPr>
        <w:pStyle w:val="FirstParagraph"/>
      </w:pPr>
      <w:r>
        <w:t xml:space="preserve">Melissa Neuman, Ph.D. (</w:t>
      </w:r>
      <w:r>
        <w:rPr>
          <w:b/>
        </w:rPr>
        <w:t xml:space="preserve">Title</w:t>
      </w:r>
      <w:r>
        <w:t xml:space="preserve">)</w:t>
      </w:r>
    </w:p>
    <w:p>
      <w:pPr>
        <w:pStyle w:val="Heading3"/>
      </w:pPr>
      <w:bookmarkStart w:id="65" w:name="restoration-center"/>
      <w:bookmarkEnd w:id="65"/>
      <w:r>
        <w:t xml:space="preserve">Restoration Center</w:t>
      </w:r>
    </w:p>
    <w:p>
      <w:pPr>
        <w:pStyle w:val="FirstParagraph"/>
      </w:pPr>
      <w:r>
        <w:t xml:space="preserve">David Witting, Ph.D. (</w:t>
      </w:r>
      <w:r>
        <w:rPr>
          <w:b/>
        </w:rPr>
        <w:t xml:space="preserve">Title</w:t>
      </w:r>
      <w:r>
        <w:t xml:space="preserve">)</w:t>
      </w:r>
    </w:p>
    <w:p>
      <w:pPr>
        <w:pStyle w:val="Heading3"/>
      </w:pPr>
      <w:bookmarkStart w:id="66" w:name="scripps-institution-of-oceaongraphy"/>
      <w:bookmarkEnd w:id="66"/>
      <w:r>
        <w:t xml:space="preserve">Scripps Institution of Oceaongraphy</w:t>
      </w:r>
    </w:p>
    <w:p>
      <w:pPr>
        <w:pStyle w:val="FirstParagraph"/>
      </w:pPr>
      <w:r>
        <w:t xml:space="preserve">Brice Semmens, Ph.D. (Professor), Jordan Dinardo (Graduate student)</w:t>
      </w:r>
    </w:p>
    <w:p>
      <w:pPr>
        <w:pStyle w:val="Heading3"/>
      </w:pPr>
      <w:bookmarkStart w:id="67" w:name="others"/>
      <w:bookmarkEnd w:id="67"/>
      <w:r>
        <w:t xml:space="preserve">Others</w:t>
      </w:r>
    </w:p>
    <w:p>
      <w:pPr>
        <w:pStyle w:val="FirstParagraph"/>
      </w:pPr>
      <w:r>
        <w:t xml:space="preserve">Amanda Bird and Adam Obaza (Paua Research Group), William Hagy and Ronan Gray ()</w:t>
      </w:r>
    </w:p>
    <w:p>
      <w:pPr>
        <w:pStyle w:val="Heading1"/>
      </w:pPr>
      <w:bookmarkStart w:id="68" w:name="appendices"/>
      <w:bookmarkEnd w:id="68"/>
      <w:r>
        <w:t xml:space="preserve">Appendices</w:t>
      </w:r>
    </w:p>
    <w:p>
      <w:pPr>
        <w:pStyle w:val="Heading1"/>
      </w:pPr>
      <w:bookmarkStart w:id="69" w:name="literature-cited"/>
      <w:bookmarkEnd w:id="69"/>
      <w:r>
        <w:t xml:space="preserve">Literature cited</w:t>
      </w:r>
    </w:p>
    <w:p>
      <w:pPr>
        <w:pStyle w:val="Bibliography"/>
      </w:pPr>
      <w:r>
        <w:t xml:space="preserve">Allee, W. C. 1931. Animal aggregations: a study in general sociology. University of Chicago Press, Chicago, IL.</w:t>
      </w:r>
    </w:p>
    <w:p>
      <w:pPr>
        <w:pStyle w:val="Bibliography"/>
      </w:pPr>
      <w:r>
        <w:t xml:space="preserve">Andrews, A. H., Leaf, R. T., Rogers-Bennett, L., Neuman, M., Hawk, H., and Cailliet, G. M. 2013. Bomb radiocarbon dating of the endangered white abalone (</w:t>
      </w:r>
      <w:r>
        <w:rPr>
          <w:i/>
        </w:rPr>
        <w:t xml:space="preserve">Haliotis sorenseni</w:t>
      </w:r>
      <w:r>
        <w:t xml:space="preserve">): investigations of age, growth and lifespan. Marine and Freshwater Research, 64: 1029–1039.</w:t>
      </w:r>
    </w:p>
    <w:p>
      <w:pPr>
        <w:pStyle w:val="Bibliography"/>
      </w:pPr>
      <w:r>
        <w:t xml:space="preserve">Berec, L., Angulo, E., and Courchamp, F. 2007. Multiple Allee effects and population management. Trends in Ecology &amp; Evolution, 22: 185–191.</w:t>
      </w:r>
    </w:p>
    <w:p>
      <w:pPr>
        <w:pStyle w:val="Bibliography"/>
      </w:pPr>
      <w:r>
        <w:t xml:space="preserve">Butler, J. L., Neuman, M., Pinkard, D., Kvitek, R., and Cochrane, G. R. 2006. The use of multibeam sonar mapping techniques to refine population estimates of the endangered white abalone (</w:t>
      </w:r>
      <w:r>
        <w:rPr>
          <w:i/>
        </w:rPr>
        <w:t xml:space="preserve">Haliotis sorenseni</w:t>
      </w:r>
      <w:r>
        <w:t xml:space="preserve">). Fishery Bulletin, 104: 521–532.</w:t>
      </w:r>
    </w:p>
    <w:p>
      <w:pPr>
        <w:pStyle w:val="Bibliography"/>
      </w:pPr>
      <w:r>
        <w:t xml:space="preserve">Davis, G. E., Haaker, P. L., and Richards, D. V. 1996. Status and trends of white abalone at the California Channel Islands. Transactions of the American Fisheries Society, 125: 42–48.</w:t>
      </w:r>
    </w:p>
    <w:p>
      <w:pPr>
        <w:pStyle w:val="Bibliography"/>
      </w:pPr>
      <w:r>
        <w:t xml:space="preserve">Hobday, A. J., and Tegner, M. J. 2000. Status review of white abalone</w:t>
      </w:r>
      <w:r>
        <w:t xml:space="preserve"> </w:t>
      </w:r>
      <w:r>
        <w:rPr>
          <w:i/>
        </w:rPr>
        <w:t xml:space="preserve">Haliotis sorenseni</w:t>
      </w:r>
      <w:r>
        <w:t xml:space="preserve"> </w:t>
      </w:r>
      <w:r>
        <w:t xml:space="preserve">throughout its range in California and Mexico.</w:t>
      </w:r>
    </w:p>
    <w:p>
      <w:pPr>
        <w:pStyle w:val="Bibliography"/>
      </w:pPr>
      <w:r>
        <w:t xml:space="preserve">Hobday, A. J., Tegner, M. J., and Haaker, P. L. 2001. Over-exploitation of a broadcast spawning marine invertebrate: decline of the white abalone. Reviews in Fish Biology and Fisheries, 10: 493–514.</w:t>
      </w:r>
    </w:p>
    <w:p>
      <w:pPr>
        <w:pStyle w:val="Bibliography"/>
      </w:pPr>
      <w:r>
        <w:t xml:space="preserve">Leighton, D. L. 2000. The Biology and Culture of the California Abalones. Dorrance Publishing Co., Inc., Pittsburgh, PA.</w:t>
      </w:r>
    </w:p>
    <w:p>
      <w:pPr>
        <w:pStyle w:val="Bibliography"/>
      </w:pPr>
      <w:r>
        <w:t xml:space="preserve">McShane, P., and Naylor, R. 1996. Variation in spawning and recruitment of</w:t>
      </w:r>
      <w:r>
        <w:t xml:space="preserve"> </w:t>
      </w:r>
      <w:r>
        <w:rPr>
          <w:i/>
        </w:rPr>
        <w:t xml:space="preserve">Haliotis iris</w:t>
      </w:r>
      <w:r>
        <w:t xml:space="preserve"> </w:t>
      </w:r>
      <w:r>
        <w:t xml:space="preserve">(Mollusca: Gastropoda). New Zealand Journal of Marine and Freshwater Research, 30: 325–332.</w:t>
      </w:r>
    </w:p>
    <w:p>
      <w:pPr>
        <w:pStyle w:val="Bibliography"/>
      </w:pPr>
      <w:r>
        <w:t xml:space="preserve">National Marine Fisheries Service. 2001. Endangered Status for White Abalone. Federal Register, 66: 29046–29055.</w:t>
      </w:r>
    </w:p>
    <w:p>
      <w:pPr>
        <w:pStyle w:val="Bibliography"/>
      </w:pPr>
      <w:r>
        <w:t xml:space="preserve">National Marine Fisheries Service. 2008. White Abalone Recovery Plan (</w:t>
      </w:r>
      <w:r>
        <w:rPr>
          <w:i/>
        </w:rPr>
        <w:t xml:space="preserve">Haliotis sorenseni</w:t>
      </w:r>
      <w:r>
        <w:t xml:space="preserve">). National Marine Fisheries Service, Long Beach, CA.</w:t>
      </w:r>
    </w:p>
    <w:p>
      <w:pPr>
        <w:pStyle w:val="Bibliography"/>
      </w:pPr>
      <w:r>
        <w:t xml:space="preserve">Neuman, M. J., Stierhoff, K., and Witting, D. 2017. Preliminary report on studies of white abalone (</w:t>
      </w:r>
      <w:r>
        <w:rPr>
          <w:i/>
        </w:rPr>
        <w:t xml:space="preserve">Haliotis sorenseni</w:t>
      </w:r>
      <w:r>
        <w:t xml:space="preserve">) survey methods, demographics, and behavior at San Clemente Island and Point Loma, CA.</w:t>
      </w:r>
    </w:p>
    <w:p>
      <w:pPr>
        <w:pStyle w:val="Bibliography"/>
      </w:pPr>
      <w:r>
        <w:t xml:space="preserve">Shepherd, S. A., Turrubiates-Morales, J. R., and Hall, K. 1998. Decline of the abalone fishery at La Natividad, Mexico: Overfishing or climate change? Journal of Shellfish Research, 17: 839–846.</w:t>
      </w:r>
    </w:p>
    <w:p>
      <w:pPr>
        <w:pStyle w:val="Bibliography"/>
      </w:pPr>
      <w:r>
        <w:t xml:space="preserve">Stierhoff, K., Murfin, D. W., and Mau, S. A. 2014a. White abalone populations at Tanner Bank and Cortes Bank estimated from an optical survey: A report to NOAA’s Southwest Fisheries Science Center. NOAA Fisheries Southwest Fisheries Science Center, La Jolla, CA.</w:t>
      </w:r>
    </w:p>
    <w:p>
      <w:pPr>
        <w:pStyle w:val="Bibliography"/>
      </w:pPr>
      <w:r>
        <w:t xml:space="preserve">Stierhoff, K., Murfin, D. W., Demer, D., Mau, S. A., and Pinkard-Meier, D. R. 2016. Improving the estimations of transect length and width for underwater visual surveys of targets on or near the seabed. ICES Journal of Marine Science, 73: 2729–2736.</w:t>
      </w:r>
    </w:p>
    <w:p>
      <w:pPr>
        <w:pStyle w:val="Bibliography"/>
      </w:pPr>
      <w:r>
        <w:t xml:space="preserve">Stierhoff, K., Neuman, M., and Butler, J. 2012. On the road to extinction? Population declines of the endangered white abalone,</w:t>
      </w:r>
      <w:r>
        <w:t xml:space="preserve"> </w:t>
      </w:r>
      <w:r>
        <w:rPr>
          <w:i/>
        </w:rPr>
        <w:t xml:space="preserve">Haliotis sorenseni</w:t>
      </w:r>
      <w:r>
        <w:t xml:space="preserve">. Biological Conservation.</w:t>
      </w:r>
    </w:p>
    <w:p>
      <w:pPr>
        <w:pStyle w:val="Bibliography"/>
      </w:pPr>
      <w:r>
        <w:t xml:space="preserve">Stierhoff, K., Neuman, M., Mau, S. A., and Murfin, D. W. 2014b. White abalone at San Clemente Island: Population estimates and management recommendations. U.S. Dep. Commer., NOAA Tech. Memo., NMFS-SWFSC: 25 pp.</w:t>
      </w:r>
    </w:p>
    <w:p>
      <w:pPr>
        <w:pStyle w:val="Bibliography"/>
      </w:pPr>
      <w:r>
        <w:t xml:space="preserve">Tegner, M. J. 1989. The California abalone fishery: production, ecological interactions, and prospects for the future.</w:t>
      </w:r>
      <w:r>
        <w:t xml:space="preserve"> </w:t>
      </w:r>
      <w:r>
        <w:rPr>
          <w:i/>
        </w:rPr>
        <w:t xml:space="preserve">In</w:t>
      </w:r>
      <w:r>
        <w:t xml:space="preserve"> </w:t>
      </w:r>
      <w:r>
        <w:t xml:space="preserve">Marine invertebrate fisheries: Their assessment &amp; management, pp. 401–420. Ed. by J. F. Caddy. Wiley &amp; Sons, New York, NY.</w:t>
      </w:r>
    </w:p>
    <w:p>
      <w:pPr>
        <w:pStyle w:val="Bibliography"/>
      </w:pPr>
      <w:r>
        <w:t xml:space="preserve">Tutschulte, T. C. 1976. The comparative ecology of three sympatric abalones. University of California San Diego, La Jolla, CA.</w:t>
      </w:r>
    </w:p>
    <w:p>
      <w:pPr>
        <w:pStyle w:val="Bibliography"/>
      </w:pPr>
      <w:r>
        <w:t xml:space="preserve">Tutschulte, T. C., and Connell, J. H. 1988. Feeding behavior and algal food of three species of abalones (Haliotis) in Southern California. Marine Ecology Progress Series, 49: 57–64.</w:t>
      </w:r>
    </w:p>
    <w:sectPr w:rsidR="00C528CB" w:rsidSect="0053325A">
      <w:footerReference w:type="default" r:id="rId8"/>
      <w:pgSz w:w="12240" w:h="15840"/>
      <w:pgMar w:top="1440" w:right="1080" w:bottom="1440" w:left="108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6476324"/>
      <w:docPartObj>
        <w:docPartGallery w:val="Page Numbers (Bottom of Page)"/>
        <w:docPartUnique/>
      </w:docPartObj>
    </w:sdtPr>
    <w:sdtEndPr>
      <w:rPr>
        <w:noProof/>
      </w:rPr>
    </w:sdtEndPr>
    <w:sdtContent>
      <w:p w:rsidR="00652877" w:rsidRDefault="00652877">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rsidR="00652877" w:rsidRDefault="0065287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2">
    <w:p>
      <w:pPr>
        <w:pStyle w:val="FootnoteText"/>
      </w:pPr>
      <w:r>
        <w:rPr>
          <w:rStyle w:val="FootnoteReference"/>
        </w:rPr>
        <w:footnoteRef/>
      </w:r>
      <w:r>
        <w:t xml:space="preserve"> </w:t>
      </w:r>
      <w:r>
        <w:t xml:space="preserve">Priority #1 is defined as a species whose extinction is almost certain in the immediate future because of a rapid population decline or habitat destruction, whose limiting factors and threats are well understood and the needed management actions are known and have a high probability of success, and is a species that is in conflict with construction or other developmental projects or other forms of economic activity. NMFS Endangered and Threatened Listing Recovery Guidelines (55 FR 24296, June 15, 1990).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4CE14A5"/>
    <w:multiLevelType w:val="multilevel"/>
    <w:tmpl w:val="B1F473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25A0C6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D69E003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610801F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F07C5FD2"/>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2EF03B9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59322C2E"/>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CA049C62"/>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8D4C14C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A3EE4F14"/>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F4C8624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A6ACB9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B0D1CC7"/>
    <w:multiLevelType w:val="multilevel"/>
    <w:tmpl w:val="AA8E819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64011DB9"/>
    <w:multiLevelType w:val="multilevel"/>
    <w:tmpl w:val="6D48E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d9e77b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d80c65c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
  </w:num>
  <w:num w:numId="2">
    <w:abstractNumId w:val="0"/>
  </w:num>
  <w:num w:numId="3">
    <w:abstractNumId w:val="13"/>
  </w:num>
  <w:num w:numId="4">
    <w:abstractNumId w:val="13"/>
  </w:num>
  <w:num w:numId="5">
    <w:abstractNumId w:val="13"/>
  </w:num>
  <w:num w:numId="6">
    <w:abstractNumId w:val="1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13"/>
  </w:num>
  <w:num w:numId="9">
    <w:abstractNumId w:val="11"/>
  </w:num>
  <w:num w:numId="10">
    <w:abstractNumId w:val="9"/>
  </w:num>
  <w:num w:numId="11">
    <w:abstractNumId w:val="8"/>
  </w:num>
  <w:num w:numId="12">
    <w:abstractNumId w:val="7"/>
  </w:num>
  <w:num w:numId="13">
    <w:abstractNumId w:val="6"/>
  </w:num>
  <w:num w:numId="14">
    <w:abstractNumId w:val="10"/>
  </w:num>
  <w:num w:numId="15">
    <w:abstractNumId w:val="5"/>
  </w:num>
  <w:num w:numId="16">
    <w:abstractNumId w:val="4"/>
  </w:num>
  <w:num w:numId="17">
    <w:abstractNumId w:val="3"/>
  </w:num>
  <w:num w:numId="1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2B5C2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2B5C2D"/>
    <w:pPr>
      <w:keepNext/>
      <w:keepLines/>
      <w:spacing w:before="200" w:after="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2B5C2D"/>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rsid w:val="002B5C2D"/>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A5E7A"/>
    <w:pPr>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A5E7A"/>
  </w:style>
  <w:style w:type="paragraph" w:styleId="Header">
    <w:name w:val="header"/>
    <w:basedOn w:val="Normal"/>
    <w:link w:val="HeaderChar"/>
    <w:unhideWhenUsed/>
    <w:rsid w:val="00652877"/>
    <w:pPr>
      <w:tabs>
        <w:tab w:val="center" w:pos="4680"/>
        <w:tab w:val="right" w:pos="9360"/>
      </w:tabs>
      <w:spacing w:after="0"/>
    </w:pPr>
  </w:style>
  <w:style w:type="character" w:customStyle="1" w:styleId="HeaderChar">
    <w:name w:val="Header Char"/>
    <w:basedOn w:val="DefaultParagraphFont"/>
    <w:link w:val="Header"/>
    <w:rsid w:val="00652877"/>
  </w:style>
  <w:style w:type="paragraph" w:styleId="Footer">
    <w:name w:val="footer"/>
    <w:basedOn w:val="Normal"/>
    <w:link w:val="FooterChar"/>
    <w:uiPriority w:val="99"/>
    <w:unhideWhenUsed/>
    <w:rsid w:val="00652877"/>
    <w:pPr>
      <w:tabs>
        <w:tab w:val="center" w:pos="4680"/>
        <w:tab w:val="right" w:pos="9360"/>
      </w:tabs>
      <w:spacing w:after="0"/>
    </w:pPr>
  </w:style>
  <w:style w:type="character" w:customStyle="1" w:styleId="FooterChar">
    <w:name w:val="Footer Char"/>
    <w:basedOn w:val="DefaultParagraphFont"/>
    <w:link w:val="Footer"/>
    <w:uiPriority w:val="99"/>
    <w:rsid w:val="00652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4" Target="media/rId54.png" /><Relationship Type="http://schemas.openxmlformats.org/officeDocument/2006/relationships/hyperlink" Id="rId34" Target="http://www.nmfs.noaa.gov/pr/" TargetMode="External" /><Relationship Type="http://schemas.openxmlformats.org/officeDocument/2006/relationships/hyperlink" Id="rId30" Target="http://www.nmfs.noaa.gov/stories/2015/05/05_14_15species_in_the_spotlight.html" TargetMode="External" /><Relationship Type="http://schemas.openxmlformats.org/officeDocument/2006/relationships/hyperlink" Id="rId31" Target="http://www.nmfs.noaa.gov/stories/2015/08/spotlight_whiteabalone.html" TargetMode="External" /><Relationship Type="http://schemas.openxmlformats.org/officeDocument/2006/relationships/hyperlink" Id="rId33" Target="http://www.nmfs.noaa.gov/stories/2016/02/docs/white__abalone_spotlight_species_5_year_action_plan_final_web.pdf" TargetMode="External" /><Relationship Type="http://schemas.openxmlformats.org/officeDocument/2006/relationships/hyperlink" Id="rId42" Target="https://swfsc.noaa.gov/hdhv-rov/" TargetMode="External" /></Relationships>
</file>

<file path=word/_rels/footnotes.xml.rels><?xml version="1.0" encoding="UTF-8"?>
<Relationships xmlns="http://schemas.openxmlformats.org/package/2006/relationships"><Relationship Type="http://schemas.openxmlformats.org/officeDocument/2006/relationships/hyperlink" Id="rId34" Target="http://www.nmfs.noaa.gov/pr/" TargetMode="External" /><Relationship Type="http://schemas.openxmlformats.org/officeDocument/2006/relationships/hyperlink" Id="rId30" Target="http://www.nmfs.noaa.gov/stories/2015/05/05_14_15species_in_the_spotlight.html" TargetMode="External" /><Relationship Type="http://schemas.openxmlformats.org/officeDocument/2006/relationships/hyperlink" Id="rId31" Target="http://www.nmfs.noaa.gov/stories/2015/08/spotlight_whiteabalone.html" TargetMode="External" /><Relationship Type="http://schemas.openxmlformats.org/officeDocument/2006/relationships/hyperlink" Id="rId33" Target="http://www.nmfs.noaa.gov/stories/2016/02/docs/white__abalone_spotlight_species_5_year_action_plan_final_web.pdf" TargetMode="External" /><Relationship Type="http://schemas.openxmlformats.org/officeDocument/2006/relationships/hyperlink" Id="rId42" Target="https://swfsc.noaa.gov/hdhv-r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4670</Words>
  <Characters>26621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Abalone Research Plan</dc:title>
  <dc:creator>Kevin L. Stierhoff</dc:creator>
  <dcterms:created xsi:type="dcterms:W3CDTF">2017-10-26T00:42:27Z</dcterms:created>
  <dcterms:modified xsi:type="dcterms:W3CDTF">2017-10-26T00:42:27Z</dcterms:modified>
</cp:coreProperties>
</file>