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17CF0" w14:textId="77777777" w:rsidR="006146A1" w:rsidRPr="00474669" w:rsidRDefault="006146A1" w:rsidP="00474669">
      <w:pPr>
        <w:spacing w:before="2400" w:line="480" w:lineRule="auto"/>
        <w:rPr>
          <w:rFonts w:ascii="Times New Roman" w:hAnsi="Times New Roman" w:cs="Times New Roman"/>
          <w:sz w:val="24"/>
          <w:szCs w:val="24"/>
        </w:rPr>
      </w:pPr>
    </w:p>
    <w:p w14:paraId="6CA3026A" w14:textId="77777777" w:rsidR="006146A1" w:rsidRPr="00474669" w:rsidRDefault="00000000" w:rsidP="00474669">
      <w:pPr>
        <w:spacing w:after="240" w:line="480" w:lineRule="auto"/>
        <w:jc w:val="center"/>
        <w:rPr>
          <w:rFonts w:ascii="Times New Roman" w:hAnsi="Times New Roman" w:cs="Times New Roman"/>
          <w:sz w:val="24"/>
          <w:szCs w:val="24"/>
        </w:rPr>
      </w:pPr>
      <w:r w:rsidRPr="00474669">
        <w:rPr>
          <w:rFonts w:ascii="Times New Roman" w:hAnsi="Times New Roman" w:cs="Times New Roman"/>
          <w:b/>
          <w:bCs/>
          <w:sz w:val="24"/>
          <w:szCs w:val="24"/>
        </w:rPr>
        <w:t>Predicting and Understanding Customer Churn</w:t>
      </w:r>
    </w:p>
    <w:p w14:paraId="44A086D5" w14:textId="77777777" w:rsidR="006146A1" w:rsidRPr="00474669" w:rsidRDefault="00000000" w:rsidP="00474669">
      <w:pPr>
        <w:spacing w:after="480" w:line="480" w:lineRule="auto"/>
        <w:jc w:val="center"/>
        <w:rPr>
          <w:rFonts w:ascii="Times New Roman" w:hAnsi="Times New Roman" w:cs="Times New Roman"/>
          <w:sz w:val="24"/>
          <w:szCs w:val="24"/>
        </w:rPr>
      </w:pPr>
      <w:r w:rsidRPr="00474669">
        <w:rPr>
          <w:rFonts w:ascii="Times New Roman" w:hAnsi="Times New Roman" w:cs="Times New Roman"/>
          <w:i/>
          <w:iCs/>
          <w:sz w:val="24"/>
          <w:szCs w:val="24"/>
        </w:rPr>
        <w:t>A Data Mining Analysis of the IBM Telco Customer Churn Dataset</w:t>
      </w:r>
    </w:p>
    <w:p w14:paraId="2915FAD2" w14:textId="51687F63" w:rsidR="00474669" w:rsidRPr="00474669" w:rsidRDefault="00474669" w:rsidP="00474669">
      <w:pPr>
        <w:spacing w:after="80" w:line="480" w:lineRule="auto"/>
        <w:jc w:val="center"/>
        <w:rPr>
          <w:rFonts w:ascii="Times New Roman" w:hAnsi="Times New Roman" w:cs="Times New Roman"/>
          <w:sz w:val="24"/>
          <w:szCs w:val="24"/>
        </w:rPr>
      </w:pPr>
      <w:proofErr w:type="spellStart"/>
      <w:r w:rsidRPr="00474669">
        <w:rPr>
          <w:rFonts w:ascii="Times New Roman" w:hAnsi="Times New Roman" w:cs="Times New Roman"/>
          <w:sz w:val="24"/>
          <w:szCs w:val="24"/>
        </w:rPr>
        <w:t>Kshitiz</w:t>
      </w:r>
      <w:proofErr w:type="spellEnd"/>
      <w:r w:rsidRPr="00474669">
        <w:rPr>
          <w:rFonts w:ascii="Times New Roman" w:hAnsi="Times New Roman" w:cs="Times New Roman"/>
          <w:sz w:val="24"/>
          <w:szCs w:val="24"/>
        </w:rPr>
        <w:t xml:space="preserve"> </w:t>
      </w:r>
      <w:proofErr w:type="spellStart"/>
      <w:r w:rsidRPr="00474669">
        <w:rPr>
          <w:rFonts w:ascii="Times New Roman" w:hAnsi="Times New Roman" w:cs="Times New Roman"/>
          <w:sz w:val="24"/>
          <w:szCs w:val="24"/>
        </w:rPr>
        <w:t>Subba</w:t>
      </w:r>
      <w:proofErr w:type="spellEnd"/>
    </w:p>
    <w:p w14:paraId="7D1E0D91" w14:textId="77777777" w:rsidR="006146A1" w:rsidRPr="00474669" w:rsidRDefault="00000000" w:rsidP="00474669">
      <w:pPr>
        <w:spacing w:after="80" w:line="480" w:lineRule="auto"/>
        <w:jc w:val="center"/>
        <w:rPr>
          <w:rFonts w:ascii="Times New Roman" w:hAnsi="Times New Roman" w:cs="Times New Roman"/>
          <w:sz w:val="24"/>
          <w:szCs w:val="24"/>
        </w:rPr>
      </w:pPr>
      <w:r w:rsidRPr="00474669">
        <w:rPr>
          <w:rFonts w:ascii="Times New Roman" w:hAnsi="Times New Roman" w:cs="Times New Roman"/>
          <w:sz w:val="24"/>
          <w:szCs w:val="24"/>
        </w:rPr>
        <w:t>MSCS-634-B01: Advanced Big Data and Data Mining</w:t>
      </w:r>
    </w:p>
    <w:p w14:paraId="1978FD32" w14:textId="77777777" w:rsidR="00474669" w:rsidRPr="00474669" w:rsidRDefault="00000000" w:rsidP="00474669">
      <w:pPr>
        <w:spacing w:after="80" w:line="480" w:lineRule="auto"/>
        <w:jc w:val="center"/>
        <w:rPr>
          <w:rFonts w:ascii="Times New Roman" w:hAnsi="Times New Roman" w:cs="Times New Roman"/>
          <w:sz w:val="24"/>
          <w:szCs w:val="24"/>
        </w:rPr>
      </w:pPr>
      <w:r w:rsidRPr="00474669">
        <w:rPr>
          <w:rFonts w:ascii="Times New Roman" w:hAnsi="Times New Roman" w:cs="Times New Roman"/>
          <w:sz w:val="24"/>
          <w:szCs w:val="24"/>
        </w:rPr>
        <w:t>Second Bi-term, Summer 2026</w:t>
      </w:r>
    </w:p>
    <w:p w14:paraId="04D6180F" w14:textId="135BA125" w:rsidR="006146A1" w:rsidRPr="00474669" w:rsidRDefault="00474669" w:rsidP="00474669">
      <w:pPr>
        <w:spacing w:after="80" w:line="480" w:lineRule="auto"/>
        <w:jc w:val="center"/>
        <w:rPr>
          <w:rFonts w:ascii="Times New Roman" w:hAnsi="Times New Roman" w:cs="Times New Roman"/>
          <w:sz w:val="24"/>
          <w:szCs w:val="24"/>
        </w:rPr>
      </w:pPr>
      <w:r w:rsidRPr="00474669">
        <w:rPr>
          <w:rFonts w:ascii="Times New Roman" w:hAnsi="Times New Roman" w:cs="Times New Roman"/>
          <w:sz w:val="24"/>
          <w:szCs w:val="24"/>
        </w:rPr>
        <w:fldChar w:fldCharType="begin"/>
      </w:r>
      <w:r w:rsidRPr="00474669">
        <w:rPr>
          <w:rFonts w:ascii="Times New Roman" w:hAnsi="Times New Roman" w:cs="Times New Roman"/>
          <w:sz w:val="24"/>
          <w:szCs w:val="24"/>
        </w:rPr>
        <w:instrText xml:space="preserve"> DATE \@ "M/d/yyyy" </w:instrText>
      </w:r>
      <w:r w:rsidRPr="00474669">
        <w:rPr>
          <w:rFonts w:ascii="Times New Roman" w:hAnsi="Times New Roman" w:cs="Times New Roman"/>
          <w:sz w:val="24"/>
          <w:szCs w:val="24"/>
        </w:rPr>
        <w:fldChar w:fldCharType="separate"/>
      </w:r>
      <w:r w:rsidRPr="00474669">
        <w:rPr>
          <w:rFonts w:ascii="Times New Roman" w:hAnsi="Times New Roman" w:cs="Times New Roman"/>
          <w:noProof/>
          <w:sz w:val="24"/>
          <w:szCs w:val="24"/>
        </w:rPr>
        <w:t>8/20/2026</w:t>
      </w:r>
      <w:r w:rsidRPr="00474669">
        <w:rPr>
          <w:rFonts w:ascii="Times New Roman" w:hAnsi="Times New Roman" w:cs="Times New Roman"/>
          <w:sz w:val="24"/>
          <w:szCs w:val="24"/>
        </w:rPr>
        <w:fldChar w:fldCharType="end"/>
      </w:r>
      <w:r w:rsidR="00000000" w:rsidRPr="00474669">
        <w:rPr>
          <w:rFonts w:ascii="Times New Roman" w:hAnsi="Times New Roman" w:cs="Times New Roman"/>
          <w:sz w:val="24"/>
          <w:szCs w:val="24"/>
        </w:rPr>
        <w:br w:type="page"/>
      </w:r>
    </w:p>
    <w:p w14:paraId="2465B5B7" w14:textId="77777777" w:rsidR="006146A1" w:rsidRPr="00474669" w:rsidRDefault="00000000" w:rsidP="00474669">
      <w:pPr>
        <w:pStyle w:val="Heading1"/>
        <w:spacing w:line="480" w:lineRule="auto"/>
        <w:rPr>
          <w:rFonts w:ascii="Times New Roman" w:hAnsi="Times New Roman" w:cs="Times New Roman"/>
          <w:sz w:val="24"/>
          <w:szCs w:val="24"/>
        </w:rPr>
      </w:pPr>
      <w:r w:rsidRPr="00474669">
        <w:rPr>
          <w:rFonts w:ascii="Times New Roman" w:hAnsi="Times New Roman" w:cs="Times New Roman"/>
          <w:sz w:val="24"/>
          <w:szCs w:val="24"/>
        </w:rPr>
        <w:lastRenderedPageBreak/>
        <w:t>1. Introduction</w:t>
      </w:r>
    </w:p>
    <w:p w14:paraId="6CF90525" w14:textId="0CEB5D40"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Customer churn the loss of subscribers to a competitor or to service cancellation is one of the most consequential and directly actionable problems in subscription-based businesses such as telecommunications. Even small reductions in churn compound over time into large differences in customer lifetime value, so understanding which customers are at risk and why is a high-value data mining problem.</w:t>
      </w:r>
    </w:p>
    <w:p w14:paraId="28474A37"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This project applies a full data mining pipeline to the IBM Telco Customer Churn dataset: data cleaning and exploratory analysis, regression modeling, classification, clustering, and association rule mining, culminating in a cross-technique synthesis and set of practical recommendations. The project was completed across four deliverables, each building on the results and engineered features of the one before it, and is consolidated here into a single narrative.</w:t>
      </w:r>
    </w:p>
    <w:p w14:paraId="51F6D780" w14:textId="77777777" w:rsidR="006146A1" w:rsidRPr="00474669" w:rsidRDefault="00000000" w:rsidP="00474669">
      <w:pPr>
        <w:pStyle w:val="Heading2"/>
        <w:spacing w:line="480" w:lineRule="auto"/>
        <w:rPr>
          <w:rFonts w:ascii="Times New Roman" w:hAnsi="Times New Roman" w:cs="Times New Roman"/>
          <w:sz w:val="24"/>
          <w:szCs w:val="24"/>
        </w:rPr>
      </w:pPr>
      <w:r w:rsidRPr="00474669">
        <w:rPr>
          <w:rFonts w:ascii="Times New Roman" w:hAnsi="Times New Roman" w:cs="Times New Roman"/>
          <w:sz w:val="24"/>
          <w:szCs w:val="24"/>
        </w:rPr>
        <w:t>1.1 Dataset and Justification</w:t>
      </w:r>
    </w:p>
    <w:p w14:paraId="05B63A32"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The dataset (sourced from Kaggle's IBM Telco Customer Churn sample) contains 7,043 records and 21 attributes describing customers of a fictional telecommunications company, including:</w:t>
      </w:r>
    </w:p>
    <w:p w14:paraId="3AE34AD5" w14:textId="77777777" w:rsidR="006146A1" w:rsidRPr="00474669" w:rsidRDefault="00000000" w:rsidP="00474669">
      <w:pPr>
        <w:pStyle w:val="ListParagraph"/>
        <w:numPr>
          <w:ilvl w:val="0"/>
          <w:numId w:val="1"/>
        </w:numPr>
        <w:spacing w:after="100" w:line="480" w:lineRule="auto"/>
        <w:rPr>
          <w:rFonts w:ascii="Times New Roman" w:hAnsi="Times New Roman" w:cs="Times New Roman"/>
          <w:sz w:val="24"/>
          <w:szCs w:val="24"/>
        </w:rPr>
      </w:pPr>
      <w:r w:rsidRPr="00474669">
        <w:rPr>
          <w:rFonts w:ascii="Times New Roman" w:hAnsi="Times New Roman" w:cs="Times New Roman"/>
          <w:sz w:val="24"/>
          <w:szCs w:val="24"/>
        </w:rPr>
        <w:t>Demographics: gender, senior citizen status, partner and dependents</w:t>
      </w:r>
    </w:p>
    <w:p w14:paraId="3CBAAFD6" w14:textId="77777777" w:rsidR="006146A1" w:rsidRPr="00474669" w:rsidRDefault="00000000" w:rsidP="00474669">
      <w:pPr>
        <w:pStyle w:val="ListParagraph"/>
        <w:numPr>
          <w:ilvl w:val="0"/>
          <w:numId w:val="1"/>
        </w:numPr>
        <w:spacing w:after="100" w:line="480" w:lineRule="auto"/>
        <w:rPr>
          <w:rFonts w:ascii="Times New Roman" w:hAnsi="Times New Roman" w:cs="Times New Roman"/>
          <w:sz w:val="24"/>
          <w:szCs w:val="24"/>
        </w:rPr>
      </w:pPr>
      <w:r w:rsidRPr="00474669">
        <w:rPr>
          <w:rFonts w:ascii="Times New Roman" w:hAnsi="Times New Roman" w:cs="Times New Roman"/>
          <w:sz w:val="24"/>
          <w:szCs w:val="24"/>
        </w:rPr>
        <w:t>Account information: tenure, contract type, payment method, paperless billing, monthly and total charges</w:t>
      </w:r>
    </w:p>
    <w:p w14:paraId="60F87224" w14:textId="77777777" w:rsidR="006146A1" w:rsidRPr="00474669" w:rsidRDefault="00000000" w:rsidP="00474669">
      <w:pPr>
        <w:pStyle w:val="ListParagraph"/>
        <w:numPr>
          <w:ilvl w:val="0"/>
          <w:numId w:val="1"/>
        </w:numPr>
        <w:spacing w:after="100" w:line="480" w:lineRule="auto"/>
        <w:rPr>
          <w:rFonts w:ascii="Times New Roman" w:hAnsi="Times New Roman" w:cs="Times New Roman"/>
          <w:sz w:val="24"/>
          <w:szCs w:val="24"/>
        </w:rPr>
      </w:pPr>
      <w:r w:rsidRPr="00474669">
        <w:rPr>
          <w:rFonts w:ascii="Times New Roman" w:hAnsi="Times New Roman" w:cs="Times New Roman"/>
          <w:sz w:val="24"/>
          <w:szCs w:val="24"/>
        </w:rPr>
        <w:t>Subscribed services: phone service, multiple lines, internet service type, online security, online backup, device protection, tech support, streaming TV and movies</w:t>
      </w:r>
    </w:p>
    <w:p w14:paraId="363FC145" w14:textId="77777777" w:rsidR="006146A1" w:rsidRPr="00474669" w:rsidRDefault="00000000" w:rsidP="00474669">
      <w:pPr>
        <w:pStyle w:val="ListParagraph"/>
        <w:numPr>
          <w:ilvl w:val="0"/>
          <w:numId w:val="1"/>
        </w:numPr>
        <w:spacing w:after="100" w:line="480" w:lineRule="auto"/>
        <w:rPr>
          <w:rFonts w:ascii="Times New Roman" w:hAnsi="Times New Roman" w:cs="Times New Roman"/>
          <w:sz w:val="24"/>
          <w:szCs w:val="24"/>
        </w:rPr>
      </w:pPr>
      <w:r w:rsidRPr="00474669">
        <w:rPr>
          <w:rFonts w:ascii="Times New Roman" w:hAnsi="Times New Roman" w:cs="Times New Roman"/>
          <w:sz w:val="24"/>
          <w:szCs w:val="24"/>
        </w:rPr>
        <w:t>Target label: Churn (whether the customer left the company)</w:t>
      </w:r>
    </w:p>
    <w:p w14:paraId="46E64703"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lastRenderedPageBreak/>
        <w:t xml:space="preserve">This dataset was selected because it comfortably exceeds the project's minimum size requirement (500+ records, 8-10+ attributes), mixes numerical and categorical feature types, and naturally supports every phase of the project: Churn as a classification target, </w:t>
      </w:r>
      <w:proofErr w:type="spellStart"/>
      <w:r w:rsidRPr="00474669">
        <w:rPr>
          <w:rFonts w:ascii="Times New Roman" w:hAnsi="Times New Roman" w:cs="Times New Roman"/>
          <w:sz w:val="24"/>
          <w:szCs w:val="24"/>
        </w:rPr>
        <w:t>MonthlyCharges</w:t>
      </w:r>
      <w:proofErr w:type="spellEnd"/>
      <w:r w:rsidRPr="00474669">
        <w:rPr>
          <w:rFonts w:ascii="Times New Roman" w:hAnsi="Times New Roman" w:cs="Times New Roman"/>
          <w:sz w:val="24"/>
          <w:szCs w:val="24"/>
        </w:rPr>
        <w:t xml:space="preserve"> as a regression target, service attributes for clustering-based segmentation, and the many categorical service columns for association rule mining.</w:t>
      </w:r>
    </w:p>
    <w:p w14:paraId="0B3F1ADB" w14:textId="77777777" w:rsidR="006146A1" w:rsidRPr="00474669" w:rsidRDefault="00000000" w:rsidP="00474669">
      <w:pPr>
        <w:pStyle w:val="Heading2"/>
        <w:spacing w:line="480" w:lineRule="auto"/>
        <w:rPr>
          <w:rFonts w:ascii="Times New Roman" w:hAnsi="Times New Roman" w:cs="Times New Roman"/>
          <w:sz w:val="24"/>
          <w:szCs w:val="24"/>
        </w:rPr>
      </w:pPr>
      <w:r w:rsidRPr="00474669">
        <w:rPr>
          <w:rFonts w:ascii="Times New Roman" w:hAnsi="Times New Roman" w:cs="Times New Roman"/>
          <w:sz w:val="24"/>
          <w:szCs w:val="24"/>
        </w:rPr>
        <w:t>1.2 Project Roadmap</w:t>
      </w:r>
    </w:p>
    <w:p w14:paraId="0EF5F218"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The remainder of this report follows the same structure as the underlying notebook: data preparation (cleaning and feature engineering), exploratory data analysis, regression modeling, classification, clustering, association rule mining, evaluation results, cross-technique insights, ethical considerations, and practical recommendations.</w:t>
      </w:r>
    </w:p>
    <w:p w14:paraId="0C552E7B" w14:textId="77777777" w:rsidR="006146A1" w:rsidRPr="00474669" w:rsidRDefault="00000000" w:rsidP="00474669">
      <w:pPr>
        <w:pStyle w:val="Heading1"/>
        <w:spacing w:line="480" w:lineRule="auto"/>
        <w:rPr>
          <w:rFonts w:ascii="Times New Roman" w:hAnsi="Times New Roman" w:cs="Times New Roman"/>
          <w:sz w:val="24"/>
          <w:szCs w:val="24"/>
        </w:rPr>
      </w:pPr>
      <w:r w:rsidRPr="00474669">
        <w:rPr>
          <w:rFonts w:ascii="Times New Roman" w:hAnsi="Times New Roman" w:cs="Times New Roman"/>
          <w:sz w:val="24"/>
          <w:szCs w:val="24"/>
        </w:rPr>
        <w:t>2. Data Preparation</w:t>
      </w:r>
    </w:p>
    <w:p w14:paraId="3AE4DB28" w14:textId="77777777" w:rsidR="006146A1" w:rsidRPr="00474669" w:rsidRDefault="00000000" w:rsidP="00474669">
      <w:pPr>
        <w:pStyle w:val="Heading2"/>
        <w:spacing w:line="480" w:lineRule="auto"/>
        <w:rPr>
          <w:rFonts w:ascii="Times New Roman" w:hAnsi="Times New Roman" w:cs="Times New Roman"/>
          <w:sz w:val="24"/>
          <w:szCs w:val="24"/>
        </w:rPr>
      </w:pPr>
      <w:r w:rsidRPr="00474669">
        <w:rPr>
          <w:rFonts w:ascii="Times New Roman" w:hAnsi="Times New Roman" w:cs="Times New Roman"/>
          <w:sz w:val="24"/>
          <w:szCs w:val="24"/>
        </w:rPr>
        <w:t>2.1 Data Cleaning</w:t>
      </w:r>
    </w:p>
    <w:p w14:paraId="78B86964"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Three cleaning issues were identified and addressed:</w:t>
      </w:r>
    </w:p>
    <w:p w14:paraId="55B015B1" w14:textId="77777777" w:rsidR="006146A1" w:rsidRPr="00474669" w:rsidRDefault="00000000" w:rsidP="00474669">
      <w:pPr>
        <w:pStyle w:val="ListParagraph"/>
        <w:numPr>
          <w:ilvl w:val="0"/>
          <w:numId w:val="1"/>
        </w:numPr>
        <w:spacing w:after="100" w:line="480" w:lineRule="auto"/>
        <w:rPr>
          <w:rFonts w:ascii="Times New Roman" w:hAnsi="Times New Roman" w:cs="Times New Roman"/>
          <w:sz w:val="24"/>
          <w:szCs w:val="24"/>
        </w:rPr>
      </w:pPr>
      <w:r w:rsidRPr="00474669">
        <w:rPr>
          <w:rFonts w:ascii="Times New Roman" w:hAnsi="Times New Roman" w:cs="Times New Roman"/>
          <w:sz w:val="24"/>
          <w:szCs w:val="24"/>
        </w:rPr>
        <w:t xml:space="preserve">Hidden missing values: </w:t>
      </w:r>
      <w:proofErr w:type="spellStart"/>
      <w:r w:rsidRPr="00474669">
        <w:rPr>
          <w:rFonts w:ascii="Times New Roman" w:hAnsi="Times New Roman" w:cs="Times New Roman"/>
          <w:sz w:val="24"/>
          <w:szCs w:val="24"/>
        </w:rPr>
        <w:t>TotalCharges</w:t>
      </w:r>
      <w:proofErr w:type="spellEnd"/>
      <w:r w:rsidRPr="00474669">
        <w:rPr>
          <w:rFonts w:ascii="Times New Roman" w:hAnsi="Times New Roman" w:cs="Times New Roman"/>
          <w:sz w:val="24"/>
          <w:szCs w:val="24"/>
        </w:rPr>
        <w:t xml:space="preserve"> was stored as a text column and contained 11 blank-string entries. Inspection showed all 11 belonged to brand-new customers with tenure = 0, so the column was converted to numeric and these values imputed as 0 — a legitimate zero rather than missing data, since a new customer has not yet accrued charges.</w:t>
      </w:r>
    </w:p>
    <w:p w14:paraId="5F3D0496" w14:textId="77777777" w:rsidR="006146A1" w:rsidRPr="00474669" w:rsidRDefault="00000000" w:rsidP="00474669">
      <w:pPr>
        <w:pStyle w:val="ListParagraph"/>
        <w:numPr>
          <w:ilvl w:val="0"/>
          <w:numId w:val="1"/>
        </w:numPr>
        <w:spacing w:after="100" w:line="480" w:lineRule="auto"/>
        <w:rPr>
          <w:rFonts w:ascii="Times New Roman" w:hAnsi="Times New Roman" w:cs="Times New Roman"/>
          <w:sz w:val="24"/>
          <w:szCs w:val="24"/>
        </w:rPr>
      </w:pPr>
      <w:r w:rsidRPr="00474669">
        <w:rPr>
          <w:rFonts w:ascii="Times New Roman" w:hAnsi="Times New Roman" w:cs="Times New Roman"/>
          <w:sz w:val="24"/>
          <w:szCs w:val="24"/>
        </w:rPr>
        <w:t xml:space="preserve">Duplicates: </w:t>
      </w:r>
      <w:proofErr w:type="spellStart"/>
      <w:r w:rsidRPr="00474669">
        <w:rPr>
          <w:rFonts w:ascii="Times New Roman" w:hAnsi="Times New Roman" w:cs="Times New Roman"/>
          <w:sz w:val="24"/>
          <w:szCs w:val="24"/>
        </w:rPr>
        <w:t>customerID</w:t>
      </w:r>
      <w:proofErr w:type="spellEnd"/>
      <w:r w:rsidRPr="00474669">
        <w:rPr>
          <w:rFonts w:ascii="Times New Roman" w:hAnsi="Times New Roman" w:cs="Times New Roman"/>
          <w:sz w:val="24"/>
          <w:szCs w:val="24"/>
        </w:rPr>
        <w:t xml:space="preserve"> and full-row duplicate checks found none.</w:t>
      </w:r>
    </w:p>
    <w:p w14:paraId="42E5CDCD" w14:textId="77777777" w:rsidR="006146A1" w:rsidRPr="00474669" w:rsidRDefault="00000000" w:rsidP="00474669">
      <w:pPr>
        <w:pStyle w:val="ListParagraph"/>
        <w:numPr>
          <w:ilvl w:val="0"/>
          <w:numId w:val="1"/>
        </w:numPr>
        <w:spacing w:after="100" w:line="480" w:lineRule="auto"/>
        <w:rPr>
          <w:rFonts w:ascii="Times New Roman" w:hAnsi="Times New Roman" w:cs="Times New Roman"/>
          <w:sz w:val="24"/>
          <w:szCs w:val="24"/>
        </w:rPr>
      </w:pPr>
      <w:r w:rsidRPr="00474669">
        <w:rPr>
          <w:rFonts w:ascii="Times New Roman" w:hAnsi="Times New Roman" w:cs="Times New Roman"/>
          <w:sz w:val="24"/>
          <w:szCs w:val="24"/>
        </w:rPr>
        <w:t xml:space="preserve">Inconsistent categories: several service columns encoded “No internet service” / “No phone service” as separate categories, even though this was fully implied by </w:t>
      </w:r>
      <w:proofErr w:type="spellStart"/>
      <w:r w:rsidRPr="00474669">
        <w:rPr>
          <w:rFonts w:ascii="Times New Roman" w:hAnsi="Times New Roman" w:cs="Times New Roman"/>
          <w:sz w:val="24"/>
          <w:szCs w:val="24"/>
        </w:rPr>
        <w:lastRenderedPageBreak/>
        <w:t>InternetService</w:t>
      </w:r>
      <w:proofErr w:type="spellEnd"/>
      <w:r w:rsidRPr="00474669">
        <w:rPr>
          <w:rFonts w:ascii="Times New Roman" w:hAnsi="Times New Roman" w:cs="Times New Roman"/>
          <w:sz w:val="24"/>
          <w:szCs w:val="24"/>
        </w:rPr>
        <w:t xml:space="preserve"> / </w:t>
      </w:r>
      <w:proofErr w:type="spellStart"/>
      <w:r w:rsidRPr="00474669">
        <w:rPr>
          <w:rFonts w:ascii="Times New Roman" w:hAnsi="Times New Roman" w:cs="Times New Roman"/>
          <w:sz w:val="24"/>
          <w:szCs w:val="24"/>
        </w:rPr>
        <w:t>PhoneService</w:t>
      </w:r>
      <w:proofErr w:type="spellEnd"/>
      <w:r w:rsidRPr="00474669">
        <w:rPr>
          <w:rFonts w:ascii="Times New Roman" w:hAnsi="Times New Roman" w:cs="Times New Roman"/>
          <w:sz w:val="24"/>
          <w:szCs w:val="24"/>
        </w:rPr>
        <w:t xml:space="preserve">. These were consolidated into a single “No” category, and </w:t>
      </w:r>
      <w:proofErr w:type="spellStart"/>
      <w:r w:rsidRPr="00474669">
        <w:rPr>
          <w:rFonts w:ascii="Times New Roman" w:hAnsi="Times New Roman" w:cs="Times New Roman"/>
          <w:sz w:val="24"/>
          <w:szCs w:val="24"/>
        </w:rPr>
        <w:t>SeniorCitizen</w:t>
      </w:r>
      <w:proofErr w:type="spellEnd"/>
      <w:r w:rsidRPr="00474669">
        <w:rPr>
          <w:rFonts w:ascii="Times New Roman" w:hAnsi="Times New Roman" w:cs="Times New Roman"/>
          <w:sz w:val="24"/>
          <w:szCs w:val="24"/>
        </w:rPr>
        <w:t xml:space="preserve"> was recoded from 0/1 to No/Yes for consistency with the other binary categorical columns.</w:t>
      </w:r>
    </w:p>
    <w:p w14:paraId="05150D1D"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 xml:space="preserve">Boxplots of tenure, </w:t>
      </w:r>
      <w:proofErr w:type="spellStart"/>
      <w:r w:rsidRPr="00474669">
        <w:rPr>
          <w:rFonts w:ascii="Times New Roman" w:hAnsi="Times New Roman" w:cs="Times New Roman"/>
          <w:sz w:val="24"/>
          <w:szCs w:val="24"/>
        </w:rPr>
        <w:t>MonthlyCharges</w:t>
      </w:r>
      <w:proofErr w:type="spellEnd"/>
      <w:r w:rsidRPr="00474669">
        <w:rPr>
          <w:rFonts w:ascii="Times New Roman" w:hAnsi="Times New Roman" w:cs="Times New Roman"/>
          <w:sz w:val="24"/>
          <w:szCs w:val="24"/>
        </w:rPr>
        <w:t xml:space="preserve">, and </w:t>
      </w:r>
      <w:proofErr w:type="spellStart"/>
      <w:r w:rsidRPr="00474669">
        <w:rPr>
          <w:rFonts w:ascii="Times New Roman" w:hAnsi="Times New Roman" w:cs="Times New Roman"/>
          <w:sz w:val="24"/>
          <w:szCs w:val="24"/>
        </w:rPr>
        <w:t>TotalCharges</w:t>
      </w:r>
      <w:proofErr w:type="spellEnd"/>
      <w:r w:rsidRPr="00474669">
        <w:rPr>
          <w:rFonts w:ascii="Times New Roman" w:hAnsi="Times New Roman" w:cs="Times New Roman"/>
          <w:sz w:val="24"/>
          <w:szCs w:val="24"/>
        </w:rPr>
        <w:t xml:space="preserve"> showed no implausible outliers; all values fell within expected business ranges, so no values were removed or capped.</w:t>
      </w:r>
    </w:p>
    <w:p w14:paraId="13A4CAA2" w14:textId="77777777" w:rsidR="006146A1" w:rsidRPr="00474669" w:rsidRDefault="00000000" w:rsidP="00474669">
      <w:pPr>
        <w:pStyle w:val="Heading2"/>
        <w:spacing w:line="480" w:lineRule="auto"/>
        <w:rPr>
          <w:rFonts w:ascii="Times New Roman" w:hAnsi="Times New Roman" w:cs="Times New Roman"/>
          <w:sz w:val="24"/>
          <w:szCs w:val="24"/>
        </w:rPr>
      </w:pPr>
      <w:r w:rsidRPr="00474669">
        <w:rPr>
          <w:rFonts w:ascii="Times New Roman" w:hAnsi="Times New Roman" w:cs="Times New Roman"/>
          <w:sz w:val="24"/>
          <w:szCs w:val="24"/>
        </w:rPr>
        <w:t>2.2 Feature Engineering</w:t>
      </w:r>
    </w:p>
    <w:p w14:paraId="33FE6C10"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Four engineered features were carried through every later modeling stage:</w:t>
      </w:r>
    </w:p>
    <w:p w14:paraId="42847907" w14:textId="77777777" w:rsidR="006146A1" w:rsidRPr="00474669" w:rsidRDefault="00000000" w:rsidP="00474669">
      <w:pPr>
        <w:pStyle w:val="ListParagraph"/>
        <w:numPr>
          <w:ilvl w:val="0"/>
          <w:numId w:val="1"/>
        </w:numPr>
        <w:spacing w:after="100" w:line="480" w:lineRule="auto"/>
        <w:rPr>
          <w:rFonts w:ascii="Times New Roman" w:hAnsi="Times New Roman" w:cs="Times New Roman"/>
          <w:sz w:val="24"/>
          <w:szCs w:val="24"/>
        </w:rPr>
      </w:pPr>
      <w:proofErr w:type="spellStart"/>
      <w:r w:rsidRPr="00474669">
        <w:rPr>
          <w:rFonts w:ascii="Times New Roman" w:hAnsi="Times New Roman" w:cs="Times New Roman"/>
          <w:sz w:val="24"/>
          <w:szCs w:val="24"/>
        </w:rPr>
        <w:t>NumAddOnServices</w:t>
      </w:r>
      <w:proofErr w:type="spellEnd"/>
      <w:r w:rsidRPr="00474669">
        <w:rPr>
          <w:rFonts w:ascii="Times New Roman" w:hAnsi="Times New Roman" w:cs="Times New Roman"/>
          <w:sz w:val="24"/>
          <w:szCs w:val="24"/>
        </w:rPr>
        <w:t xml:space="preserve"> — a count (0–6) of subscribed add-on services (online security, online backup, device protection, tech support, streaming TV, streaming movies), condensing six sparse binary columns into one informative count.</w:t>
      </w:r>
    </w:p>
    <w:p w14:paraId="6F23EBDD" w14:textId="77777777" w:rsidR="006146A1" w:rsidRPr="00474669" w:rsidRDefault="00000000" w:rsidP="00474669">
      <w:pPr>
        <w:pStyle w:val="ListParagraph"/>
        <w:numPr>
          <w:ilvl w:val="0"/>
          <w:numId w:val="1"/>
        </w:numPr>
        <w:spacing w:after="100" w:line="480" w:lineRule="auto"/>
        <w:rPr>
          <w:rFonts w:ascii="Times New Roman" w:hAnsi="Times New Roman" w:cs="Times New Roman"/>
          <w:sz w:val="24"/>
          <w:szCs w:val="24"/>
        </w:rPr>
      </w:pPr>
      <w:proofErr w:type="spellStart"/>
      <w:r w:rsidRPr="00474669">
        <w:rPr>
          <w:rFonts w:ascii="Times New Roman" w:hAnsi="Times New Roman" w:cs="Times New Roman"/>
          <w:sz w:val="24"/>
          <w:szCs w:val="24"/>
        </w:rPr>
        <w:t>HasInternet</w:t>
      </w:r>
      <w:proofErr w:type="spellEnd"/>
      <w:r w:rsidRPr="00474669">
        <w:rPr>
          <w:rFonts w:ascii="Times New Roman" w:hAnsi="Times New Roman" w:cs="Times New Roman"/>
          <w:sz w:val="24"/>
          <w:szCs w:val="24"/>
        </w:rPr>
        <w:t xml:space="preserve"> / </w:t>
      </w:r>
      <w:proofErr w:type="spellStart"/>
      <w:r w:rsidRPr="00474669">
        <w:rPr>
          <w:rFonts w:ascii="Times New Roman" w:hAnsi="Times New Roman" w:cs="Times New Roman"/>
          <w:sz w:val="24"/>
          <w:szCs w:val="24"/>
        </w:rPr>
        <w:t>HasPhone</w:t>
      </w:r>
      <w:proofErr w:type="spellEnd"/>
      <w:r w:rsidRPr="00474669">
        <w:rPr>
          <w:rFonts w:ascii="Times New Roman" w:hAnsi="Times New Roman" w:cs="Times New Roman"/>
          <w:sz w:val="24"/>
          <w:szCs w:val="24"/>
        </w:rPr>
        <w:t xml:space="preserve"> — binary flags derived from </w:t>
      </w:r>
      <w:proofErr w:type="spellStart"/>
      <w:r w:rsidRPr="00474669">
        <w:rPr>
          <w:rFonts w:ascii="Times New Roman" w:hAnsi="Times New Roman" w:cs="Times New Roman"/>
          <w:sz w:val="24"/>
          <w:szCs w:val="24"/>
        </w:rPr>
        <w:t>InternetService</w:t>
      </w:r>
      <w:proofErr w:type="spellEnd"/>
      <w:r w:rsidRPr="00474669">
        <w:rPr>
          <w:rFonts w:ascii="Times New Roman" w:hAnsi="Times New Roman" w:cs="Times New Roman"/>
          <w:sz w:val="24"/>
          <w:szCs w:val="24"/>
        </w:rPr>
        <w:t xml:space="preserve"> and </w:t>
      </w:r>
      <w:proofErr w:type="spellStart"/>
      <w:r w:rsidRPr="00474669">
        <w:rPr>
          <w:rFonts w:ascii="Times New Roman" w:hAnsi="Times New Roman" w:cs="Times New Roman"/>
          <w:sz w:val="24"/>
          <w:szCs w:val="24"/>
        </w:rPr>
        <w:t>PhoneService</w:t>
      </w:r>
      <w:proofErr w:type="spellEnd"/>
      <w:r w:rsidRPr="00474669">
        <w:rPr>
          <w:rFonts w:ascii="Times New Roman" w:hAnsi="Times New Roman" w:cs="Times New Roman"/>
          <w:sz w:val="24"/>
          <w:szCs w:val="24"/>
        </w:rPr>
        <w:t>.</w:t>
      </w:r>
    </w:p>
    <w:p w14:paraId="501C73D2" w14:textId="77777777" w:rsidR="006146A1" w:rsidRPr="00474669" w:rsidRDefault="00000000" w:rsidP="00474669">
      <w:pPr>
        <w:pStyle w:val="ListParagraph"/>
        <w:numPr>
          <w:ilvl w:val="0"/>
          <w:numId w:val="1"/>
        </w:numPr>
        <w:spacing w:after="100" w:line="480" w:lineRule="auto"/>
        <w:rPr>
          <w:rFonts w:ascii="Times New Roman" w:hAnsi="Times New Roman" w:cs="Times New Roman"/>
          <w:sz w:val="24"/>
          <w:szCs w:val="24"/>
        </w:rPr>
      </w:pPr>
      <w:proofErr w:type="spellStart"/>
      <w:r w:rsidRPr="00474669">
        <w:rPr>
          <w:rFonts w:ascii="Times New Roman" w:hAnsi="Times New Roman" w:cs="Times New Roman"/>
          <w:sz w:val="24"/>
          <w:szCs w:val="24"/>
        </w:rPr>
        <w:t>TenureGroup</w:t>
      </w:r>
      <w:proofErr w:type="spellEnd"/>
      <w:r w:rsidRPr="00474669">
        <w:rPr>
          <w:rFonts w:ascii="Times New Roman" w:hAnsi="Times New Roman" w:cs="Times New Roman"/>
          <w:sz w:val="24"/>
          <w:szCs w:val="24"/>
        </w:rPr>
        <w:t xml:space="preserve"> — tenure binned into five lifecycle stages (0–12, 13–24, 25–48, 49–60, 61–72 months).</w:t>
      </w:r>
    </w:p>
    <w:p w14:paraId="6E9426EA" w14:textId="77777777" w:rsidR="006146A1" w:rsidRPr="00474669" w:rsidRDefault="00000000" w:rsidP="00474669">
      <w:pPr>
        <w:pStyle w:val="ListParagraph"/>
        <w:numPr>
          <w:ilvl w:val="0"/>
          <w:numId w:val="1"/>
        </w:numPr>
        <w:spacing w:after="100" w:line="480" w:lineRule="auto"/>
        <w:rPr>
          <w:rFonts w:ascii="Times New Roman" w:hAnsi="Times New Roman" w:cs="Times New Roman"/>
          <w:sz w:val="24"/>
          <w:szCs w:val="24"/>
        </w:rPr>
      </w:pPr>
      <w:proofErr w:type="spellStart"/>
      <w:r w:rsidRPr="00474669">
        <w:rPr>
          <w:rFonts w:ascii="Times New Roman" w:hAnsi="Times New Roman" w:cs="Times New Roman"/>
          <w:sz w:val="24"/>
          <w:szCs w:val="24"/>
        </w:rPr>
        <w:t>ChurnFlag</w:t>
      </w:r>
      <w:proofErr w:type="spellEnd"/>
      <w:r w:rsidRPr="00474669">
        <w:rPr>
          <w:rFonts w:ascii="Times New Roman" w:hAnsi="Times New Roman" w:cs="Times New Roman"/>
          <w:sz w:val="24"/>
          <w:szCs w:val="24"/>
        </w:rPr>
        <w:t xml:space="preserve"> — a binary (1/0) encoding of the Churn target for modeling.</w:t>
      </w:r>
    </w:p>
    <w:p w14:paraId="44A5C0DD" w14:textId="77777777" w:rsidR="006146A1" w:rsidRPr="00474669" w:rsidRDefault="00000000" w:rsidP="00474669">
      <w:pPr>
        <w:pStyle w:val="Heading2"/>
        <w:spacing w:line="480" w:lineRule="auto"/>
        <w:rPr>
          <w:rFonts w:ascii="Times New Roman" w:hAnsi="Times New Roman" w:cs="Times New Roman"/>
          <w:sz w:val="24"/>
          <w:szCs w:val="24"/>
        </w:rPr>
      </w:pPr>
      <w:r w:rsidRPr="00474669">
        <w:rPr>
          <w:rFonts w:ascii="Times New Roman" w:hAnsi="Times New Roman" w:cs="Times New Roman"/>
          <w:sz w:val="24"/>
          <w:szCs w:val="24"/>
        </w:rPr>
        <w:t>2.3 Exploratory Data Analysis</w:t>
      </w:r>
    </w:p>
    <w:p w14:paraId="25E4C0D1"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The target variable is moderately imbalanced: 26.5% of customers churned versus 73.5% who stayed. This directly informed the choice of evaluation metrics (F1 and ROC AUC rather than raw accuracy) in the classification stage.</w:t>
      </w:r>
    </w:p>
    <w:p w14:paraId="53C5E64B" w14:textId="77777777" w:rsidR="006146A1" w:rsidRPr="00474669" w:rsidRDefault="00000000" w:rsidP="00474669">
      <w:pPr>
        <w:spacing w:before="120" w:after="60" w:line="480" w:lineRule="auto"/>
        <w:jc w:val="center"/>
        <w:rPr>
          <w:rFonts w:ascii="Times New Roman" w:hAnsi="Times New Roman" w:cs="Times New Roman"/>
          <w:sz w:val="24"/>
          <w:szCs w:val="24"/>
        </w:rPr>
      </w:pPr>
      <w:r w:rsidRPr="00474669">
        <w:rPr>
          <w:rFonts w:ascii="Times New Roman" w:hAnsi="Times New Roman" w:cs="Times New Roman"/>
          <w:noProof/>
          <w:sz w:val="24"/>
          <w:szCs w:val="24"/>
        </w:rPr>
        <w:lastRenderedPageBreak/>
        <w:drawing>
          <wp:inline distT="0" distB="0" distL="0" distR="0" wp14:anchorId="0CD287B2" wp14:editId="03AC7F86">
            <wp:extent cx="2924175" cy="1952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24175" cy="1952625"/>
                    </a:xfrm>
                    <a:prstGeom prst="rect">
                      <a:avLst/>
                    </a:prstGeom>
                  </pic:spPr>
                </pic:pic>
              </a:graphicData>
            </a:graphic>
          </wp:inline>
        </w:drawing>
      </w:r>
    </w:p>
    <w:p w14:paraId="6A20B950" w14:textId="77777777" w:rsidR="006146A1" w:rsidRPr="00474669" w:rsidRDefault="00000000" w:rsidP="00474669">
      <w:pPr>
        <w:spacing w:after="240" w:line="480" w:lineRule="auto"/>
        <w:jc w:val="center"/>
        <w:rPr>
          <w:rFonts w:ascii="Times New Roman" w:hAnsi="Times New Roman" w:cs="Times New Roman"/>
          <w:sz w:val="24"/>
          <w:szCs w:val="24"/>
        </w:rPr>
      </w:pPr>
      <w:r w:rsidRPr="00474669">
        <w:rPr>
          <w:rFonts w:ascii="Times New Roman" w:hAnsi="Times New Roman" w:cs="Times New Roman"/>
          <w:i/>
          <w:iCs/>
          <w:sz w:val="24"/>
          <w:szCs w:val="24"/>
        </w:rPr>
        <w:t>Figure 1. Customer churn distribution (26.5% churned).</w:t>
      </w:r>
    </w:p>
    <w:p w14:paraId="04722BC0"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 xml:space="preserve">A correlation analysis of the three numeric billing/tenure columns showed </w:t>
      </w:r>
      <w:proofErr w:type="spellStart"/>
      <w:r w:rsidRPr="00474669">
        <w:rPr>
          <w:rFonts w:ascii="Times New Roman" w:hAnsi="Times New Roman" w:cs="Times New Roman"/>
          <w:sz w:val="24"/>
          <w:szCs w:val="24"/>
        </w:rPr>
        <w:t>TotalCharges</w:t>
      </w:r>
      <w:proofErr w:type="spellEnd"/>
      <w:r w:rsidRPr="00474669">
        <w:rPr>
          <w:rFonts w:ascii="Times New Roman" w:hAnsi="Times New Roman" w:cs="Times New Roman"/>
          <w:sz w:val="24"/>
          <w:szCs w:val="24"/>
        </w:rPr>
        <w:t xml:space="preserve"> is strongly correlated with tenure and moderately correlated with </w:t>
      </w:r>
      <w:proofErr w:type="spellStart"/>
      <w:r w:rsidRPr="00474669">
        <w:rPr>
          <w:rFonts w:ascii="Times New Roman" w:hAnsi="Times New Roman" w:cs="Times New Roman"/>
          <w:sz w:val="24"/>
          <w:szCs w:val="24"/>
        </w:rPr>
        <w:t>MonthlyCharges</w:t>
      </w:r>
      <w:proofErr w:type="spellEnd"/>
      <w:r w:rsidRPr="00474669">
        <w:rPr>
          <w:rFonts w:ascii="Times New Roman" w:hAnsi="Times New Roman" w:cs="Times New Roman"/>
          <w:sz w:val="24"/>
          <w:szCs w:val="24"/>
        </w:rPr>
        <w:t xml:space="preserve"> — an expected relationship, since total charges accumulate over time, but one that flags a multicollinearity and data-leakage risk for later regression modeling.</w:t>
      </w:r>
    </w:p>
    <w:p w14:paraId="2B0517A1" w14:textId="77777777" w:rsidR="006146A1" w:rsidRPr="00474669" w:rsidRDefault="00000000" w:rsidP="00474669">
      <w:pPr>
        <w:spacing w:before="120" w:after="60" w:line="480" w:lineRule="auto"/>
        <w:jc w:val="center"/>
        <w:rPr>
          <w:rFonts w:ascii="Times New Roman" w:hAnsi="Times New Roman" w:cs="Times New Roman"/>
          <w:sz w:val="24"/>
          <w:szCs w:val="24"/>
        </w:rPr>
      </w:pPr>
      <w:r w:rsidRPr="00474669">
        <w:rPr>
          <w:rFonts w:ascii="Times New Roman" w:hAnsi="Times New Roman" w:cs="Times New Roman"/>
          <w:noProof/>
          <w:sz w:val="24"/>
          <w:szCs w:val="24"/>
        </w:rPr>
        <w:drawing>
          <wp:inline distT="0" distB="0" distL="0" distR="0" wp14:anchorId="0BA4F294" wp14:editId="51FAC266">
            <wp:extent cx="2743200" cy="1924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43200" cy="1924050"/>
                    </a:xfrm>
                    <a:prstGeom prst="rect">
                      <a:avLst/>
                    </a:prstGeom>
                  </pic:spPr>
                </pic:pic>
              </a:graphicData>
            </a:graphic>
          </wp:inline>
        </w:drawing>
      </w:r>
    </w:p>
    <w:p w14:paraId="7D683BC6" w14:textId="77777777" w:rsidR="006146A1" w:rsidRPr="00474669" w:rsidRDefault="00000000" w:rsidP="00474669">
      <w:pPr>
        <w:spacing w:after="240" w:line="480" w:lineRule="auto"/>
        <w:jc w:val="center"/>
        <w:rPr>
          <w:rFonts w:ascii="Times New Roman" w:hAnsi="Times New Roman" w:cs="Times New Roman"/>
          <w:sz w:val="24"/>
          <w:szCs w:val="24"/>
        </w:rPr>
      </w:pPr>
      <w:r w:rsidRPr="00474669">
        <w:rPr>
          <w:rFonts w:ascii="Times New Roman" w:hAnsi="Times New Roman" w:cs="Times New Roman"/>
          <w:i/>
          <w:iCs/>
          <w:sz w:val="24"/>
          <w:szCs w:val="24"/>
        </w:rPr>
        <w:t xml:space="preserve">Figure 2. Correlation heatmap of tenure, </w:t>
      </w:r>
      <w:proofErr w:type="spellStart"/>
      <w:r w:rsidRPr="00474669">
        <w:rPr>
          <w:rFonts w:ascii="Times New Roman" w:hAnsi="Times New Roman" w:cs="Times New Roman"/>
          <w:i/>
          <w:iCs/>
          <w:sz w:val="24"/>
          <w:szCs w:val="24"/>
        </w:rPr>
        <w:t>MonthlyCharges</w:t>
      </w:r>
      <w:proofErr w:type="spellEnd"/>
      <w:r w:rsidRPr="00474669">
        <w:rPr>
          <w:rFonts w:ascii="Times New Roman" w:hAnsi="Times New Roman" w:cs="Times New Roman"/>
          <w:i/>
          <w:iCs/>
          <w:sz w:val="24"/>
          <w:szCs w:val="24"/>
        </w:rPr>
        <w:t xml:space="preserve">, and </w:t>
      </w:r>
      <w:proofErr w:type="spellStart"/>
      <w:r w:rsidRPr="00474669">
        <w:rPr>
          <w:rFonts w:ascii="Times New Roman" w:hAnsi="Times New Roman" w:cs="Times New Roman"/>
          <w:i/>
          <w:iCs/>
          <w:sz w:val="24"/>
          <w:szCs w:val="24"/>
        </w:rPr>
        <w:t>TotalCharges</w:t>
      </w:r>
      <w:proofErr w:type="spellEnd"/>
      <w:r w:rsidRPr="00474669">
        <w:rPr>
          <w:rFonts w:ascii="Times New Roman" w:hAnsi="Times New Roman" w:cs="Times New Roman"/>
          <w:i/>
          <w:iCs/>
          <w:sz w:val="24"/>
          <w:szCs w:val="24"/>
        </w:rPr>
        <w:t>.</w:t>
      </w:r>
    </w:p>
    <w:p w14:paraId="22CA154A"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Cross-tabulating churn against contract type, internet service type, tenure, and monthly charges revealed the strongest early churn signals in the dataset: month-to-month customers churn far more than one- or two-year contract customers; fiber-optic internet customers churn more than DSL or no-internet customers; and churners skew toward shorter tenure and higher monthly bills.</w:t>
      </w:r>
    </w:p>
    <w:p w14:paraId="3D9F8330" w14:textId="77777777" w:rsidR="006146A1" w:rsidRPr="00474669" w:rsidRDefault="00000000" w:rsidP="00474669">
      <w:pPr>
        <w:spacing w:before="120" w:after="60" w:line="480" w:lineRule="auto"/>
        <w:jc w:val="center"/>
        <w:rPr>
          <w:rFonts w:ascii="Times New Roman" w:hAnsi="Times New Roman" w:cs="Times New Roman"/>
          <w:sz w:val="24"/>
          <w:szCs w:val="24"/>
        </w:rPr>
      </w:pPr>
      <w:r w:rsidRPr="00474669">
        <w:rPr>
          <w:rFonts w:ascii="Times New Roman" w:hAnsi="Times New Roman" w:cs="Times New Roman"/>
          <w:noProof/>
          <w:sz w:val="24"/>
          <w:szCs w:val="24"/>
        </w:rPr>
        <w:lastRenderedPageBreak/>
        <w:drawing>
          <wp:inline distT="0" distB="0" distL="0" distR="0" wp14:anchorId="1C00AA75" wp14:editId="60981774">
            <wp:extent cx="5486400" cy="3905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905250"/>
                    </a:xfrm>
                    <a:prstGeom prst="rect">
                      <a:avLst/>
                    </a:prstGeom>
                  </pic:spPr>
                </pic:pic>
              </a:graphicData>
            </a:graphic>
          </wp:inline>
        </w:drawing>
      </w:r>
    </w:p>
    <w:p w14:paraId="2B7890F8" w14:textId="77777777" w:rsidR="006146A1" w:rsidRPr="00474669" w:rsidRDefault="00000000" w:rsidP="00474669">
      <w:pPr>
        <w:spacing w:after="240" w:line="480" w:lineRule="auto"/>
        <w:jc w:val="center"/>
        <w:rPr>
          <w:rFonts w:ascii="Times New Roman" w:hAnsi="Times New Roman" w:cs="Times New Roman"/>
          <w:sz w:val="24"/>
          <w:szCs w:val="24"/>
        </w:rPr>
      </w:pPr>
      <w:r w:rsidRPr="00474669">
        <w:rPr>
          <w:rFonts w:ascii="Times New Roman" w:hAnsi="Times New Roman" w:cs="Times New Roman"/>
          <w:i/>
          <w:iCs/>
          <w:sz w:val="24"/>
          <w:szCs w:val="24"/>
        </w:rPr>
        <w:t>Figure 3. Churn by contract type, internet service type, tenure, and monthly charges.</w:t>
      </w:r>
    </w:p>
    <w:p w14:paraId="4B5E4D57"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These four attributes — contract type, internet service type, tenure, and pricing — reappear as the dominant signal in every later technique used in this project: as top classification predictors, as the primary axes separating customer clusters, and as the antecedents of the highest-lift association rules.</w:t>
      </w:r>
    </w:p>
    <w:p w14:paraId="7BC9D4E0" w14:textId="77777777" w:rsidR="006146A1" w:rsidRPr="00474669" w:rsidRDefault="00000000" w:rsidP="00474669">
      <w:pPr>
        <w:pStyle w:val="Heading1"/>
        <w:spacing w:line="480" w:lineRule="auto"/>
        <w:rPr>
          <w:rFonts w:ascii="Times New Roman" w:hAnsi="Times New Roman" w:cs="Times New Roman"/>
          <w:sz w:val="24"/>
          <w:szCs w:val="24"/>
        </w:rPr>
      </w:pPr>
      <w:r w:rsidRPr="00474669">
        <w:rPr>
          <w:rFonts w:ascii="Times New Roman" w:hAnsi="Times New Roman" w:cs="Times New Roman"/>
          <w:sz w:val="24"/>
          <w:szCs w:val="24"/>
        </w:rPr>
        <w:t>3. Modeling Details</w:t>
      </w:r>
    </w:p>
    <w:p w14:paraId="08F88027" w14:textId="77777777" w:rsidR="006146A1" w:rsidRPr="00474669" w:rsidRDefault="00000000" w:rsidP="00474669">
      <w:pPr>
        <w:pStyle w:val="Heading2"/>
        <w:spacing w:line="480" w:lineRule="auto"/>
        <w:rPr>
          <w:rFonts w:ascii="Times New Roman" w:hAnsi="Times New Roman" w:cs="Times New Roman"/>
          <w:sz w:val="24"/>
          <w:szCs w:val="24"/>
        </w:rPr>
      </w:pPr>
      <w:r w:rsidRPr="00474669">
        <w:rPr>
          <w:rFonts w:ascii="Times New Roman" w:hAnsi="Times New Roman" w:cs="Times New Roman"/>
          <w:sz w:val="24"/>
          <w:szCs w:val="24"/>
        </w:rPr>
        <w:t>3.1 Regression: Predicting Monthly Charges</w:t>
      </w:r>
    </w:p>
    <w:p w14:paraId="40590580"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 xml:space="preserve">Because </w:t>
      </w:r>
      <w:proofErr w:type="spellStart"/>
      <w:r w:rsidRPr="00474669">
        <w:rPr>
          <w:rFonts w:ascii="Times New Roman" w:hAnsi="Times New Roman" w:cs="Times New Roman"/>
          <w:sz w:val="24"/>
          <w:szCs w:val="24"/>
        </w:rPr>
        <w:t>TotalCharges</w:t>
      </w:r>
      <w:proofErr w:type="spellEnd"/>
      <w:r w:rsidRPr="00474669">
        <w:rPr>
          <w:rFonts w:ascii="Times New Roman" w:hAnsi="Times New Roman" w:cs="Times New Roman"/>
          <w:sz w:val="24"/>
          <w:szCs w:val="24"/>
        </w:rPr>
        <w:t xml:space="preserve"> is a poor, leakage-prone regression target (near-collinear with tenure and </w:t>
      </w:r>
      <w:proofErr w:type="spellStart"/>
      <w:r w:rsidRPr="00474669">
        <w:rPr>
          <w:rFonts w:ascii="Times New Roman" w:hAnsi="Times New Roman" w:cs="Times New Roman"/>
          <w:sz w:val="24"/>
          <w:szCs w:val="24"/>
        </w:rPr>
        <w:t>MonthlyCharges</w:t>
      </w:r>
      <w:proofErr w:type="spellEnd"/>
      <w:r w:rsidRPr="00474669">
        <w:rPr>
          <w:rFonts w:ascii="Times New Roman" w:hAnsi="Times New Roman" w:cs="Times New Roman"/>
          <w:sz w:val="24"/>
          <w:szCs w:val="24"/>
        </w:rPr>
        <w:t xml:space="preserve">, as shown in Figure 2), the regression task instead predicts </w:t>
      </w:r>
      <w:proofErr w:type="spellStart"/>
      <w:r w:rsidRPr="00474669">
        <w:rPr>
          <w:rFonts w:ascii="Times New Roman" w:hAnsi="Times New Roman" w:cs="Times New Roman"/>
          <w:sz w:val="24"/>
          <w:szCs w:val="24"/>
        </w:rPr>
        <w:t>MonthlyCharges</w:t>
      </w:r>
      <w:proofErr w:type="spellEnd"/>
      <w:r w:rsidRPr="00474669">
        <w:rPr>
          <w:rFonts w:ascii="Times New Roman" w:hAnsi="Times New Roman" w:cs="Times New Roman"/>
          <w:sz w:val="24"/>
          <w:szCs w:val="24"/>
        </w:rPr>
        <w:t xml:space="preserve"> from a customer's subscribed services, contract terms, and demographics — a target with </w:t>
      </w:r>
      <w:r w:rsidRPr="00474669">
        <w:rPr>
          <w:rFonts w:ascii="Times New Roman" w:hAnsi="Times New Roman" w:cs="Times New Roman"/>
          <w:sz w:val="24"/>
          <w:szCs w:val="24"/>
        </w:rPr>
        <w:lastRenderedPageBreak/>
        <w:t xml:space="preserve">genuine predictive structure and clear business relevance for pricing and plan design. </w:t>
      </w:r>
      <w:proofErr w:type="spellStart"/>
      <w:r w:rsidRPr="00474669">
        <w:rPr>
          <w:rFonts w:ascii="Times New Roman" w:hAnsi="Times New Roman" w:cs="Times New Roman"/>
          <w:sz w:val="24"/>
          <w:szCs w:val="24"/>
        </w:rPr>
        <w:t>TotalCharges</w:t>
      </w:r>
      <w:proofErr w:type="spellEnd"/>
      <w:r w:rsidRPr="00474669">
        <w:rPr>
          <w:rFonts w:ascii="Times New Roman" w:hAnsi="Times New Roman" w:cs="Times New Roman"/>
          <w:sz w:val="24"/>
          <w:szCs w:val="24"/>
        </w:rPr>
        <w:t xml:space="preserve"> and raw tenure were excluded from the predictor set to avoid leakage.</w:t>
      </w:r>
    </w:p>
    <w:p w14:paraId="3234D538"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Three models were trained on an 80/20 train/test split with standardized features: Multiple Linear Regression (baseline), Ridge Regression (L2 penalty, alpha = 1.0), and Lasso Regression (L1 penalty, alpha = 0.1).</w:t>
      </w:r>
    </w:p>
    <w:p w14:paraId="2FE49764" w14:textId="77777777" w:rsidR="006146A1" w:rsidRPr="00474669" w:rsidRDefault="00000000" w:rsidP="00474669">
      <w:pPr>
        <w:spacing w:before="120" w:after="60" w:line="480" w:lineRule="auto"/>
        <w:jc w:val="center"/>
        <w:rPr>
          <w:rFonts w:ascii="Times New Roman" w:hAnsi="Times New Roman" w:cs="Times New Roman"/>
          <w:sz w:val="24"/>
          <w:szCs w:val="24"/>
        </w:rPr>
      </w:pPr>
      <w:r w:rsidRPr="00474669">
        <w:rPr>
          <w:rFonts w:ascii="Times New Roman" w:hAnsi="Times New Roman" w:cs="Times New Roman"/>
          <w:noProof/>
          <w:sz w:val="24"/>
          <w:szCs w:val="24"/>
        </w:rPr>
        <w:drawing>
          <wp:inline distT="0" distB="0" distL="0" distR="0" wp14:anchorId="45C8ABE2" wp14:editId="3E76E8C6">
            <wp:extent cx="5486400" cy="1933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1933575"/>
                    </a:xfrm>
                    <a:prstGeom prst="rect">
                      <a:avLst/>
                    </a:prstGeom>
                  </pic:spPr>
                </pic:pic>
              </a:graphicData>
            </a:graphic>
          </wp:inline>
        </w:drawing>
      </w:r>
    </w:p>
    <w:p w14:paraId="6F90AD32" w14:textId="77777777" w:rsidR="006146A1" w:rsidRPr="00474669" w:rsidRDefault="00000000" w:rsidP="00474669">
      <w:pPr>
        <w:spacing w:after="240" w:line="480" w:lineRule="auto"/>
        <w:jc w:val="center"/>
        <w:rPr>
          <w:rFonts w:ascii="Times New Roman" w:hAnsi="Times New Roman" w:cs="Times New Roman"/>
          <w:sz w:val="24"/>
          <w:szCs w:val="24"/>
        </w:rPr>
      </w:pPr>
      <w:r w:rsidRPr="00474669">
        <w:rPr>
          <w:rFonts w:ascii="Times New Roman" w:hAnsi="Times New Roman" w:cs="Times New Roman"/>
          <w:i/>
          <w:iCs/>
          <w:sz w:val="24"/>
          <w:szCs w:val="24"/>
        </w:rPr>
        <w:t>Figure 4. Test RMSE and R² across the three regression models.</w:t>
      </w:r>
    </w:p>
    <w:p w14:paraId="1C513726"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 xml:space="preserve">All three models explain over 99.8% of the variance in </w:t>
      </w:r>
      <w:proofErr w:type="spellStart"/>
      <w:r w:rsidRPr="00474669">
        <w:rPr>
          <w:rFonts w:ascii="Times New Roman" w:hAnsi="Times New Roman" w:cs="Times New Roman"/>
          <w:sz w:val="24"/>
          <w:szCs w:val="24"/>
        </w:rPr>
        <w:t>MonthlyCharges</w:t>
      </w:r>
      <w:proofErr w:type="spellEnd"/>
      <w:r w:rsidRPr="00474669">
        <w:rPr>
          <w:rFonts w:ascii="Times New Roman" w:hAnsi="Times New Roman" w:cs="Times New Roman"/>
          <w:sz w:val="24"/>
          <w:szCs w:val="24"/>
        </w:rPr>
        <w:t xml:space="preserve">, with RMSE around $1 on a variable ranging from $18 to $119. This is expected rather than suspicious: </w:t>
      </w:r>
      <w:proofErr w:type="spellStart"/>
      <w:r w:rsidRPr="00474669">
        <w:rPr>
          <w:rFonts w:ascii="Times New Roman" w:hAnsi="Times New Roman" w:cs="Times New Roman"/>
          <w:sz w:val="24"/>
          <w:szCs w:val="24"/>
        </w:rPr>
        <w:t>MonthlyCharges</w:t>
      </w:r>
      <w:proofErr w:type="spellEnd"/>
      <w:r w:rsidRPr="00474669">
        <w:rPr>
          <w:rFonts w:ascii="Times New Roman" w:hAnsi="Times New Roman" w:cs="Times New Roman"/>
          <w:sz w:val="24"/>
          <w:szCs w:val="24"/>
        </w:rPr>
        <w:t xml:space="preserve"> is nearly a deterministic sum of the prices of a customer's subscribed services, so a model that knows exactly which services a customer has can reconstruct their bill almost exactly. Cross-validation R² closely tracked test R² for every model, confirming the fit generalizes.</w:t>
      </w:r>
    </w:p>
    <w:p w14:paraId="72BD7A81" w14:textId="77777777" w:rsidR="006146A1" w:rsidRPr="00474669" w:rsidRDefault="00000000" w:rsidP="00474669">
      <w:pPr>
        <w:spacing w:before="120" w:after="60" w:line="480" w:lineRule="auto"/>
        <w:jc w:val="center"/>
        <w:rPr>
          <w:rFonts w:ascii="Times New Roman" w:hAnsi="Times New Roman" w:cs="Times New Roman"/>
          <w:sz w:val="24"/>
          <w:szCs w:val="24"/>
        </w:rPr>
      </w:pPr>
      <w:r w:rsidRPr="00474669">
        <w:rPr>
          <w:rFonts w:ascii="Times New Roman" w:hAnsi="Times New Roman" w:cs="Times New Roman"/>
          <w:noProof/>
          <w:sz w:val="24"/>
          <w:szCs w:val="24"/>
        </w:rPr>
        <w:lastRenderedPageBreak/>
        <w:drawing>
          <wp:inline distT="0" distB="0" distL="0" distR="0" wp14:anchorId="72CCCE71" wp14:editId="3618AF13">
            <wp:extent cx="3838575" cy="2543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38575" cy="2543175"/>
                    </a:xfrm>
                    <a:prstGeom prst="rect">
                      <a:avLst/>
                    </a:prstGeom>
                  </pic:spPr>
                </pic:pic>
              </a:graphicData>
            </a:graphic>
          </wp:inline>
        </w:drawing>
      </w:r>
    </w:p>
    <w:p w14:paraId="6A118E90" w14:textId="77777777" w:rsidR="006146A1" w:rsidRPr="00474669" w:rsidRDefault="00000000" w:rsidP="00474669">
      <w:pPr>
        <w:spacing w:after="240" w:line="480" w:lineRule="auto"/>
        <w:jc w:val="center"/>
        <w:rPr>
          <w:rFonts w:ascii="Times New Roman" w:hAnsi="Times New Roman" w:cs="Times New Roman"/>
          <w:sz w:val="24"/>
          <w:szCs w:val="24"/>
        </w:rPr>
      </w:pPr>
      <w:r w:rsidRPr="00474669">
        <w:rPr>
          <w:rFonts w:ascii="Times New Roman" w:hAnsi="Times New Roman" w:cs="Times New Roman"/>
          <w:i/>
          <w:iCs/>
          <w:sz w:val="24"/>
          <w:szCs w:val="24"/>
        </w:rPr>
        <w:t>Figure 5. Top 12 features by Lasso coefficient magnitude.</w:t>
      </w:r>
    </w:p>
    <w:p w14:paraId="3E971323"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 xml:space="preserve">Ridge Regression was selected as the preferred model: it is statistically tied with Linear Regression on accuracy, but its L2 penalty gives more stable coefficients if retrained on new data. Lasso's feature elimination confirmed that fiber-optic internet and add-on services are the largest positive price drivers, while having no internet service is the strongest negative driver — consistent with how telecom pricing plans are structured. This result carries an important implication forward: since </w:t>
      </w:r>
      <w:proofErr w:type="spellStart"/>
      <w:r w:rsidRPr="00474669">
        <w:rPr>
          <w:rFonts w:ascii="Times New Roman" w:hAnsi="Times New Roman" w:cs="Times New Roman"/>
          <w:sz w:val="24"/>
          <w:szCs w:val="24"/>
        </w:rPr>
        <w:t>MonthlyCharges</w:t>
      </w:r>
      <w:proofErr w:type="spellEnd"/>
      <w:r w:rsidRPr="00474669">
        <w:rPr>
          <w:rFonts w:ascii="Times New Roman" w:hAnsi="Times New Roman" w:cs="Times New Roman"/>
          <w:sz w:val="24"/>
          <w:szCs w:val="24"/>
        </w:rPr>
        <w:t xml:space="preserve"> mostly re-encodes information already present in the service columns, it was excluded as a churn predictor in the classification stage below, in favor of the more compact, non-redundant </w:t>
      </w:r>
      <w:proofErr w:type="spellStart"/>
      <w:r w:rsidRPr="00474669">
        <w:rPr>
          <w:rFonts w:ascii="Times New Roman" w:hAnsi="Times New Roman" w:cs="Times New Roman"/>
          <w:sz w:val="24"/>
          <w:szCs w:val="24"/>
        </w:rPr>
        <w:t>NumAddOnServices</w:t>
      </w:r>
      <w:proofErr w:type="spellEnd"/>
      <w:r w:rsidRPr="00474669">
        <w:rPr>
          <w:rFonts w:ascii="Times New Roman" w:hAnsi="Times New Roman" w:cs="Times New Roman"/>
          <w:sz w:val="24"/>
          <w:szCs w:val="24"/>
        </w:rPr>
        <w:t xml:space="preserve"> and Contract features.</w:t>
      </w:r>
    </w:p>
    <w:p w14:paraId="44C603FA" w14:textId="77777777" w:rsidR="006146A1" w:rsidRPr="00474669" w:rsidRDefault="00000000" w:rsidP="00474669">
      <w:pPr>
        <w:pStyle w:val="Heading2"/>
        <w:spacing w:line="480" w:lineRule="auto"/>
        <w:rPr>
          <w:rFonts w:ascii="Times New Roman" w:hAnsi="Times New Roman" w:cs="Times New Roman"/>
          <w:sz w:val="24"/>
          <w:szCs w:val="24"/>
        </w:rPr>
      </w:pPr>
      <w:r w:rsidRPr="00474669">
        <w:rPr>
          <w:rFonts w:ascii="Times New Roman" w:hAnsi="Times New Roman" w:cs="Times New Roman"/>
          <w:sz w:val="24"/>
          <w:szCs w:val="24"/>
        </w:rPr>
        <w:t>3.2 Classification: Predicting Churn</w:t>
      </w:r>
    </w:p>
    <w:p w14:paraId="7B9354A0"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 xml:space="preserve">Two classification models were built to predict Churn from demographic, account, contract, and service attributes plus the engineered features: a Decision Tree Classifier and a k-Nearest Neighbors (k-NN) classifier. The Decision Tree provides an interpretable, axis-aligned baseline </w:t>
      </w:r>
      <w:r w:rsidRPr="00474669">
        <w:rPr>
          <w:rFonts w:ascii="Times New Roman" w:hAnsi="Times New Roman" w:cs="Times New Roman"/>
          <w:sz w:val="24"/>
          <w:szCs w:val="24"/>
        </w:rPr>
        <w:lastRenderedPageBreak/>
        <w:t>well suited to the dataset's mixed categorical/numeric features; k-NN offers a fundamentally different, distance-based contrast.</w:t>
      </w:r>
    </w:p>
    <w:p w14:paraId="5E2270EA"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 xml:space="preserve">Hyperparameter tuning was performed on the Decision Tree using </w:t>
      </w:r>
      <w:proofErr w:type="spellStart"/>
      <w:r w:rsidRPr="00474669">
        <w:rPr>
          <w:rFonts w:ascii="Times New Roman" w:hAnsi="Times New Roman" w:cs="Times New Roman"/>
          <w:sz w:val="24"/>
          <w:szCs w:val="24"/>
        </w:rPr>
        <w:t>GridSearchCV</w:t>
      </w:r>
      <w:proofErr w:type="spellEnd"/>
      <w:r w:rsidRPr="00474669">
        <w:rPr>
          <w:rFonts w:ascii="Times New Roman" w:hAnsi="Times New Roman" w:cs="Times New Roman"/>
          <w:sz w:val="24"/>
          <w:szCs w:val="24"/>
        </w:rPr>
        <w:t xml:space="preserve"> with 5-fold cross-validation, searching over </w:t>
      </w:r>
      <w:proofErr w:type="spellStart"/>
      <w:r w:rsidRPr="00474669">
        <w:rPr>
          <w:rFonts w:ascii="Times New Roman" w:hAnsi="Times New Roman" w:cs="Times New Roman"/>
          <w:sz w:val="24"/>
          <w:szCs w:val="24"/>
        </w:rPr>
        <w:t>max_depth</w:t>
      </w:r>
      <w:proofErr w:type="spellEnd"/>
      <w:r w:rsidRPr="00474669">
        <w:rPr>
          <w:rFonts w:ascii="Times New Roman" w:hAnsi="Times New Roman" w:cs="Times New Roman"/>
          <w:sz w:val="24"/>
          <w:szCs w:val="24"/>
        </w:rPr>
        <w:t xml:space="preserve"> (3, 5, 7, 10, None), </w:t>
      </w:r>
      <w:proofErr w:type="spellStart"/>
      <w:r w:rsidRPr="00474669">
        <w:rPr>
          <w:rFonts w:ascii="Times New Roman" w:hAnsi="Times New Roman" w:cs="Times New Roman"/>
          <w:sz w:val="24"/>
          <w:szCs w:val="24"/>
        </w:rPr>
        <w:t>min_samples_leaf</w:t>
      </w:r>
      <w:proofErr w:type="spellEnd"/>
      <w:r w:rsidRPr="00474669">
        <w:rPr>
          <w:rFonts w:ascii="Times New Roman" w:hAnsi="Times New Roman" w:cs="Times New Roman"/>
          <w:sz w:val="24"/>
          <w:szCs w:val="24"/>
        </w:rPr>
        <w:t xml:space="preserve"> (1, 5, 10, 20), and criterion (</w:t>
      </w:r>
      <w:proofErr w:type="spellStart"/>
      <w:r w:rsidRPr="00474669">
        <w:rPr>
          <w:rFonts w:ascii="Times New Roman" w:hAnsi="Times New Roman" w:cs="Times New Roman"/>
          <w:sz w:val="24"/>
          <w:szCs w:val="24"/>
        </w:rPr>
        <w:t>gini</w:t>
      </w:r>
      <w:proofErr w:type="spellEnd"/>
      <w:r w:rsidRPr="00474669">
        <w:rPr>
          <w:rFonts w:ascii="Times New Roman" w:hAnsi="Times New Roman" w:cs="Times New Roman"/>
          <w:sz w:val="24"/>
          <w:szCs w:val="24"/>
        </w:rPr>
        <w:t xml:space="preserve">, entropy). The grid search was scored on F1 rather than accuracy, since accuracy alone can be misleadingly high on an imbalanced target (26.5% churn) by simply predicting the majority class. The best parameters found were criterion = entropy, </w:t>
      </w:r>
      <w:proofErr w:type="spellStart"/>
      <w:r w:rsidRPr="00474669">
        <w:rPr>
          <w:rFonts w:ascii="Times New Roman" w:hAnsi="Times New Roman" w:cs="Times New Roman"/>
          <w:sz w:val="24"/>
          <w:szCs w:val="24"/>
        </w:rPr>
        <w:t>max_depth</w:t>
      </w:r>
      <w:proofErr w:type="spellEnd"/>
      <w:r w:rsidRPr="00474669">
        <w:rPr>
          <w:rFonts w:ascii="Times New Roman" w:hAnsi="Times New Roman" w:cs="Times New Roman"/>
          <w:sz w:val="24"/>
          <w:szCs w:val="24"/>
        </w:rPr>
        <w:t xml:space="preserve"> = 3, </w:t>
      </w:r>
      <w:proofErr w:type="spellStart"/>
      <w:r w:rsidRPr="00474669">
        <w:rPr>
          <w:rFonts w:ascii="Times New Roman" w:hAnsi="Times New Roman" w:cs="Times New Roman"/>
          <w:sz w:val="24"/>
          <w:szCs w:val="24"/>
        </w:rPr>
        <w:t>min_samples_leaf</w:t>
      </w:r>
      <w:proofErr w:type="spellEnd"/>
      <w:r w:rsidRPr="00474669">
        <w:rPr>
          <w:rFonts w:ascii="Times New Roman" w:hAnsi="Times New Roman" w:cs="Times New Roman"/>
          <w:sz w:val="24"/>
          <w:szCs w:val="24"/>
        </w:rPr>
        <w:t xml:space="preserve"> = 1, achieving a cross-validated F1 of approximately 0.588.</w:t>
      </w:r>
    </w:p>
    <w:p w14:paraId="6A52A556" w14:textId="77777777" w:rsidR="006146A1" w:rsidRPr="00474669" w:rsidRDefault="00000000" w:rsidP="00474669">
      <w:pPr>
        <w:pStyle w:val="Heading3"/>
        <w:spacing w:line="480" w:lineRule="auto"/>
        <w:rPr>
          <w:rFonts w:ascii="Times New Roman" w:hAnsi="Times New Roman" w:cs="Times New Roman"/>
        </w:rPr>
      </w:pPr>
      <w:r w:rsidRPr="00474669">
        <w:rPr>
          <w:rFonts w:ascii="Times New Roman" w:hAnsi="Times New Roman" w:cs="Times New Roman"/>
        </w:rPr>
        <w:t>Evaluation Results (Test Set)</w:t>
      </w:r>
    </w:p>
    <w:tbl>
      <w:tblPr>
        <w:tblStyle w:val="TableGrid"/>
        <w:tblW w:w="9600" w:type="dxa"/>
        <w:jc w:val="center"/>
        <w:tblLook w:val="04A0" w:firstRow="1" w:lastRow="0" w:firstColumn="1" w:lastColumn="0" w:noHBand="0" w:noVBand="1"/>
      </w:tblPr>
      <w:tblGrid>
        <w:gridCol w:w="3600"/>
        <w:gridCol w:w="2000"/>
        <w:gridCol w:w="2000"/>
        <w:gridCol w:w="2000"/>
      </w:tblGrid>
      <w:tr w:rsidR="00474669" w:rsidRPr="00474669" w14:paraId="543DACB1" w14:textId="77777777" w:rsidTr="00474669">
        <w:trPr>
          <w:jc w:val="center"/>
        </w:trPr>
        <w:tc>
          <w:tcPr>
            <w:tcW w:w="3600" w:type="dxa"/>
          </w:tcPr>
          <w:p w14:paraId="7F9DB665"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b/>
                <w:bCs/>
                <w:sz w:val="24"/>
                <w:szCs w:val="24"/>
              </w:rPr>
              <w:t>Model</w:t>
            </w:r>
          </w:p>
        </w:tc>
        <w:tc>
          <w:tcPr>
            <w:tcW w:w="2000" w:type="dxa"/>
          </w:tcPr>
          <w:p w14:paraId="606B3EF2"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b/>
                <w:bCs/>
                <w:sz w:val="24"/>
                <w:szCs w:val="24"/>
              </w:rPr>
              <w:t>Accuracy</w:t>
            </w:r>
          </w:p>
        </w:tc>
        <w:tc>
          <w:tcPr>
            <w:tcW w:w="2000" w:type="dxa"/>
          </w:tcPr>
          <w:p w14:paraId="0D5AA64E"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b/>
                <w:bCs/>
                <w:sz w:val="24"/>
                <w:szCs w:val="24"/>
              </w:rPr>
              <w:t>F1 Score</w:t>
            </w:r>
          </w:p>
        </w:tc>
        <w:tc>
          <w:tcPr>
            <w:tcW w:w="2000" w:type="dxa"/>
          </w:tcPr>
          <w:p w14:paraId="69AAB063"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b/>
                <w:bCs/>
                <w:sz w:val="24"/>
                <w:szCs w:val="24"/>
              </w:rPr>
              <w:t>ROC AUC</w:t>
            </w:r>
          </w:p>
        </w:tc>
      </w:tr>
      <w:tr w:rsidR="00474669" w:rsidRPr="00474669" w14:paraId="2C7D22A0" w14:textId="77777777" w:rsidTr="00474669">
        <w:trPr>
          <w:jc w:val="center"/>
        </w:trPr>
        <w:tc>
          <w:tcPr>
            <w:tcW w:w="3600" w:type="dxa"/>
          </w:tcPr>
          <w:p w14:paraId="5D16DD43"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Decision Tree (baseline)</w:t>
            </w:r>
          </w:p>
        </w:tc>
        <w:tc>
          <w:tcPr>
            <w:tcW w:w="2000" w:type="dxa"/>
          </w:tcPr>
          <w:p w14:paraId="513340CF"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0.794</w:t>
            </w:r>
          </w:p>
        </w:tc>
        <w:tc>
          <w:tcPr>
            <w:tcW w:w="2000" w:type="dxa"/>
          </w:tcPr>
          <w:p w14:paraId="364A2D80"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0.582</w:t>
            </w:r>
          </w:p>
        </w:tc>
        <w:tc>
          <w:tcPr>
            <w:tcW w:w="2000" w:type="dxa"/>
          </w:tcPr>
          <w:p w14:paraId="56C05B58"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0.827</w:t>
            </w:r>
          </w:p>
        </w:tc>
      </w:tr>
      <w:tr w:rsidR="00474669" w:rsidRPr="00474669" w14:paraId="636A2D62" w14:textId="77777777" w:rsidTr="00474669">
        <w:trPr>
          <w:jc w:val="center"/>
        </w:trPr>
        <w:tc>
          <w:tcPr>
            <w:tcW w:w="3600" w:type="dxa"/>
          </w:tcPr>
          <w:p w14:paraId="57A61DEE"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Decision Tree (tuned)</w:t>
            </w:r>
          </w:p>
        </w:tc>
        <w:tc>
          <w:tcPr>
            <w:tcW w:w="2000" w:type="dxa"/>
          </w:tcPr>
          <w:p w14:paraId="1AD70A15"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0.751</w:t>
            </w:r>
          </w:p>
        </w:tc>
        <w:tc>
          <w:tcPr>
            <w:tcW w:w="2000" w:type="dxa"/>
          </w:tcPr>
          <w:p w14:paraId="46AA7A35"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0.558</w:t>
            </w:r>
          </w:p>
        </w:tc>
        <w:tc>
          <w:tcPr>
            <w:tcW w:w="2000" w:type="dxa"/>
          </w:tcPr>
          <w:p w14:paraId="151F0E09"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0.787</w:t>
            </w:r>
          </w:p>
        </w:tc>
      </w:tr>
      <w:tr w:rsidR="00474669" w:rsidRPr="00474669" w14:paraId="0BF3EA70" w14:textId="77777777" w:rsidTr="00474669">
        <w:trPr>
          <w:jc w:val="center"/>
        </w:trPr>
        <w:tc>
          <w:tcPr>
            <w:tcW w:w="3600" w:type="dxa"/>
          </w:tcPr>
          <w:p w14:paraId="7B5BF8B1"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k-NN (k = 5)</w:t>
            </w:r>
          </w:p>
        </w:tc>
        <w:tc>
          <w:tcPr>
            <w:tcW w:w="2000" w:type="dxa"/>
          </w:tcPr>
          <w:p w14:paraId="12609451"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0.752</w:t>
            </w:r>
          </w:p>
        </w:tc>
        <w:tc>
          <w:tcPr>
            <w:tcW w:w="2000" w:type="dxa"/>
          </w:tcPr>
          <w:p w14:paraId="1E269E33"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0.522</w:t>
            </w:r>
          </w:p>
        </w:tc>
        <w:tc>
          <w:tcPr>
            <w:tcW w:w="2000" w:type="dxa"/>
          </w:tcPr>
          <w:p w14:paraId="4A8FDBE6"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0.770</w:t>
            </w:r>
          </w:p>
        </w:tc>
      </w:tr>
    </w:tbl>
    <w:p w14:paraId="27758309" w14:textId="77777777" w:rsidR="006146A1" w:rsidRPr="00474669" w:rsidRDefault="006146A1" w:rsidP="00474669">
      <w:pPr>
        <w:spacing w:after="200" w:line="480" w:lineRule="auto"/>
        <w:rPr>
          <w:rFonts w:ascii="Times New Roman" w:hAnsi="Times New Roman" w:cs="Times New Roman"/>
          <w:sz w:val="24"/>
          <w:szCs w:val="24"/>
        </w:rPr>
      </w:pPr>
    </w:p>
    <w:p w14:paraId="6230BA86" w14:textId="77777777" w:rsidR="006146A1" w:rsidRPr="00474669" w:rsidRDefault="00000000" w:rsidP="00474669">
      <w:pPr>
        <w:spacing w:before="120" w:after="60" w:line="480" w:lineRule="auto"/>
        <w:jc w:val="center"/>
        <w:rPr>
          <w:rFonts w:ascii="Times New Roman" w:hAnsi="Times New Roman" w:cs="Times New Roman"/>
          <w:sz w:val="24"/>
          <w:szCs w:val="24"/>
        </w:rPr>
      </w:pPr>
      <w:r w:rsidRPr="00474669">
        <w:rPr>
          <w:rFonts w:ascii="Times New Roman" w:hAnsi="Times New Roman" w:cs="Times New Roman"/>
          <w:noProof/>
          <w:sz w:val="24"/>
          <w:szCs w:val="24"/>
        </w:rPr>
        <w:drawing>
          <wp:inline distT="0" distB="0" distL="0" distR="0" wp14:anchorId="6C0146A3" wp14:editId="07FFDA26">
            <wp:extent cx="5486400" cy="1619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1619250"/>
                    </a:xfrm>
                    <a:prstGeom prst="rect">
                      <a:avLst/>
                    </a:prstGeom>
                  </pic:spPr>
                </pic:pic>
              </a:graphicData>
            </a:graphic>
          </wp:inline>
        </w:drawing>
      </w:r>
    </w:p>
    <w:p w14:paraId="027080BF" w14:textId="77777777" w:rsidR="006146A1" w:rsidRPr="00474669" w:rsidRDefault="00000000" w:rsidP="00474669">
      <w:pPr>
        <w:spacing w:after="240" w:line="480" w:lineRule="auto"/>
        <w:jc w:val="center"/>
        <w:rPr>
          <w:rFonts w:ascii="Times New Roman" w:hAnsi="Times New Roman" w:cs="Times New Roman"/>
          <w:sz w:val="24"/>
          <w:szCs w:val="24"/>
        </w:rPr>
      </w:pPr>
      <w:r w:rsidRPr="00474669">
        <w:rPr>
          <w:rFonts w:ascii="Times New Roman" w:hAnsi="Times New Roman" w:cs="Times New Roman"/>
          <w:i/>
          <w:iCs/>
          <w:sz w:val="24"/>
          <w:szCs w:val="24"/>
        </w:rPr>
        <w:t>Figure 6. Confusion matrices for all three classification models.</w:t>
      </w:r>
    </w:p>
    <w:p w14:paraId="3107DF9A" w14:textId="77777777" w:rsidR="006146A1" w:rsidRPr="00474669" w:rsidRDefault="00000000" w:rsidP="00474669">
      <w:pPr>
        <w:spacing w:before="120" w:after="60" w:line="480" w:lineRule="auto"/>
        <w:jc w:val="center"/>
        <w:rPr>
          <w:rFonts w:ascii="Times New Roman" w:hAnsi="Times New Roman" w:cs="Times New Roman"/>
          <w:sz w:val="24"/>
          <w:szCs w:val="24"/>
        </w:rPr>
      </w:pPr>
      <w:r w:rsidRPr="00474669">
        <w:rPr>
          <w:rFonts w:ascii="Times New Roman" w:hAnsi="Times New Roman" w:cs="Times New Roman"/>
          <w:noProof/>
          <w:sz w:val="24"/>
          <w:szCs w:val="24"/>
        </w:rPr>
        <w:lastRenderedPageBreak/>
        <w:drawing>
          <wp:inline distT="0" distB="0" distL="0" distR="0" wp14:anchorId="7D608BE3" wp14:editId="7BE38A7B">
            <wp:extent cx="3657600" cy="3124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57600" cy="3124200"/>
                    </a:xfrm>
                    <a:prstGeom prst="rect">
                      <a:avLst/>
                    </a:prstGeom>
                  </pic:spPr>
                </pic:pic>
              </a:graphicData>
            </a:graphic>
          </wp:inline>
        </w:drawing>
      </w:r>
    </w:p>
    <w:p w14:paraId="1619E3FA" w14:textId="77777777" w:rsidR="006146A1" w:rsidRPr="00474669" w:rsidRDefault="00000000" w:rsidP="00474669">
      <w:pPr>
        <w:spacing w:after="240" w:line="480" w:lineRule="auto"/>
        <w:jc w:val="center"/>
        <w:rPr>
          <w:rFonts w:ascii="Times New Roman" w:hAnsi="Times New Roman" w:cs="Times New Roman"/>
          <w:sz w:val="24"/>
          <w:szCs w:val="24"/>
        </w:rPr>
      </w:pPr>
      <w:r w:rsidRPr="00474669">
        <w:rPr>
          <w:rFonts w:ascii="Times New Roman" w:hAnsi="Times New Roman" w:cs="Times New Roman"/>
          <w:i/>
          <w:iCs/>
          <w:sz w:val="24"/>
          <w:szCs w:val="24"/>
        </w:rPr>
        <w:t>Figure 7. ROC curves for all three classification models.</w:t>
      </w:r>
    </w:p>
    <w:p w14:paraId="7A4BADCE"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 xml:space="preserve">Both Decision Tree variants outperformed k-NN on ROC AUC, since tree splits align naturally with strongly predictive categorical features (Contract, </w:t>
      </w:r>
      <w:proofErr w:type="spellStart"/>
      <w:r w:rsidRPr="00474669">
        <w:rPr>
          <w:rFonts w:ascii="Times New Roman" w:hAnsi="Times New Roman" w:cs="Times New Roman"/>
          <w:sz w:val="24"/>
          <w:szCs w:val="24"/>
        </w:rPr>
        <w:t>InternetService</w:t>
      </w:r>
      <w:proofErr w:type="spellEnd"/>
      <w:r w:rsidRPr="00474669">
        <w:rPr>
          <w:rFonts w:ascii="Times New Roman" w:hAnsi="Times New Roman" w:cs="Times New Roman"/>
          <w:sz w:val="24"/>
          <w:szCs w:val="24"/>
        </w:rPr>
        <w:t>) that k-NN's raw Euclidean distance in one-hot-encoded space captures less cleanly. Notably, the tuned tree scored slightly lower than the untuned baseline on this specific test split, even though grid search selected it as the best cross-validated F1 performer on the training folds. This is not a modeling error: the grid search chose a shallower tree, based on 5-fold cross-validated evidence, that is less likely to overfit to any one particular training sample — a useful illustration that hyperparameter tuning optimizes for expected generalization across many splits, not for beating one specific train/test split.</w:t>
      </w:r>
    </w:p>
    <w:p w14:paraId="4457BCAF" w14:textId="77777777" w:rsidR="006146A1" w:rsidRPr="00474669" w:rsidRDefault="00000000" w:rsidP="00474669">
      <w:pPr>
        <w:spacing w:before="120" w:after="60" w:line="480" w:lineRule="auto"/>
        <w:jc w:val="center"/>
        <w:rPr>
          <w:rFonts w:ascii="Times New Roman" w:hAnsi="Times New Roman" w:cs="Times New Roman"/>
          <w:sz w:val="24"/>
          <w:szCs w:val="24"/>
        </w:rPr>
      </w:pPr>
      <w:r w:rsidRPr="00474669">
        <w:rPr>
          <w:rFonts w:ascii="Times New Roman" w:hAnsi="Times New Roman" w:cs="Times New Roman"/>
          <w:noProof/>
          <w:sz w:val="24"/>
          <w:szCs w:val="24"/>
        </w:rPr>
        <w:lastRenderedPageBreak/>
        <w:drawing>
          <wp:inline distT="0" distB="0" distL="0" distR="0" wp14:anchorId="63449D2C" wp14:editId="5A4E9100">
            <wp:extent cx="3838575" cy="2543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38575" cy="2543175"/>
                    </a:xfrm>
                    <a:prstGeom prst="rect">
                      <a:avLst/>
                    </a:prstGeom>
                  </pic:spPr>
                </pic:pic>
              </a:graphicData>
            </a:graphic>
          </wp:inline>
        </w:drawing>
      </w:r>
    </w:p>
    <w:p w14:paraId="74EE615C" w14:textId="77777777" w:rsidR="006146A1" w:rsidRPr="00474669" w:rsidRDefault="00000000" w:rsidP="00474669">
      <w:pPr>
        <w:spacing w:after="240" w:line="480" w:lineRule="auto"/>
        <w:jc w:val="center"/>
        <w:rPr>
          <w:rFonts w:ascii="Times New Roman" w:hAnsi="Times New Roman" w:cs="Times New Roman"/>
          <w:sz w:val="24"/>
          <w:szCs w:val="24"/>
        </w:rPr>
      </w:pPr>
      <w:r w:rsidRPr="00474669">
        <w:rPr>
          <w:rFonts w:ascii="Times New Roman" w:hAnsi="Times New Roman" w:cs="Times New Roman"/>
          <w:i/>
          <w:iCs/>
          <w:sz w:val="24"/>
          <w:szCs w:val="24"/>
        </w:rPr>
        <w:t>Figure 8. Top 12 feature importances for the tuned Decision Tree.</w:t>
      </w:r>
    </w:p>
    <w:p w14:paraId="7819F3D0" w14:textId="77777777" w:rsidR="006146A1" w:rsidRPr="00474669" w:rsidRDefault="00000000" w:rsidP="00474669">
      <w:pPr>
        <w:pStyle w:val="Heading2"/>
        <w:spacing w:line="480" w:lineRule="auto"/>
        <w:rPr>
          <w:rFonts w:ascii="Times New Roman" w:hAnsi="Times New Roman" w:cs="Times New Roman"/>
          <w:sz w:val="24"/>
          <w:szCs w:val="24"/>
        </w:rPr>
      </w:pPr>
      <w:r w:rsidRPr="00474669">
        <w:rPr>
          <w:rFonts w:ascii="Times New Roman" w:hAnsi="Times New Roman" w:cs="Times New Roman"/>
          <w:sz w:val="24"/>
          <w:szCs w:val="24"/>
        </w:rPr>
        <w:t>3.3 Clustering: Customer Segmentation</w:t>
      </w:r>
    </w:p>
    <w:p w14:paraId="16AB7A43"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 xml:space="preserve">K-Means clustering was applied to group customers into behaviorally similar segments using tenure, </w:t>
      </w:r>
      <w:proofErr w:type="spellStart"/>
      <w:r w:rsidRPr="00474669">
        <w:rPr>
          <w:rFonts w:ascii="Times New Roman" w:hAnsi="Times New Roman" w:cs="Times New Roman"/>
          <w:sz w:val="24"/>
          <w:szCs w:val="24"/>
        </w:rPr>
        <w:t>MonthlyCharges</w:t>
      </w:r>
      <w:proofErr w:type="spellEnd"/>
      <w:r w:rsidRPr="00474669">
        <w:rPr>
          <w:rFonts w:ascii="Times New Roman" w:hAnsi="Times New Roman" w:cs="Times New Roman"/>
          <w:sz w:val="24"/>
          <w:szCs w:val="24"/>
        </w:rPr>
        <w:t xml:space="preserve">, </w:t>
      </w:r>
      <w:proofErr w:type="spellStart"/>
      <w:r w:rsidRPr="00474669">
        <w:rPr>
          <w:rFonts w:ascii="Times New Roman" w:hAnsi="Times New Roman" w:cs="Times New Roman"/>
          <w:sz w:val="24"/>
          <w:szCs w:val="24"/>
        </w:rPr>
        <w:t>NumAddOnServices</w:t>
      </w:r>
      <w:proofErr w:type="spellEnd"/>
      <w:r w:rsidRPr="00474669">
        <w:rPr>
          <w:rFonts w:ascii="Times New Roman" w:hAnsi="Times New Roman" w:cs="Times New Roman"/>
          <w:sz w:val="24"/>
          <w:szCs w:val="24"/>
        </w:rPr>
        <w:t xml:space="preserve">, </w:t>
      </w:r>
      <w:proofErr w:type="spellStart"/>
      <w:r w:rsidRPr="00474669">
        <w:rPr>
          <w:rFonts w:ascii="Times New Roman" w:hAnsi="Times New Roman" w:cs="Times New Roman"/>
          <w:sz w:val="24"/>
          <w:szCs w:val="24"/>
        </w:rPr>
        <w:t>HasInternet</w:t>
      </w:r>
      <w:proofErr w:type="spellEnd"/>
      <w:r w:rsidRPr="00474669">
        <w:rPr>
          <w:rFonts w:ascii="Times New Roman" w:hAnsi="Times New Roman" w:cs="Times New Roman"/>
          <w:sz w:val="24"/>
          <w:szCs w:val="24"/>
        </w:rPr>
        <w:t xml:space="preserve">, </w:t>
      </w:r>
      <w:proofErr w:type="spellStart"/>
      <w:r w:rsidRPr="00474669">
        <w:rPr>
          <w:rFonts w:ascii="Times New Roman" w:hAnsi="Times New Roman" w:cs="Times New Roman"/>
          <w:sz w:val="24"/>
          <w:szCs w:val="24"/>
        </w:rPr>
        <w:t>HasPhone</w:t>
      </w:r>
      <w:proofErr w:type="spellEnd"/>
      <w:r w:rsidRPr="00474669">
        <w:rPr>
          <w:rFonts w:ascii="Times New Roman" w:hAnsi="Times New Roman" w:cs="Times New Roman"/>
          <w:sz w:val="24"/>
          <w:szCs w:val="24"/>
        </w:rPr>
        <w:t>, and one-hot encoded Contract type — deliberately excluding demographics and the Churn label, so any resulting relationship between cluster and churn rate would be discovered rather than assumed. The number of clusters was chosen via the elbow method (inertia vs. k) and confirmed with silhouette score.</w:t>
      </w:r>
    </w:p>
    <w:p w14:paraId="4B7E0E04" w14:textId="77777777" w:rsidR="006146A1" w:rsidRPr="00474669" w:rsidRDefault="00000000" w:rsidP="00474669">
      <w:pPr>
        <w:spacing w:before="120" w:after="60" w:line="480" w:lineRule="auto"/>
        <w:jc w:val="center"/>
        <w:rPr>
          <w:rFonts w:ascii="Times New Roman" w:hAnsi="Times New Roman" w:cs="Times New Roman"/>
          <w:sz w:val="24"/>
          <w:szCs w:val="24"/>
        </w:rPr>
      </w:pPr>
      <w:r w:rsidRPr="00474669">
        <w:rPr>
          <w:rFonts w:ascii="Times New Roman" w:hAnsi="Times New Roman" w:cs="Times New Roman"/>
          <w:noProof/>
          <w:sz w:val="24"/>
          <w:szCs w:val="24"/>
        </w:rPr>
        <w:drawing>
          <wp:inline distT="0" distB="0" distL="0" distR="0" wp14:anchorId="131D9C0C" wp14:editId="71F8332D">
            <wp:extent cx="5486400" cy="18764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1876425"/>
                    </a:xfrm>
                    <a:prstGeom prst="rect">
                      <a:avLst/>
                    </a:prstGeom>
                  </pic:spPr>
                </pic:pic>
              </a:graphicData>
            </a:graphic>
          </wp:inline>
        </w:drawing>
      </w:r>
    </w:p>
    <w:p w14:paraId="3DEC99B4" w14:textId="77777777" w:rsidR="006146A1" w:rsidRPr="00474669" w:rsidRDefault="00000000" w:rsidP="00474669">
      <w:pPr>
        <w:spacing w:after="240" w:line="480" w:lineRule="auto"/>
        <w:jc w:val="center"/>
        <w:rPr>
          <w:rFonts w:ascii="Times New Roman" w:hAnsi="Times New Roman" w:cs="Times New Roman"/>
          <w:sz w:val="24"/>
          <w:szCs w:val="24"/>
        </w:rPr>
      </w:pPr>
      <w:r w:rsidRPr="00474669">
        <w:rPr>
          <w:rFonts w:ascii="Times New Roman" w:hAnsi="Times New Roman" w:cs="Times New Roman"/>
          <w:i/>
          <w:iCs/>
          <w:sz w:val="24"/>
          <w:szCs w:val="24"/>
        </w:rPr>
        <w:t>Figure 9. Elbow method and silhouette score used to select k = 4.</w:t>
      </w:r>
    </w:p>
    <w:p w14:paraId="38D15799" w14:textId="77777777" w:rsidR="006146A1" w:rsidRPr="00474669" w:rsidRDefault="00000000" w:rsidP="00474669">
      <w:pPr>
        <w:spacing w:before="120" w:after="60" w:line="480" w:lineRule="auto"/>
        <w:jc w:val="center"/>
        <w:rPr>
          <w:rFonts w:ascii="Times New Roman" w:hAnsi="Times New Roman" w:cs="Times New Roman"/>
          <w:sz w:val="24"/>
          <w:szCs w:val="24"/>
        </w:rPr>
      </w:pPr>
      <w:r w:rsidRPr="00474669">
        <w:rPr>
          <w:rFonts w:ascii="Times New Roman" w:hAnsi="Times New Roman" w:cs="Times New Roman"/>
          <w:noProof/>
          <w:sz w:val="24"/>
          <w:szCs w:val="24"/>
        </w:rPr>
        <w:lastRenderedPageBreak/>
        <w:drawing>
          <wp:inline distT="0" distB="0" distL="0" distR="0" wp14:anchorId="59D035BD" wp14:editId="23AA7F2F">
            <wp:extent cx="3838575" cy="2990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38575" cy="2990850"/>
                    </a:xfrm>
                    <a:prstGeom prst="rect">
                      <a:avLst/>
                    </a:prstGeom>
                  </pic:spPr>
                </pic:pic>
              </a:graphicData>
            </a:graphic>
          </wp:inline>
        </w:drawing>
      </w:r>
    </w:p>
    <w:p w14:paraId="521A4DD1" w14:textId="77777777" w:rsidR="006146A1" w:rsidRPr="00474669" w:rsidRDefault="00000000" w:rsidP="00474669">
      <w:pPr>
        <w:spacing w:after="240" w:line="480" w:lineRule="auto"/>
        <w:jc w:val="center"/>
        <w:rPr>
          <w:rFonts w:ascii="Times New Roman" w:hAnsi="Times New Roman" w:cs="Times New Roman"/>
          <w:sz w:val="24"/>
          <w:szCs w:val="24"/>
        </w:rPr>
      </w:pPr>
      <w:r w:rsidRPr="00474669">
        <w:rPr>
          <w:rFonts w:ascii="Times New Roman" w:hAnsi="Times New Roman" w:cs="Times New Roman"/>
          <w:i/>
          <w:iCs/>
          <w:sz w:val="24"/>
          <w:szCs w:val="24"/>
        </w:rPr>
        <w:t>Figure 10. PCA projection of the four K-Means customer segments (silhouette score ≈ 0.41).</w:t>
      </w:r>
    </w:p>
    <w:tbl>
      <w:tblPr>
        <w:tblStyle w:val="TableGrid"/>
        <w:tblW w:w="10000" w:type="dxa"/>
        <w:tblLook w:val="04A0" w:firstRow="1" w:lastRow="0" w:firstColumn="1" w:lastColumn="0" w:noHBand="0" w:noVBand="1"/>
      </w:tblPr>
      <w:tblGrid>
        <w:gridCol w:w="2600"/>
        <w:gridCol w:w="1500"/>
        <w:gridCol w:w="1900"/>
        <w:gridCol w:w="1400"/>
        <w:gridCol w:w="1400"/>
        <w:gridCol w:w="1200"/>
      </w:tblGrid>
      <w:tr w:rsidR="00474669" w:rsidRPr="00474669" w14:paraId="1AA2D26A" w14:textId="77777777" w:rsidTr="00474669">
        <w:tc>
          <w:tcPr>
            <w:tcW w:w="2600" w:type="dxa"/>
          </w:tcPr>
          <w:p w14:paraId="56281E78"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b/>
                <w:bCs/>
                <w:sz w:val="24"/>
                <w:szCs w:val="24"/>
              </w:rPr>
              <w:t>Segment</w:t>
            </w:r>
          </w:p>
        </w:tc>
        <w:tc>
          <w:tcPr>
            <w:tcW w:w="1500" w:type="dxa"/>
          </w:tcPr>
          <w:p w14:paraId="5C25CFBD"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b/>
                <w:bCs/>
                <w:sz w:val="24"/>
                <w:szCs w:val="24"/>
              </w:rPr>
              <w:t>Avg. Tenure</w:t>
            </w:r>
          </w:p>
        </w:tc>
        <w:tc>
          <w:tcPr>
            <w:tcW w:w="1900" w:type="dxa"/>
          </w:tcPr>
          <w:p w14:paraId="319F5FF3"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b/>
                <w:bCs/>
                <w:sz w:val="24"/>
                <w:szCs w:val="24"/>
              </w:rPr>
              <w:t>Avg. Monthly Charges</w:t>
            </w:r>
          </w:p>
        </w:tc>
        <w:tc>
          <w:tcPr>
            <w:tcW w:w="1400" w:type="dxa"/>
          </w:tcPr>
          <w:p w14:paraId="4A30C265"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b/>
                <w:bCs/>
                <w:sz w:val="24"/>
                <w:szCs w:val="24"/>
              </w:rPr>
              <w:t>Avg. Add-Ons</w:t>
            </w:r>
          </w:p>
        </w:tc>
        <w:tc>
          <w:tcPr>
            <w:tcW w:w="1400" w:type="dxa"/>
          </w:tcPr>
          <w:p w14:paraId="4B9E83B8"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b/>
                <w:bCs/>
                <w:sz w:val="24"/>
                <w:szCs w:val="24"/>
              </w:rPr>
              <w:t>Churn Rate</w:t>
            </w:r>
          </w:p>
        </w:tc>
        <w:tc>
          <w:tcPr>
            <w:tcW w:w="1200" w:type="dxa"/>
          </w:tcPr>
          <w:p w14:paraId="1B2FFA52"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b/>
                <w:bCs/>
                <w:sz w:val="24"/>
                <w:szCs w:val="24"/>
              </w:rPr>
              <w:t>Size</w:t>
            </w:r>
          </w:p>
        </w:tc>
      </w:tr>
      <w:tr w:rsidR="00474669" w:rsidRPr="00474669" w14:paraId="62E55C8E" w14:textId="77777777" w:rsidTr="00474669">
        <w:tc>
          <w:tcPr>
            <w:tcW w:w="2600" w:type="dxa"/>
          </w:tcPr>
          <w:p w14:paraId="736EEFF1"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At-risk newer subscribers</w:t>
            </w:r>
          </w:p>
        </w:tc>
        <w:tc>
          <w:tcPr>
            <w:tcW w:w="1500" w:type="dxa"/>
          </w:tcPr>
          <w:p w14:paraId="01F7DCAD"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 xml:space="preserve">16.1 </w:t>
            </w:r>
            <w:proofErr w:type="spellStart"/>
            <w:r w:rsidRPr="00474669">
              <w:rPr>
                <w:rFonts w:ascii="Times New Roman" w:hAnsi="Times New Roman" w:cs="Times New Roman"/>
                <w:sz w:val="24"/>
                <w:szCs w:val="24"/>
              </w:rPr>
              <w:t>mo</w:t>
            </w:r>
            <w:proofErr w:type="spellEnd"/>
          </w:p>
        </w:tc>
        <w:tc>
          <w:tcPr>
            <w:tcW w:w="1900" w:type="dxa"/>
          </w:tcPr>
          <w:p w14:paraId="1CD99086"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$75.17</w:t>
            </w:r>
          </w:p>
        </w:tc>
        <w:tc>
          <w:tcPr>
            <w:tcW w:w="1400" w:type="dxa"/>
          </w:tcPr>
          <w:p w14:paraId="618A1695"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1.6</w:t>
            </w:r>
          </w:p>
        </w:tc>
        <w:tc>
          <w:tcPr>
            <w:tcW w:w="1400" w:type="dxa"/>
          </w:tcPr>
          <w:p w14:paraId="099141ED"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47.0%</w:t>
            </w:r>
          </w:p>
        </w:tc>
        <w:tc>
          <w:tcPr>
            <w:tcW w:w="1200" w:type="dxa"/>
          </w:tcPr>
          <w:p w14:paraId="249AD4E0"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2,835</w:t>
            </w:r>
          </w:p>
        </w:tc>
      </w:tr>
      <w:tr w:rsidR="00474669" w:rsidRPr="00474669" w14:paraId="2C551411" w14:textId="77777777" w:rsidTr="00474669">
        <w:tc>
          <w:tcPr>
            <w:tcW w:w="2600" w:type="dxa"/>
          </w:tcPr>
          <w:p w14:paraId="141CA2DC"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Mid-tenure, moderate bundle</w:t>
            </w:r>
          </w:p>
        </w:tc>
        <w:tc>
          <w:tcPr>
            <w:tcW w:w="1500" w:type="dxa"/>
          </w:tcPr>
          <w:p w14:paraId="29A07B49"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 xml:space="preserve">31.7 </w:t>
            </w:r>
            <w:proofErr w:type="spellStart"/>
            <w:r w:rsidRPr="00474669">
              <w:rPr>
                <w:rFonts w:ascii="Times New Roman" w:hAnsi="Times New Roman" w:cs="Times New Roman"/>
                <w:sz w:val="24"/>
                <w:szCs w:val="24"/>
              </w:rPr>
              <w:t>mo</w:t>
            </w:r>
            <w:proofErr w:type="spellEnd"/>
          </w:p>
        </w:tc>
        <w:tc>
          <w:tcPr>
            <w:tcW w:w="1900" w:type="dxa"/>
          </w:tcPr>
          <w:p w14:paraId="0CA65D30"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$42.03</w:t>
            </w:r>
          </w:p>
        </w:tc>
        <w:tc>
          <w:tcPr>
            <w:tcW w:w="1400" w:type="dxa"/>
          </w:tcPr>
          <w:p w14:paraId="6551C0B8"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2.6</w:t>
            </w:r>
          </w:p>
        </w:tc>
        <w:tc>
          <w:tcPr>
            <w:tcW w:w="1400" w:type="dxa"/>
          </w:tcPr>
          <w:p w14:paraId="0C5B3B39"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25.0%</w:t>
            </w:r>
          </w:p>
        </w:tc>
        <w:tc>
          <w:tcPr>
            <w:tcW w:w="1200" w:type="dxa"/>
          </w:tcPr>
          <w:p w14:paraId="22FBAE29"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682</w:t>
            </w:r>
          </w:p>
        </w:tc>
      </w:tr>
      <w:tr w:rsidR="00474669" w:rsidRPr="00474669" w14:paraId="59C76C3E" w14:textId="77777777" w:rsidTr="00474669">
        <w:tc>
          <w:tcPr>
            <w:tcW w:w="2600" w:type="dxa"/>
          </w:tcPr>
          <w:p w14:paraId="56EF9A5B"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Loyal power users</w:t>
            </w:r>
          </w:p>
        </w:tc>
        <w:tc>
          <w:tcPr>
            <w:tcW w:w="1500" w:type="dxa"/>
          </w:tcPr>
          <w:p w14:paraId="41016828"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 xml:space="preserve">57.1 </w:t>
            </w:r>
            <w:proofErr w:type="spellStart"/>
            <w:r w:rsidRPr="00474669">
              <w:rPr>
                <w:rFonts w:ascii="Times New Roman" w:hAnsi="Times New Roman" w:cs="Times New Roman"/>
                <w:sz w:val="24"/>
                <w:szCs w:val="24"/>
              </w:rPr>
              <w:t>mo</w:t>
            </w:r>
            <w:proofErr w:type="spellEnd"/>
          </w:p>
        </w:tc>
        <w:tc>
          <w:tcPr>
            <w:tcW w:w="1900" w:type="dxa"/>
          </w:tcPr>
          <w:p w14:paraId="6E058ADD"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$91.09</w:t>
            </w:r>
          </w:p>
        </w:tc>
        <w:tc>
          <w:tcPr>
            <w:tcW w:w="1400" w:type="dxa"/>
          </w:tcPr>
          <w:p w14:paraId="65AD334C"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4.0</w:t>
            </w:r>
          </w:p>
        </w:tc>
        <w:tc>
          <w:tcPr>
            <w:tcW w:w="1400" w:type="dxa"/>
          </w:tcPr>
          <w:p w14:paraId="4095E3EB"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13.0%</w:t>
            </w:r>
          </w:p>
        </w:tc>
        <w:tc>
          <w:tcPr>
            <w:tcW w:w="1200" w:type="dxa"/>
          </w:tcPr>
          <w:p w14:paraId="51558B22"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2,000</w:t>
            </w:r>
          </w:p>
        </w:tc>
      </w:tr>
      <w:tr w:rsidR="00474669" w:rsidRPr="00474669" w14:paraId="5AB00080" w14:textId="77777777" w:rsidTr="00474669">
        <w:tc>
          <w:tcPr>
            <w:tcW w:w="2600" w:type="dxa"/>
          </w:tcPr>
          <w:p w14:paraId="52907F02"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Low-cost, low-churn</w:t>
            </w:r>
          </w:p>
        </w:tc>
        <w:tc>
          <w:tcPr>
            <w:tcW w:w="1500" w:type="dxa"/>
          </w:tcPr>
          <w:p w14:paraId="0C654C91"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 xml:space="preserve">30.6 </w:t>
            </w:r>
            <w:proofErr w:type="spellStart"/>
            <w:r w:rsidRPr="00474669">
              <w:rPr>
                <w:rFonts w:ascii="Times New Roman" w:hAnsi="Times New Roman" w:cs="Times New Roman"/>
                <w:sz w:val="24"/>
                <w:szCs w:val="24"/>
              </w:rPr>
              <w:t>mo</w:t>
            </w:r>
            <w:proofErr w:type="spellEnd"/>
          </w:p>
        </w:tc>
        <w:tc>
          <w:tcPr>
            <w:tcW w:w="1900" w:type="dxa"/>
          </w:tcPr>
          <w:p w14:paraId="25370C2D"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$21.08</w:t>
            </w:r>
          </w:p>
        </w:tc>
        <w:tc>
          <w:tcPr>
            <w:tcW w:w="1400" w:type="dxa"/>
          </w:tcPr>
          <w:p w14:paraId="4BDAE859"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0.0</w:t>
            </w:r>
          </w:p>
        </w:tc>
        <w:tc>
          <w:tcPr>
            <w:tcW w:w="1400" w:type="dxa"/>
          </w:tcPr>
          <w:p w14:paraId="28107B8B"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7.0%</w:t>
            </w:r>
          </w:p>
        </w:tc>
        <w:tc>
          <w:tcPr>
            <w:tcW w:w="1200" w:type="dxa"/>
          </w:tcPr>
          <w:p w14:paraId="1B605BD7"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1,526</w:t>
            </w:r>
          </w:p>
        </w:tc>
      </w:tr>
    </w:tbl>
    <w:p w14:paraId="5BE5FA39"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Entirely unsupervised — without ever seeing the Churn label — K-Means independently surfaced the same underlying signal that classification found: churn risk tracks short tenure combined with a non-trivial bill relative to service value, not the raw count of subscribed services. The lowest-churn segment has zero average add-ons, showing that “few services” alone is not a churn driver; it is short tenure paired with an unbundled, unjustified bill that is.</w:t>
      </w:r>
    </w:p>
    <w:p w14:paraId="20BD4888" w14:textId="77777777" w:rsidR="006146A1" w:rsidRPr="00474669" w:rsidRDefault="00000000" w:rsidP="00474669">
      <w:pPr>
        <w:pStyle w:val="Heading2"/>
        <w:spacing w:line="480" w:lineRule="auto"/>
        <w:rPr>
          <w:rFonts w:ascii="Times New Roman" w:hAnsi="Times New Roman" w:cs="Times New Roman"/>
          <w:sz w:val="24"/>
          <w:szCs w:val="24"/>
        </w:rPr>
      </w:pPr>
      <w:r w:rsidRPr="00474669">
        <w:rPr>
          <w:rFonts w:ascii="Times New Roman" w:hAnsi="Times New Roman" w:cs="Times New Roman"/>
          <w:sz w:val="24"/>
          <w:szCs w:val="24"/>
        </w:rPr>
        <w:lastRenderedPageBreak/>
        <w:t>3.4 Association Rule Mining: Service Bundling Patterns</w:t>
      </w:r>
    </w:p>
    <w:p w14:paraId="18944B7F"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 xml:space="preserve">The </w:t>
      </w:r>
      <w:proofErr w:type="spellStart"/>
      <w:r w:rsidRPr="00474669">
        <w:rPr>
          <w:rFonts w:ascii="Times New Roman" w:hAnsi="Times New Roman" w:cs="Times New Roman"/>
          <w:sz w:val="24"/>
          <w:szCs w:val="24"/>
        </w:rPr>
        <w:t>Apriori</w:t>
      </w:r>
      <w:proofErr w:type="spellEnd"/>
      <w:r w:rsidRPr="00474669">
        <w:rPr>
          <w:rFonts w:ascii="Times New Roman" w:hAnsi="Times New Roman" w:cs="Times New Roman"/>
          <w:sz w:val="24"/>
          <w:szCs w:val="24"/>
        </w:rPr>
        <w:t xml:space="preserve"> algorithm was applied to a market-basket encoding of each customer's subscribed services, contract type, and churn status, to surface which service combinations co-occur and which are associated with churn. </w:t>
      </w:r>
      <w:proofErr w:type="spellStart"/>
      <w:r w:rsidRPr="00474669">
        <w:rPr>
          <w:rFonts w:ascii="Times New Roman" w:hAnsi="Times New Roman" w:cs="Times New Roman"/>
          <w:sz w:val="24"/>
          <w:szCs w:val="24"/>
        </w:rPr>
        <w:t>PhoneService</w:t>
      </w:r>
      <w:proofErr w:type="spellEnd"/>
      <w:r w:rsidRPr="00474669">
        <w:rPr>
          <w:rFonts w:ascii="Times New Roman" w:hAnsi="Times New Roman" w:cs="Times New Roman"/>
          <w:sz w:val="24"/>
          <w:szCs w:val="24"/>
        </w:rPr>
        <w:t xml:space="preserve"> was deliberately excluded from the basket: at roughly 90% adoption it is a near-universal item that would dominate the rule set with trivially high confidence but little insight.</w:t>
      </w:r>
    </w:p>
    <w:p w14:paraId="0C21028F" w14:textId="77777777" w:rsidR="006146A1" w:rsidRPr="00474669" w:rsidRDefault="00000000" w:rsidP="00474669">
      <w:pPr>
        <w:spacing w:before="120" w:after="60" w:line="480" w:lineRule="auto"/>
        <w:jc w:val="center"/>
        <w:rPr>
          <w:rFonts w:ascii="Times New Roman" w:hAnsi="Times New Roman" w:cs="Times New Roman"/>
          <w:sz w:val="24"/>
          <w:szCs w:val="24"/>
        </w:rPr>
      </w:pPr>
      <w:r w:rsidRPr="00474669">
        <w:rPr>
          <w:rFonts w:ascii="Times New Roman" w:hAnsi="Times New Roman" w:cs="Times New Roman"/>
          <w:noProof/>
          <w:sz w:val="24"/>
          <w:szCs w:val="24"/>
        </w:rPr>
        <w:drawing>
          <wp:inline distT="0" distB="0" distL="0" distR="0" wp14:anchorId="5EDDFAA6" wp14:editId="04E5A493">
            <wp:extent cx="3838575" cy="2990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38575" cy="2990850"/>
                    </a:xfrm>
                    <a:prstGeom prst="rect">
                      <a:avLst/>
                    </a:prstGeom>
                  </pic:spPr>
                </pic:pic>
              </a:graphicData>
            </a:graphic>
          </wp:inline>
        </w:drawing>
      </w:r>
    </w:p>
    <w:p w14:paraId="696BDCFF" w14:textId="77777777" w:rsidR="006146A1" w:rsidRPr="00474669" w:rsidRDefault="00000000" w:rsidP="00474669">
      <w:pPr>
        <w:spacing w:after="240" w:line="480" w:lineRule="auto"/>
        <w:jc w:val="center"/>
        <w:rPr>
          <w:rFonts w:ascii="Times New Roman" w:hAnsi="Times New Roman" w:cs="Times New Roman"/>
          <w:sz w:val="24"/>
          <w:szCs w:val="24"/>
        </w:rPr>
      </w:pPr>
      <w:r w:rsidRPr="00474669">
        <w:rPr>
          <w:rFonts w:ascii="Times New Roman" w:hAnsi="Times New Roman" w:cs="Times New Roman"/>
          <w:i/>
          <w:iCs/>
          <w:sz w:val="24"/>
          <w:szCs w:val="24"/>
        </w:rPr>
        <w:t>Figure 11. Support vs. confidence for all mined association rules, colored by lift.</w:t>
      </w:r>
    </w:p>
    <w:p w14:paraId="6A0A138D"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 xml:space="preserve">The strongest churn-associated rule found was {Month-to-month contract, Fiber optic internet} → Churn = Yes, with support 0.165, confidence 0.546, and lift 2.06 — customers on this combination churn at more than double the base rate. A separate, non-churn pattern emerged among streaming services: </w:t>
      </w:r>
      <w:proofErr w:type="spellStart"/>
      <w:r w:rsidRPr="00474669">
        <w:rPr>
          <w:rFonts w:ascii="Times New Roman" w:hAnsi="Times New Roman" w:cs="Times New Roman"/>
          <w:sz w:val="24"/>
          <w:szCs w:val="24"/>
        </w:rPr>
        <w:t>StreamingTV</w:t>
      </w:r>
      <w:proofErr w:type="spellEnd"/>
      <w:r w:rsidRPr="00474669">
        <w:rPr>
          <w:rFonts w:ascii="Times New Roman" w:hAnsi="Times New Roman" w:cs="Times New Roman"/>
          <w:sz w:val="24"/>
          <w:szCs w:val="24"/>
        </w:rPr>
        <w:t xml:space="preserve">, </w:t>
      </w:r>
      <w:proofErr w:type="spellStart"/>
      <w:r w:rsidRPr="00474669">
        <w:rPr>
          <w:rFonts w:ascii="Times New Roman" w:hAnsi="Times New Roman" w:cs="Times New Roman"/>
          <w:sz w:val="24"/>
          <w:szCs w:val="24"/>
        </w:rPr>
        <w:t>StreamingMovies</w:t>
      </w:r>
      <w:proofErr w:type="spellEnd"/>
      <w:r w:rsidRPr="00474669">
        <w:rPr>
          <w:rFonts w:ascii="Times New Roman" w:hAnsi="Times New Roman" w:cs="Times New Roman"/>
          <w:sz w:val="24"/>
          <w:szCs w:val="24"/>
        </w:rPr>
        <w:t xml:space="preserve">, and </w:t>
      </w:r>
      <w:proofErr w:type="spellStart"/>
      <w:r w:rsidRPr="00474669">
        <w:rPr>
          <w:rFonts w:ascii="Times New Roman" w:hAnsi="Times New Roman" w:cs="Times New Roman"/>
          <w:sz w:val="24"/>
          <w:szCs w:val="24"/>
        </w:rPr>
        <w:t>MultipleLines</w:t>
      </w:r>
      <w:proofErr w:type="spellEnd"/>
      <w:r w:rsidRPr="00474669">
        <w:rPr>
          <w:rFonts w:ascii="Times New Roman" w:hAnsi="Times New Roman" w:cs="Times New Roman"/>
          <w:sz w:val="24"/>
          <w:szCs w:val="24"/>
        </w:rPr>
        <w:t xml:space="preserve"> co-occur with lift around 1.98–2.06, reflecting a natural cross-sell bundle among fiber-optic customers.</w:t>
      </w:r>
    </w:p>
    <w:p w14:paraId="1F9CFE29" w14:textId="77777777" w:rsidR="006146A1" w:rsidRPr="00474669" w:rsidRDefault="00000000" w:rsidP="00474669">
      <w:pPr>
        <w:pStyle w:val="Heading1"/>
        <w:spacing w:line="480" w:lineRule="auto"/>
        <w:rPr>
          <w:rFonts w:ascii="Times New Roman" w:hAnsi="Times New Roman" w:cs="Times New Roman"/>
          <w:sz w:val="24"/>
          <w:szCs w:val="24"/>
        </w:rPr>
      </w:pPr>
      <w:r w:rsidRPr="00474669">
        <w:rPr>
          <w:rFonts w:ascii="Times New Roman" w:hAnsi="Times New Roman" w:cs="Times New Roman"/>
          <w:sz w:val="24"/>
          <w:szCs w:val="24"/>
        </w:rPr>
        <w:t>4. Evaluation and Cross-Technique Insights</w:t>
      </w:r>
    </w:p>
    <w:tbl>
      <w:tblPr>
        <w:tblStyle w:val="TableGrid"/>
        <w:tblW w:w="9000" w:type="dxa"/>
        <w:tblLook w:val="04A0" w:firstRow="1" w:lastRow="0" w:firstColumn="1" w:lastColumn="0" w:noHBand="0" w:noVBand="1"/>
      </w:tblPr>
      <w:tblGrid>
        <w:gridCol w:w="2400"/>
        <w:gridCol w:w="6600"/>
      </w:tblGrid>
      <w:tr w:rsidR="00474669" w:rsidRPr="00474669" w14:paraId="6CD3A1F3" w14:textId="77777777" w:rsidTr="00474669">
        <w:tc>
          <w:tcPr>
            <w:tcW w:w="2400" w:type="dxa"/>
          </w:tcPr>
          <w:p w14:paraId="64CF40FC"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b/>
                <w:bCs/>
                <w:sz w:val="24"/>
                <w:szCs w:val="24"/>
              </w:rPr>
              <w:lastRenderedPageBreak/>
              <w:t>Technique</w:t>
            </w:r>
          </w:p>
        </w:tc>
        <w:tc>
          <w:tcPr>
            <w:tcW w:w="6600" w:type="dxa"/>
          </w:tcPr>
          <w:p w14:paraId="7DFCF86E"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b/>
                <w:bCs/>
                <w:sz w:val="24"/>
                <w:szCs w:val="24"/>
              </w:rPr>
              <w:t>Key Result</w:t>
            </w:r>
          </w:p>
        </w:tc>
      </w:tr>
      <w:tr w:rsidR="00474669" w:rsidRPr="00474669" w14:paraId="25D0DF7E" w14:textId="77777777" w:rsidTr="00474669">
        <w:tc>
          <w:tcPr>
            <w:tcW w:w="2400" w:type="dxa"/>
          </w:tcPr>
          <w:p w14:paraId="0DF8C936"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Regression</w:t>
            </w:r>
          </w:p>
        </w:tc>
        <w:tc>
          <w:tcPr>
            <w:tcW w:w="6600" w:type="dxa"/>
          </w:tcPr>
          <w:p w14:paraId="1C4BDFAE"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 xml:space="preserve">Ridge Regression preferred; R² ≈ 0.999, RMSE ≈ $1 predicting </w:t>
            </w:r>
            <w:proofErr w:type="spellStart"/>
            <w:r w:rsidRPr="00474669">
              <w:rPr>
                <w:rFonts w:ascii="Times New Roman" w:hAnsi="Times New Roman" w:cs="Times New Roman"/>
                <w:sz w:val="24"/>
                <w:szCs w:val="24"/>
              </w:rPr>
              <w:t>MonthlyCharges</w:t>
            </w:r>
            <w:proofErr w:type="spellEnd"/>
          </w:p>
        </w:tc>
      </w:tr>
      <w:tr w:rsidR="00474669" w:rsidRPr="00474669" w14:paraId="6CA1D70A" w14:textId="77777777" w:rsidTr="00474669">
        <w:tc>
          <w:tcPr>
            <w:tcW w:w="2400" w:type="dxa"/>
          </w:tcPr>
          <w:p w14:paraId="591AB0F9"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Classification</w:t>
            </w:r>
          </w:p>
        </w:tc>
        <w:tc>
          <w:tcPr>
            <w:tcW w:w="6600" w:type="dxa"/>
          </w:tcPr>
          <w:p w14:paraId="7004363E"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Baseline Decision Tree best ROC AUC (≈0.83); tuned tree ≈0.79; k-NN ≈0.77</w:t>
            </w:r>
          </w:p>
        </w:tc>
      </w:tr>
      <w:tr w:rsidR="00474669" w:rsidRPr="00474669" w14:paraId="60657124" w14:textId="77777777" w:rsidTr="00474669">
        <w:tc>
          <w:tcPr>
            <w:tcW w:w="2400" w:type="dxa"/>
          </w:tcPr>
          <w:p w14:paraId="17C397D7"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Clustering</w:t>
            </w:r>
          </w:p>
        </w:tc>
        <w:tc>
          <w:tcPr>
            <w:tcW w:w="6600" w:type="dxa"/>
          </w:tcPr>
          <w:p w14:paraId="45A4DAA9"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K-Means, k = 4; churn ranges from 7% to 47% across segments</w:t>
            </w:r>
          </w:p>
        </w:tc>
      </w:tr>
      <w:tr w:rsidR="00474669" w:rsidRPr="00474669" w14:paraId="4D41D83C" w14:textId="77777777" w:rsidTr="00474669">
        <w:tc>
          <w:tcPr>
            <w:tcW w:w="2400" w:type="dxa"/>
          </w:tcPr>
          <w:p w14:paraId="2EB25390"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Association Rules</w:t>
            </w:r>
          </w:p>
        </w:tc>
        <w:tc>
          <w:tcPr>
            <w:tcW w:w="6600" w:type="dxa"/>
          </w:tcPr>
          <w:p w14:paraId="0A3C7ADB" w14:textId="77777777" w:rsidR="006146A1" w:rsidRPr="00474669" w:rsidRDefault="00000000" w:rsidP="00474669">
            <w:pPr>
              <w:spacing w:line="480" w:lineRule="auto"/>
              <w:rPr>
                <w:rFonts w:ascii="Times New Roman" w:hAnsi="Times New Roman" w:cs="Times New Roman"/>
                <w:sz w:val="24"/>
                <w:szCs w:val="24"/>
              </w:rPr>
            </w:pPr>
            <w:r w:rsidRPr="00474669">
              <w:rPr>
                <w:rFonts w:ascii="Times New Roman" w:hAnsi="Times New Roman" w:cs="Times New Roman"/>
                <w:sz w:val="24"/>
                <w:szCs w:val="24"/>
              </w:rPr>
              <w:t>Month-to-month + fiber-optic → churn, lift ≈ 2.06</w:t>
            </w:r>
          </w:p>
        </w:tc>
      </w:tr>
    </w:tbl>
    <w:p w14:paraId="1B65A632"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 xml:space="preserve">The central finding of this project is that all four techniques — applied independently, using different algorithms and, for clustering, without ever seeing the target label — converge on the same underlying story: churn risk in this dataset tracks short tenure and weak contractual commitment, not the size of the bill itself. Regression shows that price is nearly a deterministic function of subscribed services rather than an independent variable. Classification consistently ranks Contract and </w:t>
      </w:r>
      <w:proofErr w:type="spellStart"/>
      <w:r w:rsidRPr="00474669">
        <w:rPr>
          <w:rFonts w:ascii="Times New Roman" w:hAnsi="Times New Roman" w:cs="Times New Roman"/>
          <w:sz w:val="24"/>
          <w:szCs w:val="24"/>
        </w:rPr>
        <w:t>InternetService</w:t>
      </w:r>
      <w:proofErr w:type="spellEnd"/>
      <w:r w:rsidRPr="00474669">
        <w:rPr>
          <w:rFonts w:ascii="Times New Roman" w:hAnsi="Times New Roman" w:cs="Times New Roman"/>
          <w:sz w:val="24"/>
          <w:szCs w:val="24"/>
        </w:rPr>
        <w:t>-related features at the top of its importance rankings. Clustering separates a 47%-churn segment from a 7%-churn segment using tenure and bundle depth alone. Association rule mining confirms the same month-to-month/fiber-optic combination as the strongest churn antecedent found by any method.</w:t>
      </w:r>
    </w:p>
    <w:p w14:paraId="25A57A19"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Agreement across four independently derived techniques is meaningfully stronger evidence than any single method could provide alone, and gives confidence that the drivers identified here — contract commitment, tenure, and bundled service value — are genuine patterns in the data rather than artifacts of any one algorithm's assumptions.</w:t>
      </w:r>
    </w:p>
    <w:p w14:paraId="5849D1D2" w14:textId="77777777" w:rsidR="006146A1" w:rsidRPr="00474669" w:rsidRDefault="00000000" w:rsidP="00474669">
      <w:pPr>
        <w:pStyle w:val="Heading1"/>
        <w:spacing w:line="480" w:lineRule="auto"/>
        <w:rPr>
          <w:rFonts w:ascii="Times New Roman" w:hAnsi="Times New Roman" w:cs="Times New Roman"/>
          <w:sz w:val="24"/>
          <w:szCs w:val="24"/>
        </w:rPr>
      </w:pPr>
      <w:r w:rsidRPr="00474669">
        <w:rPr>
          <w:rFonts w:ascii="Times New Roman" w:hAnsi="Times New Roman" w:cs="Times New Roman"/>
          <w:sz w:val="24"/>
          <w:szCs w:val="24"/>
        </w:rPr>
        <w:t>5. Ethical Considerations</w:t>
      </w:r>
    </w:p>
    <w:p w14:paraId="23033CBC" w14:textId="77777777" w:rsidR="006146A1" w:rsidRPr="00474669" w:rsidRDefault="00000000" w:rsidP="00474669">
      <w:pPr>
        <w:pStyle w:val="Heading2"/>
        <w:spacing w:line="480" w:lineRule="auto"/>
        <w:rPr>
          <w:rFonts w:ascii="Times New Roman" w:hAnsi="Times New Roman" w:cs="Times New Roman"/>
          <w:sz w:val="24"/>
          <w:szCs w:val="24"/>
        </w:rPr>
      </w:pPr>
      <w:r w:rsidRPr="00474669">
        <w:rPr>
          <w:rFonts w:ascii="Times New Roman" w:hAnsi="Times New Roman" w:cs="Times New Roman"/>
          <w:sz w:val="24"/>
          <w:szCs w:val="24"/>
        </w:rPr>
        <w:t>5.1 Data Privacy</w:t>
      </w:r>
    </w:p>
    <w:p w14:paraId="4E3DAACC"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lastRenderedPageBreak/>
        <w:t xml:space="preserve">The dataset is a de-identified, publicly released sample: </w:t>
      </w:r>
      <w:proofErr w:type="spellStart"/>
      <w:r w:rsidRPr="00474669">
        <w:rPr>
          <w:rFonts w:ascii="Times New Roman" w:hAnsi="Times New Roman" w:cs="Times New Roman"/>
          <w:sz w:val="24"/>
          <w:szCs w:val="24"/>
        </w:rPr>
        <w:t>customerID</w:t>
      </w:r>
      <w:proofErr w:type="spellEnd"/>
      <w:r w:rsidRPr="00474669">
        <w:rPr>
          <w:rFonts w:ascii="Times New Roman" w:hAnsi="Times New Roman" w:cs="Times New Roman"/>
          <w:sz w:val="24"/>
          <w:szCs w:val="24"/>
        </w:rPr>
        <w:t xml:space="preserve"> is a synthetic key not tied to any real individual, and no sensitive personal identifiers beyond coarse demographic categories (gender, senior-citizen status, partner/dependent status) are present. This coursework use required no additional privacy controls. A production deployment on real customer data, however, would need to add access controls, minimize retained demographic fields to only what is strictly necessary for the modeling purpose, and comply with applicable data-protection regulation (e.g., GDPR or CCPA).</w:t>
      </w:r>
    </w:p>
    <w:p w14:paraId="2ECE3E49" w14:textId="77777777" w:rsidR="006146A1" w:rsidRPr="00474669" w:rsidRDefault="00000000" w:rsidP="00474669">
      <w:pPr>
        <w:pStyle w:val="Heading2"/>
        <w:spacing w:line="480" w:lineRule="auto"/>
        <w:rPr>
          <w:rFonts w:ascii="Times New Roman" w:hAnsi="Times New Roman" w:cs="Times New Roman"/>
          <w:sz w:val="24"/>
          <w:szCs w:val="24"/>
        </w:rPr>
      </w:pPr>
      <w:r w:rsidRPr="00474669">
        <w:rPr>
          <w:rFonts w:ascii="Times New Roman" w:hAnsi="Times New Roman" w:cs="Times New Roman"/>
          <w:sz w:val="24"/>
          <w:szCs w:val="24"/>
        </w:rPr>
        <w:t>5.2 Fairness</w:t>
      </w:r>
    </w:p>
    <w:p w14:paraId="393838C2"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 xml:space="preserve">Demographic attributes (gender, </w:t>
      </w:r>
      <w:proofErr w:type="spellStart"/>
      <w:r w:rsidRPr="00474669">
        <w:rPr>
          <w:rFonts w:ascii="Times New Roman" w:hAnsi="Times New Roman" w:cs="Times New Roman"/>
          <w:sz w:val="24"/>
          <w:szCs w:val="24"/>
        </w:rPr>
        <w:t>SeniorCitizen</w:t>
      </w:r>
      <w:proofErr w:type="spellEnd"/>
      <w:r w:rsidRPr="00474669">
        <w:rPr>
          <w:rFonts w:ascii="Times New Roman" w:hAnsi="Times New Roman" w:cs="Times New Roman"/>
          <w:sz w:val="24"/>
          <w:szCs w:val="24"/>
        </w:rPr>
        <w:t>, Partner, Dependents) were included as classification predictors. This carries a real risk: a model trained on these features could learn to differentiate retention offers, pricing, or service recommendations along demographic lines, even unintentionally, if those attributes happen to correlate with churn in the training data. Before any version of this model were used to automate real pricing or retention decisions, it should be audited for disparate impact across these demographic groups (e.g., comparing false-negative churn-prediction rates by group), and the demographic features should be excluded or fairness-constrained if such disparities are found.</w:t>
      </w:r>
    </w:p>
    <w:p w14:paraId="3CE633D5" w14:textId="77777777" w:rsidR="006146A1" w:rsidRPr="00474669" w:rsidRDefault="00000000" w:rsidP="00474669">
      <w:pPr>
        <w:pStyle w:val="Heading2"/>
        <w:spacing w:line="480" w:lineRule="auto"/>
        <w:rPr>
          <w:rFonts w:ascii="Times New Roman" w:hAnsi="Times New Roman" w:cs="Times New Roman"/>
          <w:sz w:val="24"/>
          <w:szCs w:val="24"/>
        </w:rPr>
      </w:pPr>
      <w:r w:rsidRPr="00474669">
        <w:rPr>
          <w:rFonts w:ascii="Times New Roman" w:hAnsi="Times New Roman" w:cs="Times New Roman"/>
          <w:sz w:val="24"/>
          <w:szCs w:val="24"/>
        </w:rPr>
        <w:t>5.3 Potential Biases</w:t>
      </w:r>
    </w:p>
    <w:p w14:paraId="665F458C" w14:textId="77777777" w:rsidR="006146A1" w:rsidRPr="00474669" w:rsidRDefault="00000000" w:rsidP="00474669">
      <w:pPr>
        <w:spacing w:after="160" w:line="480" w:lineRule="auto"/>
        <w:rPr>
          <w:rFonts w:ascii="Times New Roman" w:hAnsi="Times New Roman" w:cs="Times New Roman"/>
          <w:sz w:val="24"/>
          <w:szCs w:val="24"/>
        </w:rPr>
      </w:pPr>
      <w:r w:rsidRPr="00474669">
        <w:rPr>
          <w:rFonts w:ascii="Times New Roman" w:hAnsi="Times New Roman" w:cs="Times New Roman"/>
          <w:sz w:val="24"/>
          <w:szCs w:val="24"/>
        </w:rPr>
        <w:t xml:space="preserve">This dataset reflects one fictional company's pricing structure, service catalog, and customer base at a single point in time. The specific churn drivers identified here — contract type, fiber-optic pricing — are shaped by that company's particular market and should not be generalized as a universal theory of telecom churn; a different provider, region, or time period could show </w:t>
      </w:r>
      <w:r w:rsidRPr="00474669">
        <w:rPr>
          <w:rFonts w:ascii="Times New Roman" w:hAnsi="Times New Roman" w:cs="Times New Roman"/>
          <w:sz w:val="24"/>
          <w:szCs w:val="24"/>
        </w:rPr>
        <w:lastRenderedPageBreak/>
        <w:t>materially different patterns. Any deployment of this analysis outside the scope of this coursework dataset would need re-validation on the target population before being trusted.</w:t>
      </w:r>
    </w:p>
    <w:p w14:paraId="6FFBFD86" w14:textId="77777777" w:rsidR="006146A1" w:rsidRPr="00474669" w:rsidRDefault="00000000" w:rsidP="00474669">
      <w:pPr>
        <w:pStyle w:val="Heading2"/>
        <w:spacing w:line="480" w:lineRule="auto"/>
        <w:rPr>
          <w:rFonts w:ascii="Times New Roman" w:hAnsi="Times New Roman" w:cs="Times New Roman"/>
          <w:sz w:val="24"/>
          <w:szCs w:val="24"/>
        </w:rPr>
      </w:pPr>
      <w:r w:rsidRPr="00474669">
        <w:rPr>
          <w:rFonts w:ascii="Times New Roman" w:hAnsi="Times New Roman" w:cs="Times New Roman"/>
          <w:sz w:val="24"/>
          <w:szCs w:val="24"/>
        </w:rPr>
        <w:t>5.4 Steps Taken to Address These Concerns</w:t>
      </w:r>
    </w:p>
    <w:p w14:paraId="3139EC93" w14:textId="0CA438E4" w:rsidR="006146A1" w:rsidRPr="00474669" w:rsidRDefault="00000000" w:rsidP="00474669">
      <w:pPr>
        <w:pStyle w:val="ListParagraph"/>
        <w:numPr>
          <w:ilvl w:val="0"/>
          <w:numId w:val="1"/>
        </w:numPr>
        <w:spacing w:after="100" w:line="480" w:lineRule="auto"/>
        <w:rPr>
          <w:rFonts w:ascii="Times New Roman" w:hAnsi="Times New Roman" w:cs="Times New Roman"/>
          <w:sz w:val="24"/>
          <w:szCs w:val="24"/>
        </w:rPr>
      </w:pPr>
      <w:r w:rsidRPr="00474669">
        <w:rPr>
          <w:rFonts w:ascii="Times New Roman" w:hAnsi="Times New Roman" w:cs="Times New Roman"/>
          <w:sz w:val="24"/>
          <w:szCs w:val="24"/>
        </w:rPr>
        <w:t>Classification models were evaluated with F1 score and ROC AUC, not accuracy alone, specifically to avoid rewarding a model that superficially performs well by ignoring the minority churn class the population most relevant to any retention intervention.</w:t>
      </w:r>
    </w:p>
    <w:p w14:paraId="163596A7" w14:textId="77777777" w:rsidR="006146A1" w:rsidRPr="00474669" w:rsidRDefault="00000000" w:rsidP="00474669">
      <w:pPr>
        <w:pStyle w:val="ListParagraph"/>
        <w:numPr>
          <w:ilvl w:val="0"/>
          <w:numId w:val="1"/>
        </w:numPr>
        <w:spacing w:after="100" w:line="480" w:lineRule="auto"/>
        <w:rPr>
          <w:rFonts w:ascii="Times New Roman" w:hAnsi="Times New Roman" w:cs="Times New Roman"/>
          <w:sz w:val="24"/>
          <w:szCs w:val="24"/>
        </w:rPr>
      </w:pPr>
      <w:r w:rsidRPr="00474669">
        <w:rPr>
          <w:rFonts w:ascii="Times New Roman" w:hAnsi="Times New Roman" w:cs="Times New Roman"/>
          <w:sz w:val="24"/>
          <w:szCs w:val="24"/>
        </w:rPr>
        <w:t>Cluster and association-rule interpretations were cross-checked against the independently derived classification results (Section 4) rather than accepted at face value from any single technique, reducing the risk of over-interpreting a pattern that could be an artifact of one particular algorithm.</w:t>
      </w:r>
    </w:p>
    <w:p w14:paraId="20E13094" w14:textId="77777777" w:rsidR="006146A1" w:rsidRPr="00474669" w:rsidRDefault="00000000" w:rsidP="00474669">
      <w:pPr>
        <w:pStyle w:val="ListParagraph"/>
        <w:numPr>
          <w:ilvl w:val="0"/>
          <w:numId w:val="1"/>
        </w:numPr>
        <w:spacing w:after="100" w:line="480" w:lineRule="auto"/>
        <w:rPr>
          <w:rFonts w:ascii="Times New Roman" w:hAnsi="Times New Roman" w:cs="Times New Roman"/>
          <w:sz w:val="24"/>
          <w:szCs w:val="24"/>
        </w:rPr>
      </w:pPr>
      <w:r w:rsidRPr="00474669">
        <w:rPr>
          <w:rFonts w:ascii="Times New Roman" w:hAnsi="Times New Roman" w:cs="Times New Roman"/>
          <w:sz w:val="24"/>
          <w:szCs w:val="24"/>
        </w:rPr>
        <w:t>The report explicitly documents the tuned classifier underperforming the baseline on this test split (Section 3.2) rather than selectively reporting only the favorable result, in the interest of transparent and honest evaluation.</w:t>
      </w:r>
    </w:p>
    <w:p w14:paraId="7A11622C" w14:textId="77777777" w:rsidR="006146A1" w:rsidRPr="00474669" w:rsidRDefault="00000000" w:rsidP="00474669">
      <w:pPr>
        <w:pStyle w:val="Heading1"/>
        <w:spacing w:line="480" w:lineRule="auto"/>
        <w:rPr>
          <w:rFonts w:ascii="Times New Roman" w:hAnsi="Times New Roman" w:cs="Times New Roman"/>
          <w:sz w:val="24"/>
          <w:szCs w:val="24"/>
        </w:rPr>
      </w:pPr>
      <w:r w:rsidRPr="00474669">
        <w:rPr>
          <w:rFonts w:ascii="Times New Roman" w:hAnsi="Times New Roman" w:cs="Times New Roman"/>
          <w:sz w:val="24"/>
          <w:szCs w:val="24"/>
        </w:rPr>
        <w:t>6. Practical Recommendations</w:t>
      </w:r>
    </w:p>
    <w:p w14:paraId="07F02BF9" w14:textId="77777777" w:rsidR="006146A1" w:rsidRPr="00474669" w:rsidRDefault="00000000" w:rsidP="00474669">
      <w:pPr>
        <w:pStyle w:val="ListParagraph"/>
        <w:numPr>
          <w:ilvl w:val="0"/>
          <w:numId w:val="1"/>
        </w:numPr>
        <w:spacing w:after="100" w:line="480" w:lineRule="auto"/>
        <w:rPr>
          <w:rFonts w:ascii="Times New Roman" w:hAnsi="Times New Roman" w:cs="Times New Roman"/>
          <w:sz w:val="24"/>
          <w:szCs w:val="24"/>
        </w:rPr>
      </w:pPr>
      <w:r w:rsidRPr="00474669">
        <w:rPr>
          <w:rFonts w:ascii="Times New Roman" w:hAnsi="Times New Roman" w:cs="Times New Roman"/>
          <w:sz w:val="24"/>
          <w:szCs w:val="24"/>
        </w:rPr>
        <w:t>Target retention offers at the highest-risk segment: short-tenure (under 24 months), month-to-month, fiber-optic customers with few add-on services should receive proactive contract-upgrade or bundle-discount offers ahead of their renewal decision point, since this segment shows a 47% churn rate versus a 26.5% baseline.</w:t>
      </w:r>
    </w:p>
    <w:p w14:paraId="23D397D8" w14:textId="77777777" w:rsidR="006146A1" w:rsidRPr="00474669" w:rsidRDefault="00000000" w:rsidP="00474669">
      <w:pPr>
        <w:pStyle w:val="ListParagraph"/>
        <w:numPr>
          <w:ilvl w:val="0"/>
          <w:numId w:val="1"/>
        </w:numPr>
        <w:spacing w:after="100" w:line="480" w:lineRule="auto"/>
        <w:rPr>
          <w:rFonts w:ascii="Times New Roman" w:hAnsi="Times New Roman" w:cs="Times New Roman"/>
          <w:sz w:val="24"/>
          <w:szCs w:val="24"/>
        </w:rPr>
      </w:pPr>
      <w:r w:rsidRPr="00474669">
        <w:rPr>
          <w:rFonts w:ascii="Times New Roman" w:hAnsi="Times New Roman" w:cs="Times New Roman"/>
          <w:sz w:val="24"/>
          <w:szCs w:val="24"/>
        </w:rPr>
        <w:t xml:space="preserve">Use </w:t>
      </w:r>
      <w:proofErr w:type="spellStart"/>
      <w:r w:rsidRPr="00474669">
        <w:rPr>
          <w:rFonts w:ascii="Times New Roman" w:hAnsi="Times New Roman" w:cs="Times New Roman"/>
          <w:sz w:val="24"/>
          <w:szCs w:val="24"/>
        </w:rPr>
        <w:t>NumAddOnServices</w:t>
      </w:r>
      <w:proofErr w:type="spellEnd"/>
      <w:r w:rsidRPr="00474669">
        <w:rPr>
          <w:rFonts w:ascii="Times New Roman" w:hAnsi="Times New Roman" w:cs="Times New Roman"/>
          <w:sz w:val="24"/>
          <w:szCs w:val="24"/>
        </w:rPr>
        <w:t xml:space="preserve"> and Contract type as compact churn-risk features in any operational scoring model, rather than </w:t>
      </w:r>
      <w:proofErr w:type="spellStart"/>
      <w:r w:rsidRPr="00474669">
        <w:rPr>
          <w:rFonts w:ascii="Times New Roman" w:hAnsi="Times New Roman" w:cs="Times New Roman"/>
          <w:sz w:val="24"/>
          <w:szCs w:val="24"/>
        </w:rPr>
        <w:t>MonthlyCharges</w:t>
      </w:r>
      <w:proofErr w:type="spellEnd"/>
      <w:r w:rsidRPr="00474669">
        <w:rPr>
          <w:rFonts w:ascii="Times New Roman" w:hAnsi="Times New Roman" w:cs="Times New Roman"/>
          <w:sz w:val="24"/>
          <w:szCs w:val="24"/>
        </w:rPr>
        <w:t xml:space="preserve"> or </w:t>
      </w:r>
      <w:proofErr w:type="spellStart"/>
      <w:r w:rsidRPr="00474669">
        <w:rPr>
          <w:rFonts w:ascii="Times New Roman" w:hAnsi="Times New Roman" w:cs="Times New Roman"/>
          <w:sz w:val="24"/>
          <w:szCs w:val="24"/>
        </w:rPr>
        <w:t>TotalCharges</w:t>
      </w:r>
      <w:proofErr w:type="spellEnd"/>
      <w:r w:rsidRPr="00474669">
        <w:rPr>
          <w:rFonts w:ascii="Times New Roman" w:hAnsi="Times New Roman" w:cs="Times New Roman"/>
          <w:sz w:val="24"/>
          <w:szCs w:val="24"/>
        </w:rPr>
        <w:t xml:space="preserve"> — the </w:t>
      </w:r>
      <w:r w:rsidRPr="00474669">
        <w:rPr>
          <w:rFonts w:ascii="Times New Roman" w:hAnsi="Times New Roman" w:cs="Times New Roman"/>
          <w:sz w:val="24"/>
          <w:szCs w:val="24"/>
        </w:rPr>
        <w:lastRenderedPageBreak/>
        <w:t>regression results show billing amount is largely redundant with these more interpretable, non-leaky features.</w:t>
      </w:r>
    </w:p>
    <w:p w14:paraId="07750FA4" w14:textId="77777777" w:rsidR="006146A1" w:rsidRPr="00474669" w:rsidRDefault="00000000" w:rsidP="00474669">
      <w:pPr>
        <w:pStyle w:val="ListParagraph"/>
        <w:numPr>
          <w:ilvl w:val="0"/>
          <w:numId w:val="1"/>
        </w:numPr>
        <w:spacing w:after="100" w:line="480" w:lineRule="auto"/>
        <w:rPr>
          <w:rFonts w:ascii="Times New Roman" w:hAnsi="Times New Roman" w:cs="Times New Roman"/>
          <w:sz w:val="24"/>
          <w:szCs w:val="24"/>
        </w:rPr>
      </w:pPr>
      <w:r w:rsidRPr="00474669">
        <w:rPr>
          <w:rFonts w:ascii="Times New Roman" w:hAnsi="Times New Roman" w:cs="Times New Roman"/>
          <w:sz w:val="24"/>
          <w:szCs w:val="24"/>
        </w:rPr>
        <w:t>Proactively bundle streaming services with fiber-optic plans at sign-up: customers who adopt one streaming service are highly likely to want the other, and this bundling pattern co-occurs with the long-tenured, low-churn “loyal power users” segment.</w:t>
      </w:r>
    </w:p>
    <w:p w14:paraId="30E5B5B6" w14:textId="77777777" w:rsidR="006146A1" w:rsidRPr="00474669" w:rsidRDefault="00000000" w:rsidP="00474669">
      <w:pPr>
        <w:pStyle w:val="ListParagraph"/>
        <w:numPr>
          <w:ilvl w:val="0"/>
          <w:numId w:val="1"/>
        </w:numPr>
        <w:spacing w:after="100" w:line="480" w:lineRule="auto"/>
        <w:rPr>
          <w:rFonts w:ascii="Times New Roman" w:hAnsi="Times New Roman" w:cs="Times New Roman"/>
          <w:sz w:val="24"/>
          <w:szCs w:val="24"/>
        </w:rPr>
      </w:pPr>
      <w:r w:rsidRPr="00474669">
        <w:rPr>
          <w:rFonts w:ascii="Times New Roman" w:hAnsi="Times New Roman" w:cs="Times New Roman"/>
          <w:sz w:val="24"/>
          <w:szCs w:val="24"/>
        </w:rPr>
        <w:t>Re-run this pipeline periodically as new customer cohorts accrue tenure and as pricing or competitive conditions change, since churn drivers in subscription businesses are not static.</w:t>
      </w:r>
    </w:p>
    <w:p w14:paraId="7778C441" w14:textId="77777777" w:rsidR="006146A1" w:rsidRPr="00474669" w:rsidRDefault="00000000" w:rsidP="00474669">
      <w:pPr>
        <w:pStyle w:val="Heading2"/>
        <w:spacing w:line="480" w:lineRule="auto"/>
        <w:rPr>
          <w:rFonts w:ascii="Times New Roman" w:hAnsi="Times New Roman" w:cs="Times New Roman"/>
          <w:sz w:val="24"/>
          <w:szCs w:val="24"/>
        </w:rPr>
      </w:pPr>
      <w:r w:rsidRPr="00474669">
        <w:rPr>
          <w:rFonts w:ascii="Times New Roman" w:hAnsi="Times New Roman" w:cs="Times New Roman"/>
          <w:sz w:val="24"/>
          <w:szCs w:val="24"/>
        </w:rPr>
        <w:t>6.1 Limitations and Future Improvements</w:t>
      </w:r>
    </w:p>
    <w:p w14:paraId="6F0DFA34" w14:textId="77777777" w:rsidR="006146A1" w:rsidRPr="00474669" w:rsidRDefault="00000000" w:rsidP="00474669">
      <w:pPr>
        <w:pStyle w:val="ListParagraph"/>
        <w:numPr>
          <w:ilvl w:val="0"/>
          <w:numId w:val="1"/>
        </w:numPr>
        <w:spacing w:after="100" w:line="480" w:lineRule="auto"/>
        <w:rPr>
          <w:rFonts w:ascii="Times New Roman" w:hAnsi="Times New Roman" w:cs="Times New Roman"/>
          <w:sz w:val="24"/>
          <w:szCs w:val="24"/>
        </w:rPr>
      </w:pPr>
      <w:r w:rsidRPr="00474669">
        <w:rPr>
          <w:rFonts w:ascii="Times New Roman" w:hAnsi="Times New Roman" w:cs="Times New Roman"/>
          <w:sz w:val="24"/>
          <w:szCs w:val="24"/>
        </w:rPr>
        <w:t>The dataset is a single static snapshot; a production system would benefit from time-series or survival-analysis approaches to churn rather than a single binary-outcome classifier.</w:t>
      </w:r>
    </w:p>
    <w:p w14:paraId="0644A231" w14:textId="77777777" w:rsidR="006146A1" w:rsidRPr="00474669" w:rsidRDefault="00000000" w:rsidP="00474669">
      <w:pPr>
        <w:pStyle w:val="ListParagraph"/>
        <w:numPr>
          <w:ilvl w:val="0"/>
          <w:numId w:val="1"/>
        </w:numPr>
        <w:spacing w:after="100" w:line="480" w:lineRule="auto"/>
        <w:rPr>
          <w:rFonts w:ascii="Times New Roman" w:hAnsi="Times New Roman" w:cs="Times New Roman"/>
          <w:sz w:val="24"/>
          <w:szCs w:val="24"/>
        </w:rPr>
      </w:pPr>
      <w:r w:rsidRPr="00474669">
        <w:rPr>
          <w:rFonts w:ascii="Times New Roman" w:hAnsi="Times New Roman" w:cs="Times New Roman"/>
          <w:sz w:val="24"/>
          <w:szCs w:val="24"/>
        </w:rPr>
        <w:t>Only two classification algorithms and one clustering algorithm were evaluated in this project; ensemble methods (Random Forest, Gradient Boosting) and alternative clustering approaches (DBSCAN, hierarchical clustering) could be explored for further performance and robustness gains.</w:t>
      </w:r>
    </w:p>
    <w:p w14:paraId="120EEAAD" w14:textId="77777777" w:rsidR="006146A1" w:rsidRDefault="00000000" w:rsidP="00474669">
      <w:pPr>
        <w:pStyle w:val="ListParagraph"/>
        <w:numPr>
          <w:ilvl w:val="0"/>
          <w:numId w:val="1"/>
        </w:numPr>
        <w:spacing w:after="100" w:line="480" w:lineRule="auto"/>
        <w:rPr>
          <w:rFonts w:ascii="Times New Roman" w:hAnsi="Times New Roman" w:cs="Times New Roman"/>
          <w:sz w:val="24"/>
          <w:szCs w:val="24"/>
        </w:rPr>
      </w:pPr>
      <w:r w:rsidRPr="00474669">
        <w:rPr>
          <w:rFonts w:ascii="Times New Roman" w:hAnsi="Times New Roman" w:cs="Times New Roman"/>
          <w:sz w:val="24"/>
          <w:szCs w:val="24"/>
        </w:rPr>
        <w:t>Association rule mining was deliberately scoped to service, contract, and churn items for interpretability; a broader basket combined with sequence mining could reveal service-adoption order effects not visible in this cross-sectional snapshot.</w:t>
      </w:r>
    </w:p>
    <w:p w14:paraId="65605D38" w14:textId="77777777" w:rsidR="00474669" w:rsidRDefault="00474669" w:rsidP="00474669">
      <w:pPr>
        <w:spacing w:after="100" w:line="480" w:lineRule="auto"/>
        <w:rPr>
          <w:rFonts w:ascii="Times New Roman" w:hAnsi="Times New Roman" w:cs="Times New Roman"/>
          <w:sz w:val="24"/>
          <w:szCs w:val="24"/>
        </w:rPr>
      </w:pPr>
    </w:p>
    <w:p w14:paraId="1E6E5ADD" w14:textId="77777777" w:rsidR="00474669" w:rsidRPr="00474669" w:rsidRDefault="00474669" w:rsidP="00474669">
      <w:pPr>
        <w:spacing w:after="100" w:line="480" w:lineRule="auto"/>
        <w:rPr>
          <w:rFonts w:ascii="Times New Roman" w:hAnsi="Times New Roman" w:cs="Times New Roman"/>
          <w:sz w:val="24"/>
          <w:szCs w:val="24"/>
        </w:rPr>
      </w:pPr>
    </w:p>
    <w:p w14:paraId="614D9D27" w14:textId="77777777" w:rsidR="006146A1" w:rsidRPr="00474669" w:rsidRDefault="00000000" w:rsidP="00474669">
      <w:pPr>
        <w:pStyle w:val="Heading1"/>
        <w:spacing w:line="480" w:lineRule="auto"/>
        <w:rPr>
          <w:rFonts w:ascii="Times New Roman" w:hAnsi="Times New Roman" w:cs="Times New Roman"/>
          <w:sz w:val="24"/>
          <w:szCs w:val="24"/>
        </w:rPr>
      </w:pPr>
      <w:r w:rsidRPr="00474669">
        <w:rPr>
          <w:rFonts w:ascii="Times New Roman" w:hAnsi="Times New Roman" w:cs="Times New Roman"/>
          <w:sz w:val="24"/>
          <w:szCs w:val="24"/>
        </w:rPr>
        <w:lastRenderedPageBreak/>
        <w:t>7. References</w:t>
      </w:r>
    </w:p>
    <w:p w14:paraId="7992C4BF" w14:textId="77777777" w:rsidR="006146A1" w:rsidRPr="00474669" w:rsidRDefault="00000000" w:rsidP="00474669">
      <w:pPr>
        <w:spacing w:after="160" w:line="480" w:lineRule="auto"/>
        <w:ind w:left="720" w:hanging="720"/>
        <w:rPr>
          <w:rFonts w:ascii="Times New Roman" w:hAnsi="Times New Roman" w:cs="Times New Roman"/>
          <w:sz w:val="24"/>
          <w:szCs w:val="24"/>
        </w:rPr>
      </w:pPr>
      <w:r w:rsidRPr="00474669">
        <w:rPr>
          <w:rFonts w:ascii="Times New Roman" w:hAnsi="Times New Roman" w:cs="Times New Roman"/>
          <w:sz w:val="24"/>
          <w:szCs w:val="24"/>
        </w:rPr>
        <w:t>IBM. (n.d.). Telco Customer Churn [Data set]. Kaggle. https://www.kaggle.com/datasets/blastchar/telco-customer-churn</w:t>
      </w:r>
    </w:p>
    <w:p w14:paraId="0E92BC97" w14:textId="77777777" w:rsidR="006146A1" w:rsidRPr="00474669" w:rsidRDefault="00000000" w:rsidP="00474669">
      <w:pPr>
        <w:spacing w:after="160" w:line="480" w:lineRule="auto"/>
        <w:ind w:left="720" w:hanging="720"/>
        <w:rPr>
          <w:rFonts w:ascii="Times New Roman" w:hAnsi="Times New Roman" w:cs="Times New Roman"/>
          <w:sz w:val="24"/>
          <w:szCs w:val="24"/>
        </w:rPr>
      </w:pPr>
      <w:proofErr w:type="spellStart"/>
      <w:r w:rsidRPr="00474669">
        <w:rPr>
          <w:rFonts w:ascii="Times New Roman" w:hAnsi="Times New Roman" w:cs="Times New Roman"/>
          <w:sz w:val="24"/>
          <w:szCs w:val="24"/>
        </w:rPr>
        <w:t>Pedregosa</w:t>
      </w:r>
      <w:proofErr w:type="spellEnd"/>
      <w:r w:rsidRPr="00474669">
        <w:rPr>
          <w:rFonts w:ascii="Times New Roman" w:hAnsi="Times New Roman" w:cs="Times New Roman"/>
          <w:sz w:val="24"/>
          <w:szCs w:val="24"/>
        </w:rPr>
        <w:t>, F., et al. (2011). Scikit-learn: Machine learning in Python. Journal of Machine Learning Research, 12, 2825–2830.</w:t>
      </w:r>
    </w:p>
    <w:p w14:paraId="2E59A13B" w14:textId="77777777" w:rsidR="006146A1" w:rsidRPr="00474669" w:rsidRDefault="00000000" w:rsidP="00474669">
      <w:pPr>
        <w:spacing w:after="160" w:line="480" w:lineRule="auto"/>
        <w:ind w:left="720" w:hanging="720"/>
        <w:rPr>
          <w:rFonts w:ascii="Times New Roman" w:hAnsi="Times New Roman" w:cs="Times New Roman"/>
          <w:sz w:val="24"/>
          <w:szCs w:val="24"/>
        </w:rPr>
      </w:pPr>
      <w:proofErr w:type="spellStart"/>
      <w:r w:rsidRPr="00474669">
        <w:rPr>
          <w:rFonts w:ascii="Times New Roman" w:hAnsi="Times New Roman" w:cs="Times New Roman"/>
          <w:sz w:val="24"/>
          <w:szCs w:val="24"/>
        </w:rPr>
        <w:t>Raschka</w:t>
      </w:r>
      <w:proofErr w:type="spellEnd"/>
      <w:r w:rsidRPr="00474669">
        <w:rPr>
          <w:rFonts w:ascii="Times New Roman" w:hAnsi="Times New Roman" w:cs="Times New Roman"/>
          <w:sz w:val="24"/>
          <w:szCs w:val="24"/>
        </w:rPr>
        <w:t xml:space="preserve">, S. (2018). </w:t>
      </w:r>
      <w:proofErr w:type="spellStart"/>
      <w:r w:rsidRPr="00474669">
        <w:rPr>
          <w:rFonts w:ascii="Times New Roman" w:hAnsi="Times New Roman" w:cs="Times New Roman"/>
          <w:sz w:val="24"/>
          <w:szCs w:val="24"/>
        </w:rPr>
        <w:t>MLxtend</w:t>
      </w:r>
      <w:proofErr w:type="spellEnd"/>
      <w:r w:rsidRPr="00474669">
        <w:rPr>
          <w:rFonts w:ascii="Times New Roman" w:hAnsi="Times New Roman" w:cs="Times New Roman"/>
          <w:sz w:val="24"/>
          <w:szCs w:val="24"/>
        </w:rPr>
        <w:t xml:space="preserve">: Providing machine learning and data science utilities and extensions to Python's scientific computing stack. Journal of </w:t>
      </w:r>
      <w:proofErr w:type="gramStart"/>
      <w:r w:rsidRPr="00474669">
        <w:rPr>
          <w:rFonts w:ascii="Times New Roman" w:hAnsi="Times New Roman" w:cs="Times New Roman"/>
          <w:sz w:val="24"/>
          <w:szCs w:val="24"/>
        </w:rPr>
        <w:t>Open Source</w:t>
      </w:r>
      <w:proofErr w:type="gramEnd"/>
      <w:r w:rsidRPr="00474669">
        <w:rPr>
          <w:rFonts w:ascii="Times New Roman" w:hAnsi="Times New Roman" w:cs="Times New Roman"/>
          <w:sz w:val="24"/>
          <w:szCs w:val="24"/>
        </w:rPr>
        <w:t xml:space="preserve"> Software, 3(24), 638.</w:t>
      </w:r>
    </w:p>
    <w:p w14:paraId="3F8B2D00" w14:textId="77777777" w:rsidR="006146A1" w:rsidRPr="00474669" w:rsidRDefault="00000000" w:rsidP="00474669">
      <w:pPr>
        <w:spacing w:after="160" w:line="480" w:lineRule="auto"/>
        <w:ind w:left="720" w:hanging="720"/>
        <w:rPr>
          <w:rFonts w:ascii="Times New Roman" w:hAnsi="Times New Roman" w:cs="Times New Roman"/>
          <w:sz w:val="24"/>
          <w:szCs w:val="24"/>
        </w:rPr>
      </w:pPr>
      <w:r w:rsidRPr="00474669">
        <w:rPr>
          <w:rFonts w:ascii="Times New Roman" w:hAnsi="Times New Roman" w:cs="Times New Roman"/>
          <w:sz w:val="24"/>
          <w:szCs w:val="24"/>
        </w:rPr>
        <w:t>McKinney, W. (2010). Data structures for statistical computing in Python. Proceedings of the 9th Python in Science Conference, 56–61.</w:t>
      </w:r>
    </w:p>
    <w:p w14:paraId="594A274D" w14:textId="77777777" w:rsidR="006146A1" w:rsidRPr="00474669" w:rsidRDefault="00000000" w:rsidP="00474669">
      <w:pPr>
        <w:spacing w:after="160" w:line="480" w:lineRule="auto"/>
        <w:ind w:left="720" w:hanging="720"/>
        <w:rPr>
          <w:rFonts w:ascii="Times New Roman" w:hAnsi="Times New Roman" w:cs="Times New Roman"/>
          <w:sz w:val="24"/>
          <w:szCs w:val="24"/>
        </w:rPr>
      </w:pPr>
      <w:r w:rsidRPr="00474669">
        <w:rPr>
          <w:rFonts w:ascii="Times New Roman" w:hAnsi="Times New Roman" w:cs="Times New Roman"/>
          <w:sz w:val="24"/>
          <w:szCs w:val="24"/>
        </w:rPr>
        <w:t>Agrawal, R., &amp; Srikant, R. (1994). Fast algorithms for mining association rules. Proceedings of the 20th International Conference on Very Large Data Bases, 487–499.</w:t>
      </w:r>
    </w:p>
    <w:sectPr w:rsidR="006146A1" w:rsidRPr="00474669">
      <w:head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2F6B9" w14:textId="77777777" w:rsidR="00E91EEB" w:rsidRDefault="00E91EEB" w:rsidP="00474669">
      <w:r>
        <w:separator/>
      </w:r>
    </w:p>
  </w:endnote>
  <w:endnote w:type="continuationSeparator" w:id="0">
    <w:p w14:paraId="0A2421EE" w14:textId="77777777" w:rsidR="00E91EEB" w:rsidRDefault="00E91EEB" w:rsidP="00474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95312" w14:textId="77777777" w:rsidR="00E91EEB" w:rsidRDefault="00E91EEB" w:rsidP="00474669">
      <w:r>
        <w:separator/>
      </w:r>
    </w:p>
  </w:footnote>
  <w:footnote w:type="continuationSeparator" w:id="0">
    <w:p w14:paraId="5CE2007C" w14:textId="77777777" w:rsidR="00E91EEB" w:rsidRDefault="00E91EEB" w:rsidP="004746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0238533"/>
      <w:docPartObj>
        <w:docPartGallery w:val="Page Numbers (Top of Page)"/>
        <w:docPartUnique/>
      </w:docPartObj>
    </w:sdtPr>
    <w:sdtEndPr>
      <w:rPr>
        <w:noProof/>
      </w:rPr>
    </w:sdtEndPr>
    <w:sdtContent>
      <w:p w14:paraId="50904D37" w14:textId="26E2EE3F" w:rsidR="00474669" w:rsidRDefault="0047466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CB2C45D" w14:textId="77777777" w:rsidR="00474669" w:rsidRDefault="004746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821195"/>
    <w:multiLevelType w:val="hybridMultilevel"/>
    <w:tmpl w:val="77206CDA"/>
    <w:lvl w:ilvl="0" w:tplc="877400BA">
      <w:start w:val="1"/>
      <w:numFmt w:val="bullet"/>
      <w:lvlText w:val="•"/>
      <w:lvlJc w:val="left"/>
      <w:pPr>
        <w:ind w:left="504" w:hanging="288"/>
      </w:pPr>
    </w:lvl>
    <w:lvl w:ilvl="1" w:tplc="5D70F6D8">
      <w:numFmt w:val="decimal"/>
      <w:lvlText w:val=""/>
      <w:lvlJc w:val="left"/>
    </w:lvl>
    <w:lvl w:ilvl="2" w:tplc="6A582F68">
      <w:numFmt w:val="decimal"/>
      <w:lvlText w:val=""/>
      <w:lvlJc w:val="left"/>
    </w:lvl>
    <w:lvl w:ilvl="3" w:tplc="07189E7A">
      <w:numFmt w:val="decimal"/>
      <w:lvlText w:val=""/>
      <w:lvlJc w:val="left"/>
    </w:lvl>
    <w:lvl w:ilvl="4" w:tplc="43F8D726">
      <w:numFmt w:val="decimal"/>
      <w:lvlText w:val=""/>
      <w:lvlJc w:val="left"/>
    </w:lvl>
    <w:lvl w:ilvl="5" w:tplc="7D5CCB46">
      <w:numFmt w:val="decimal"/>
      <w:lvlText w:val=""/>
      <w:lvlJc w:val="left"/>
    </w:lvl>
    <w:lvl w:ilvl="6" w:tplc="E6D035F4">
      <w:numFmt w:val="decimal"/>
      <w:lvlText w:val=""/>
      <w:lvlJc w:val="left"/>
    </w:lvl>
    <w:lvl w:ilvl="7" w:tplc="29AE46D8">
      <w:numFmt w:val="decimal"/>
      <w:lvlText w:val=""/>
      <w:lvlJc w:val="left"/>
    </w:lvl>
    <w:lvl w:ilvl="8" w:tplc="55FCFFEE">
      <w:numFmt w:val="decimal"/>
      <w:lvlText w:val=""/>
      <w:lvlJc w:val="left"/>
    </w:lvl>
  </w:abstractNum>
  <w:abstractNum w:abstractNumId="1" w15:restartNumberingAfterBreak="0">
    <w:nsid w:val="6AE774D1"/>
    <w:multiLevelType w:val="hybridMultilevel"/>
    <w:tmpl w:val="9B9E9AF2"/>
    <w:lvl w:ilvl="0" w:tplc="E5DE3518">
      <w:start w:val="1"/>
      <w:numFmt w:val="bullet"/>
      <w:lvlText w:val="●"/>
      <w:lvlJc w:val="left"/>
      <w:pPr>
        <w:ind w:left="720" w:hanging="360"/>
      </w:pPr>
    </w:lvl>
    <w:lvl w:ilvl="1" w:tplc="39F4D550">
      <w:start w:val="1"/>
      <w:numFmt w:val="bullet"/>
      <w:lvlText w:val="○"/>
      <w:lvlJc w:val="left"/>
      <w:pPr>
        <w:ind w:left="1440" w:hanging="360"/>
      </w:pPr>
    </w:lvl>
    <w:lvl w:ilvl="2" w:tplc="F8488770">
      <w:start w:val="1"/>
      <w:numFmt w:val="bullet"/>
      <w:lvlText w:val="■"/>
      <w:lvlJc w:val="left"/>
      <w:pPr>
        <w:ind w:left="2160" w:hanging="360"/>
      </w:pPr>
    </w:lvl>
    <w:lvl w:ilvl="3" w:tplc="68482610">
      <w:start w:val="1"/>
      <w:numFmt w:val="bullet"/>
      <w:lvlText w:val="●"/>
      <w:lvlJc w:val="left"/>
      <w:pPr>
        <w:ind w:left="2880" w:hanging="360"/>
      </w:pPr>
    </w:lvl>
    <w:lvl w:ilvl="4" w:tplc="BD7A6744">
      <w:start w:val="1"/>
      <w:numFmt w:val="bullet"/>
      <w:lvlText w:val="○"/>
      <w:lvlJc w:val="left"/>
      <w:pPr>
        <w:ind w:left="3600" w:hanging="360"/>
      </w:pPr>
    </w:lvl>
    <w:lvl w:ilvl="5" w:tplc="2C621100">
      <w:start w:val="1"/>
      <w:numFmt w:val="bullet"/>
      <w:lvlText w:val="■"/>
      <w:lvlJc w:val="left"/>
      <w:pPr>
        <w:ind w:left="4320" w:hanging="360"/>
      </w:pPr>
    </w:lvl>
    <w:lvl w:ilvl="6" w:tplc="7EA64B10">
      <w:start w:val="1"/>
      <w:numFmt w:val="bullet"/>
      <w:lvlText w:val="●"/>
      <w:lvlJc w:val="left"/>
      <w:pPr>
        <w:ind w:left="5040" w:hanging="360"/>
      </w:pPr>
    </w:lvl>
    <w:lvl w:ilvl="7" w:tplc="28B616A4">
      <w:start w:val="1"/>
      <w:numFmt w:val="bullet"/>
      <w:lvlText w:val="●"/>
      <w:lvlJc w:val="left"/>
      <w:pPr>
        <w:ind w:left="5760" w:hanging="360"/>
      </w:pPr>
    </w:lvl>
    <w:lvl w:ilvl="8" w:tplc="D9DC70DE">
      <w:start w:val="1"/>
      <w:numFmt w:val="bullet"/>
      <w:lvlText w:val="●"/>
      <w:lvlJc w:val="left"/>
      <w:pPr>
        <w:ind w:left="6480" w:hanging="360"/>
      </w:pPr>
    </w:lvl>
  </w:abstractNum>
  <w:num w:numId="1" w16cid:durableId="20040402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6A1"/>
    <w:rsid w:val="002D0152"/>
    <w:rsid w:val="00474669"/>
    <w:rsid w:val="006146A1"/>
    <w:rsid w:val="00E91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30280"/>
  <w15:docId w15:val="{5E6BA209-B0A3-46C3-9B46-D8007F244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80" w:after="140"/>
      <w:outlineLvl w:val="1"/>
    </w:pPr>
    <w:rPr>
      <w:b/>
      <w:bCs/>
      <w:color w:val="2F5496"/>
      <w:sz w:val="26"/>
      <w:szCs w:val="26"/>
    </w:rPr>
  </w:style>
  <w:style w:type="paragraph" w:styleId="Heading3">
    <w:name w:val="heading 3"/>
    <w:uiPriority w:val="9"/>
    <w:unhideWhenUsed/>
    <w:qFormat/>
    <w:pPr>
      <w:spacing w:before="200" w:after="100"/>
      <w:outlineLvl w:val="2"/>
    </w:pPr>
    <w:rPr>
      <w:b/>
      <w:bCs/>
      <w:i/>
      <w:i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74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74669"/>
    <w:pPr>
      <w:tabs>
        <w:tab w:val="center" w:pos="4680"/>
        <w:tab w:val="right" w:pos="9360"/>
      </w:tabs>
    </w:pPr>
  </w:style>
  <w:style w:type="character" w:customStyle="1" w:styleId="HeaderChar">
    <w:name w:val="Header Char"/>
    <w:basedOn w:val="DefaultParagraphFont"/>
    <w:link w:val="Header"/>
    <w:uiPriority w:val="99"/>
    <w:rsid w:val="00474669"/>
  </w:style>
  <w:style w:type="paragraph" w:styleId="Footer">
    <w:name w:val="footer"/>
    <w:basedOn w:val="Normal"/>
    <w:link w:val="FooterChar"/>
    <w:uiPriority w:val="99"/>
    <w:unhideWhenUsed/>
    <w:rsid w:val="00474669"/>
    <w:pPr>
      <w:tabs>
        <w:tab w:val="center" w:pos="4680"/>
        <w:tab w:val="right" w:pos="9360"/>
      </w:tabs>
    </w:pPr>
  </w:style>
  <w:style w:type="character" w:customStyle="1" w:styleId="FooterChar">
    <w:name w:val="Footer Char"/>
    <w:basedOn w:val="DefaultParagraphFont"/>
    <w:link w:val="Footer"/>
    <w:uiPriority w:val="99"/>
    <w:rsid w:val="004746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2844</Words>
  <Characters>16213</Characters>
  <Application>Microsoft Office Word</Application>
  <DocSecurity>0</DocSecurity>
  <Lines>135</Lines>
  <Paragraphs>38</Paragraphs>
  <ScaleCrop>false</ScaleCrop>
  <Company/>
  <LinksUpToDate>false</LinksUpToDate>
  <CharactersWithSpaces>19019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2026-08-20T15:15:00Z</dcterms:created>
  <dcterms:modified xsi:type="dcterms:W3CDTF">2026-08-20T15:15:00Z</dcterms:modified>
</cp:coreProperties>
</file>