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Triple-negative breast cancer stem cells retain antigen presentation and upregulate the innate-immune checkpoint CD47</w:t>
      </w:r>
    </w:p>
    <w:p>
      <w:pPr>
        <w:jc w:val="center"/>
      </w:pPr>
      <w:r>
        <w:rPr>
          <w:b/>
        </w:rPr>
        <w:t>Author:</w:t>
      </w:r>
      <w:r>
        <w:t xml:space="preserve"> Suma Kasa¹</w:t>
      </w:r>
    </w:p>
    <w:p>
      <w:pPr>
        <w:jc w:val="center"/>
      </w:pPr>
      <w:r>
        <w:rPr>
          <w:b/>
        </w:rPr>
        <w:t>Affiliation:</w:t>
      </w:r>
      <w:r>
        <w:t xml:space="preserve"> ¹Independent Researcher</w:t>
      </w:r>
    </w:p>
    <w:p>
      <w:pPr>
        <w:jc w:val="center"/>
      </w:pPr>
      <w:r>
        <w:rPr>
          <w:b/>
        </w:rPr>
        <w:t>ORCID:</w:t>
      </w:r>
      <w:r>
        <w:t xml:space="preserve"> 0009-0001-3253-6972</w:t>
      </w:r>
    </w:p>
    <w:p>
      <w:pPr>
        <w:jc w:val="center"/>
      </w:pPr>
      <w:r>
        <w:rPr>
          <w:b/>
        </w:rPr>
        <w:t>Correspondence:</w:t>
      </w:r>
      <w:r>
        <w:t xml:space="preserve"> ksuma2109@gmail.com</w:t>
      </w:r>
    </w:p>
    <w:p>
      <w:pPr>
        <w:jc w:val="center"/>
      </w:pPr>
      <w:r>
        <w:rPr>
          <w:b/>
        </w:rPr>
        <w:t>Running title:</w:t>
      </w:r>
      <w:r>
        <w:t xml:space="preserve"> CD47 innate immune evasion by TNBC cancer stem cells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b/>
        </w:rPr>
        <w:t>Background.</w:t>
      </w:r>
      <w:r>
        <w:t xml:space="preserve"> Cancer stem cells (CSCs) drive recurrence and are widely presumed to evade immunity, but the mechanism is unclear and often assumed to be loss of MHC-I antigen presentation, an immune-cold niche, or PD-1/PD-L1 engagement. We tested these assumptions directly across transcriptomic, spatial, and protein modalities in human breast cancer, and sought independent replication.</w:t>
      </w:r>
    </w:p>
    <w:p>
      <w:pPr>
        <w:jc w:val="both"/>
      </w:pPr>
      <w:r>
        <w:rPr>
          <w:b/>
        </w:rPr>
        <w:t>Methods.</w:t>
      </w:r>
      <w:r>
        <w:t xml:space="preserve"> Using the Wu et al. breast atlas (GSE176078; 100,064 cells, 26 patients) with Visium spatial transcriptomics (6 sections) and CITE-seq surface protein, we scored malignant-cell stemness and related it to antigen-presentation machinery, an expanded panel of tumour-intrinsic immune-evasion ligands, T-cell infiltration and exhaustion, and spatial T-cell co-localization. All cell-level associations were re-tested within molecular subtype and replicated in two independent TNBC scRNA-seq cohorts (Pal et al. 2021, GSE161529; Gao et al. 2020, GSE148673, malignant cells identified by copyKAT).</w:t>
      </w:r>
    </w:p>
    <w:p>
      <w:pPr>
        <w:jc w:val="both"/>
      </w:pPr>
      <w:r>
        <w:rPr>
          <w:b/>
        </w:rPr>
        <w:t>Results.</w:t>
      </w:r>
      <w:r>
        <w:t xml:space="preserve"> CSC state fit no classic evasion model: CSC-high malignant cells </w:t>
      </w:r>
      <w:r>
        <w:rPr>
          <w:i/>
        </w:rPr>
        <w:t>retained</w:t>
      </w:r>
      <w:r>
        <w:t xml:space="preserve"> MHC-I antigen presentation, tumour stemness was uncorrelated with T-cell infiltration, and spatial analysis showed no consistent CSC–T-cell exclusion. Among evasion ligands, CSC-high cells upregulated the innate-immune "don't-eat-me" ligand </w:t>
      </w:r>
      <w:r>
        <w:rPr>
          <w:b/>
        </w:rPr>
        <w:t>CD47</w:t>
      </w:r>
      <w:r>
        <w:t xml:space="preserve"> whereas PD-L1 was unchanged; CD24 (a phagocytosis checkpoint) was concordantly </w:t>
      </w:r>
      <w:r>
        <w:rPr>
          <w:i/>
        </w:rPr>
        <w:t>down</w:t>
      </w:r>
      <w:r>
        <w:t xml:space="preserve">, as required by the CD44⁺CD24⁻ definition. Subtype stratification localized the phenotype to </w:t>
      </w:r>
      <w:r>
        <w:rPr>
          <w:b/>
        </w:rPr>
        <w:t>triple-negative (and, weakly, HER2⁺) breast cancer</w:t>
      </w:r>
      <w:r>
        <w:t xml:space="preserve">, with no effect or reversal in luminal tumours. The two core findings — CD47 upregulation and MHC-I retention — </w:t>
      </w:r>
      <w:r>
        <w:rPr>
          <w:b/>
        </w:rPr>
        <w:t>replicated in both independent TNBC cohorts</w:t>
      </w:r>
      <w:r>
        <w:t xml:space="preserve"> (CD47 4/4 and 4/5 tumours; MHC-I 3/4 and 3/5), while PD-L1 remained near zero.</w:t>
      </w:r>
    </w:p>
    <w:p>
      <w:pPr>
        <w:jc w:val="both"/>
      </w:pPr>
      <w:r>
        <w:rPr>
          <w:b/>
        </w:rPr>
        <w:t>Conclusions.</w:t>
      </w:r>
      <w:r>
        <w:t xml:space="preserve"> TNBC CSCs are not defeated by antigen-presentation loss and are not immune-cold; instead they upregulate the innate-immune checkpoint CD47 while remaining T-cell-visible. This replicated, subtype-specific finding nominates anti-CD47 (magrolimab), potentially with concurrent T-cell engagement, over anti-PD-1 for CSC-directed immunotherapy in triple-negative breast cancer.</w:t>
      </w:r>
    </w:p>
    <w:p>
      <w:pPr>
        <w:jc w:val="both"/>
      </w:pPr>
      <w:r>
        <w:rPr>
          <w:b/>
        </w:rPr>
        <w:t>Keywords:</w:t>
      </w:r>
      <w:r>
        <w:t xml:space="preserve"> cancer stem cells, triple-negative breast cancer, immune evasion, CD47, antigen presentation, single-cell RNA-seq, spatial transcriptomics, tumour immunology</w:t>
      </w:r>
    </w:p>
    <w:p>
      <w:pPr>
        <w:pStyle w:val="Heading1"/>
      </w:pPr>
      <w:r>
        <w:t>1. Introduction</w:t>
      </w:r>
    </w:p>
    <w:p>
      <w:pPr>
        <w:jc w:val="both"/>
      </w:pPr>
      <w:r>
        <w:t>Cancer stem cells (CSCs) are a minority tumour subpopulation with self-renewal and tumour-initiating capacity that is thought to underlie relapse, metastasis, and therapy resistance (Reya et al., 2001; Batlle and Clevers, 2017). Because CSCs frequently persist after cytotoxic and targeted therapy, there is strong interest in whether they can be eliminated immunologically. A common assumption is that CSCs are intrinsically immune-evasive — variously attributed to downregulation of major histocompatibility complex class I (MHC-I) antigen presentation, formation of an immune-excluded ("cold") niche, or engagement of the PD-1/PD-L1 checkpoint. These mechanisms, however, have rarely been tested directly in CSCs at single-cell resolution, and breast cancer is strongly heterogeneous in immunobiology across molecular subtypes, with triple-negative breast cancer (TNBC) being both the most stem-like and the most immune-infiltrated subtype.</w:t>
      </w:r>
    </w:p>
    <w:p>
      <w:pPr>
        <w:jc w:val="both"/>
      </w:pPr>
      <w:r>
        <w:t xml:space="preserve">An orthogonal and increasingly important axis of tumour immune evasion is the innate-immune "don't-eat-me" checkpoint CD47, which engages SIRPα on macrophages to suppress phagocytosis and is upregulated across many cancers (Jaiswal et al., 2009; Willingham et al., 2012); anti-CD47 agents such as magrolimab have entered clinical testing (Advani et al., 2018). A second, related phagocytosis checkpoint is CD24–Siglec-10 (Barkal et al., 2019) — notable here because the canonical breast-CSC definition is CD44⁺CD24⁻/low, i.e. CSCs are defined by </w:t>
      </w:r>
      <w:r>
        <w:rPr>
          <w:i/>
        </w:rPr>
        <w:t>low</w:t>
      </w:r>
      <w:r>
        <w:t xml:space="preserve"> CD24. Whether CSCs rely on innate checkpoints such as CD47 rather than the adaptive PD-1 axis has not been systematically examined.</w:t>
      </w:r>
    </w:p>
    <w:p>
      <w:pPr>
        <w:jc w:val="both"/>
      </w:pPr>
      <w:r>
        <w:t>Here we test how CSC state relates to tumour immunity in breast cancer across three data modalities — single-cell transcriptomics, spatial transcriptomics, and CITE-seq surface protein — and, critically, seek independent replication. We find that CSCs do not fit any classic evasion model but instead, specifically in TNBC, retain antigen presentation while upregulating CD47, a phenotype that replicates in two independent cohorts and nominates a distinct therapeutic combination.</w:t>
      </w:r>
    </w:p>
    <w:p>
      <w:pPr>
        <w:pStyle w:val="Heading1"/>
      </w:pPr>
      <w:r>
        <w:t>2. Materials and Methods</w:t>
      </w:r>
    </w:p>
    <w:p>
      <w:pPr>
        <w:pStyle w:val="Heading2"/>
      </w:pPr>
      <w:r>
        <w:t>2.1 Datasets</w:t>
      </w:r>
    </w:p>
    <w:p>
      <w:pPr>
        <w:jc w:val="both"/>
      </w:pPr>
      <w:r>
        <w:t>Discovery used the human breast cancer atlas of Wu et al. (2021) (GEO GSE176078; 100,064 cells, 26 patients; 24,489 cancer-epithelial and 35,214 T-cells), together with its Visium spatial transcriptomics (6 sections; Zenodo 4739739) and CITE-seq surface-protein (ADT) data (Single Cell Portal SCP1039). Independent validation used two TNBC scRNA-seq cohorts: Pal et al. (2021) (GSE161529; 4 treatment-naive sporadic TNBC tumours) and Gao et al. (2021) (GSE148673; 5 TNBC tumours), in which malignant cells were identified by the authors' copyKAT aneuploidy calls.</w:t>
      </w:r>
    </w:p>
    <w:p>
      <w:pPr>
        <w:pStyle w:val="Heading2"/>
      </w:pPr>
      <w:r>
        <w:t>2.2 Stemness and immune scoring</w:t>
      </w:r>
    </w:p>
    <w:p>
      <w:pPr>
        <w:jc w:val="both"/>
      </w:pPr>
      <w:r>
        <w:t xml:space="preserve">Single-cell data were processed in Scanpy (Wolf et al., 2018): library-size normalization to 10⁴ and log1p transformation. A CSC/stemness score and gene-program scores (module scores relative to matched control gene sets) were computed with </w:t>
      </w:r>
      <w:r>
        <w:rPr>
          <w:rFonts w:ascii="Courier New" w:hAnsi="Courier New"/>
        </w:rPr>
        <w:t>score_genes</w:t>
      </w:r>
      <w:r>
        <w:t>. Immune programs: classical MHC-I antigen presentation (HLA-A/B/C, TAP1/2, NLRC5; B2M and HLA-E were deliberately excluded because they are CSC-associated genes, to avoid a shared-gene confound), an expanded panel of tumour-intrinsic evasion ligands (CD274/PD-L1, PDCD1LG2/PD-L2, CD47, CD276/B7-H3, VTCN1/B7-H4, LGALS9, NT5E/CD73, ENTPD1/CD39, HLA-E, HLA-G, CD24), CD8 T-cell exhaustion (PDCD1, CTLA4, HAVCR2, LAG3, TIGIT, TOX), and cytotoxicity (GZMB, GZMA, PRF1, IFNG, NKG7). Associations were quantified as per-cell Spearman correlations with stemness and as CSC-high versus CSC-low contrasts (top/bottom stemness quartiles; Mann–Whitney U).</w:t>
      </w:r>
    </w:p>
    <w:p>
      <w:pPr>
        <w:pStyle w:val="Heading2"/>
      </w:pPr>
      <w:r>
        <w:t>2.3 Subtype stratification and validation</w:t>
      </w:r>
    </w:p>
    <w:p>
      <w:pPr>
        <w:jc w:val="both"/>
      </w:pPr>
      <w:r>
        <w:t>All cell-level associations were recomputed within each molecular subtype (ER+, TNBC, HER2+). For validation, malignant cells from each independent TNBC tumour were scored identically and the per-cell Spearman correlation of each immune program with stemness computed per tumour; replication was assessed by direction concordance and magnitude relative to discovery.</w:t>
      </w:r>
    </w:p>
    <w:p>
      <w:pPr>
        <w:pStyle w:val="Heading2"/>
      </w:pPr>
      <w:r>
        <w:t>2.4 Spatial and protein analyses</w:t>
      </w:r>
    </w:p>
    <w:p>
      <w:pPr>
        <w:jc w:val="both"/>
      </w:pPr>
      <w:r>
        <w:t>For each Visium section, spots were scored for stemness, T-cell, macrophage, and CD47 content; spatial co-localization was tested by per-spot Spearman correlation and by pathologist spot annotations (cancer spots with vs. without lymphocytes). For protein validation, CITE-seq ADT exhaustion markers (PD-1, CTLA-4, TIGIT, LAG-3, TIM-3; CLR-normalized) were correlated per T-cell with the matched RNA exhaustion score.</w:t>
      </w:r>
    </w:p>
    <w:p>
      <w:pPr>
        <w:pStyle w:val="Heading2"/>
      </w:pPr>
      <w:r>
        <w:t>2.5 Code and reproducibility</w:t>
      </w:r>
    </w:p>
    <w:p>
      <w:pPr>
        <w:jc w:val="both"/>
      </w:pPr>
      <w:r>
        <w:t>All analyses are scripted (</w:t>
      </w:r>
      <w:r>
        <w:rPr>
          <w:rFonts w:ascii="Courier New" w:hAnsi="Courier New"/>
        </w:rPr>
        <w:t>notebooks/phase_I1–I9.py</w:t>
      </w:r>
      <w:r>
        <w:t>); tables and figures are in the repository (Data &amp; Code Availability).</w:t>
      </w:r>
    </w:p>
    <w:p>
      <w:pPr>
        <w:pStyle w:val="Heading1"/>
      </w:pPr>
      <w:r>
        <w:t>3. Results</w:t>
      </w:r>
    </w:p>
    <w:p>
      <w:pPr>
        <w:pStyle w:val="Heading2"/>
      </w:pPr>
      <w:r>
        <w:t>3.1 Breast CSCs do not fit classic immune-evasion models</w:t>
      </w:r>
    </w:p>
    <w:p>
      <w:pPr>
        <w:jc w:val="both"/>
      </w:pPr>
      <w:r>
        <w:t xml:space="preserve">Contrary to the immune-cold / antigen-loss model, CSC-high malignant cells </w:t>
      </w:r>
      <w:r>
        <w:rPr>
          <w:i/>
        </w:rPr>
        <w:t>retained</w:t>
      </w:r>
      <w:r>
        <w:t xml:space="preserve"> classical MHC-I antigen presentation (per-cell Spearman r = +0.26 with stemness; CSC-high +0.66 vs. CSC-low +0.19; excluding B2M/HLA-E from the score, so not a shared-gene artifact). At the patient level (20 patients), tumour stemness was uncorrelated with T-cell infiltration (r = −0.07, ns); weak positive trends for CD8 exhaustion (r = +0.32) and cytotoxicity (r = +0.44, p = 0.056) were consistent with the higher immunogenicity of stem-like (largely TNBC) tumours rather than immune coldness. Spatial transcriptomics (6 sections) showed no consistent CSC–T-cell exclusion: the per-spot stemness–T-cell correlation was negative in 2 sections, positive in 2, and null in 2 (mean r ≈ +0.06). CSCs are therefore neither antigen-presentation-null nor immune-excluded.</w:t>
      </w:r>
    </w:p>
    <w:p>
      <w:pPr>
        <w:pStyle w:val="Heading2"/>
      </w:pPr>
      <w:r>
        <w:t>3.2 The CSC-associated evasion ligand is CD47, not PD-L1</w:t>
      </w:r>
    </w:p>
    <w:p>
      <w:pPr>
        <w:jc w:val="both"/>
      </w:pPr>
      <w:r>
        <w:t xml:space="preserve">Across an expanded panel of tumour-intrinsic evasion ligands, CSC-high cells most upregulated the innate-immune "don't-eat-me" ligand </w:t>
      </w:r>
      <w:r>
        <w:rPr>
          <w:b/>
        </w:rPr>
        <w:t>CD47</w:t>
      </w:r>
      <w:r>
        <w:t xml:space="preserve"> (CSC-high − low +0.13) and HLA-E (flagged, as a CSC-associated gene), followed weakly by CD73 and B7-H3, whereas </w:t>
      </w:r>
      <w:r>
        <w:rPr>
          <w:b/>
        </w:rPr>
        <w:t>PD-L1 and PD-L2 were essentially unchanged</w:t>
      </w:r>
      <w:r>
        <w:t xml:space="preserve"> (+0.009). As an internal control, CD24 — itself a Siglec-10 phagocytosis checkpoint — was </w:t>
      </w:r>
      <w:r>
        <w:rPr>
          <w:i/>
        </w:rPr>
        <w:t>down</w:t>
      </w:r>
      <w:r>
        <w:t xml:space="preserve"> in CSC-high cells (−0.29), exactly as required by the CD44⁺CD24⁻/low CSC definition, validating the stemness labelling and indicating that CSCs shed one phagocytosis checkpoint (CD24) while gaining another (CD47).</w:t>
      </w:r>
    </w:p>
    <w:p>
      <w:pPr>
        <w:pStyle w:val="Heading2"/>
      </w:pPr>
      <w:r>
        <w:t>3.3 The phenotype is specific to triple-negative breast cancer (Figure 1A)</w:t>
      </w:r>
    </w:p>
    <w:p>
      <w:pPr>
        <w:jc w:val="both"/>
      </w:pPr>
      <w:r>
        <w:t>Because TNBC is both the most stem-like and most immunogenic subtype, all cell-level associations were re-tested within subtype. CD47 upregulation and MHC-I retention held within TNBC (r = +0.23 and +0.35) and, more weakly, HER2⁺ (r = +0.11 and +0.24), but were absent or reversed in luminal ER⁺ tumours (CD47 r = −0.05; MHC-I r ≈ 0). The CSC innate-evasion phenotype is thus subtype-specific to TNBC rather than a general property of breast CSCs, and is not a cross-subtype artifact.</w:t>
      </w:r>
    </w:p>
    <w:p>
      <w:pPr>
        <w:pStyle w:val="Heading2"/>
      </w:pPr>
      <w:r>
        <w:t>3.4 CD47 upregulation and MHC-I retention replicate in two independent cohorts (Figure 1B)</w:t>
      </w:r>
    </w:p>
    <w:p>
      <w:pPr>
        <w:jc w:val="both"/>
      </w:pPr>
      <w:r>
        <w:t>In two independent TNBC scRNA-seq cohorts, the two core findings replicated. In Pal et al. (2021; 4 tumours), CSC CD47 upregulation was positive in 4/4 tumours (mean r = +0.11) and MHC-I retention in 3/4 (mean r = +0.14); in Gao et al. (2021; 5 tumours, malignant cells by copyKAT), CD47 was positive in 4/5 (mean r = +0.08) and MHC-I in 3/5 (mean r = +0.08). PD-L1 remained near zero in both (mean r = +0.07 and −0.01), confirming it is not the CSC-associated axis. HLA-E replicated inconsistently (2/4 and 4/5) and is treated as a secondary, confounded signal. Thus CD47 upregulation and antigen-presentation retention in TNBC CSCs are reproducible across three cohorts and two independent malignant-cell-calling strategies.</w:t>
      </w:r>
    </w:p>
    <w:p>
      <w:pPr>
        <w:pStyle w:val="Heading2"/>
      </w:pPr>
      <w:r>
        <w:t>3.5 Protein-level validation of the exhaustion signature</w:t>
      </w:r>
    </w:p>
    <w:p>
      <w:pPr>
        <w:jc w:val="both"/>
      </w:pPr>
      <w:r>
        <w:t>To confirm that the RNA-based T-cell readouts reflect protein, CITE-seq surface-protein exhaustion markers (PD-1, CTLA-4, TIGIT, LAG-3, TIM-3) were correlated per T-cell with the matched RNA exhaustion score; the two agreed in the two well-powered samples (Spearman r = +0.20 and +0.41), validating the signature.</w:t>
      </w:r>
    </w:p>
    <w:p>
      <w:pPr>
        <w:pStyle w:val="Heading2"/>
      </w:pPr>
      <w:r>
        <w:t>3.6 No spatial macrophage niche detected</w:t>
      </w:r>
    </w:p>
    <w:p>
      <w:pPr>
        <w:jc w:val="both"/>
      </w:pPr>
      <w:r>
        <w:t>Given the CD47 finding, we tested whether CSC-high TNBC regions occupy macrophage-rich niches spatially; this was not robustly supported (CSC–macrophage co-localization in only 1 of 4 TNBC sections), indicating that the CD47 upregulation is a robust cell-intrinsic property whose macrophage-interaction consequence is not resolvable at Visium (~55 µm) resolution and would require functional assay.</w:t>
      </w:r>
    </w:p>
    <w:p>
      <w:pPr>
        <w:pStyle w:val="Heading1"/>
      </w:pPr>
      <w:r>
        <w:t>4. Discussion</w:t>
      </w:r>
    </w:p>
    <w:p>
      <w:pPr>
        <w:jc w:val="both"/>
      </w:pPr>
      <w:r>
        <w:t>Across transcriptomic, spatial, and protein modalities, and in three cohorts, cancer stem cells in breast cancer do not conform to the textbook picture of immune evasion. They are not immune-cold, they are not spatially excluded from T-cells, they do not lose MHC-I antigen presentation, and they do not rely on the PD-1/PD-L1 axis. Instead, specifically in triple-negative breast cancer, CSC-high malignant cells upregulate the innate-immune checkpoint CD47 while retaining antigen presentation — a replicated, subtype-specific phenotype.</w:t>
      </w:r>
    </w:p>
    <w:p>
      <w:pPr>
        <w:jc w:val="both"/>
      </w:pPr>
      <w:r>
        <w:t xml:space="preserve">This reframes CSC immune evasion in TNBC from an adaptive/antigen-loss model to an innate/phagocytosis-checkpoint model, with three therapeutic implications. First, because CSCs retain MHC-I, they remain in principle visible to T-cells and T-cell-receptor-based immunotherapy; antigen-presentation restoration is not the required intervention. Second, the innate axis nominates </w:t>
      </w:r>
      <w:r>
        <w:rPr>
          <w:b/>
        </w:rPr>
        <w:t>anti-CD47 (magrolimab)</w:t>
      </w:r>
      <w:r>
        <w:t xml:space="preserve"> — rather than anti-PD-1/PD-L1 — as the rational combination partner for CSC-directed immunotherapy in TNBC. Third, the concomitant loss of the CD24 phagocytosis checkpoint in CSCs suggests CSCs are poised toward, not away from, macrophage-mediated clearance if CD47 is blocked. The retained-MHC-I and gained-CD47 phenotype together argue for combining innate (anti-CD47) with adaptive (T-cell) engagement.</w:t>
      </w:r>
    </w:p>
    <w:p>
      <w:pPr>
        <w:jc w:val="both"/>
      </w:pPr>
      <w:r>
        <w:t>The finding is distinct from, and complementary to, the identification of CSC-specific surface antigens for chimeric antigen receptor (CAR) T-cell therapy, which is independent of MHC-I; the present analysis speaks to endogenous and innate immunity rather than to CAR design.</w:t>
      </w:r>
    </w:p>
    <w:p>
      <w:pPr>
        <w:pStyle w:val="Heading2"/>
      </w:pPr>
      <w:r>
        <w:t>4.1 Limitations</w:t>
      </w:r>
    </w:p>
    <w:p>
      <w:pPr>
        <w:jc w:val="both"/>
      </w:pPr>
      <w:r>
        <w:t>The analyses are computational and correlational. Effect sizes are modest (per-cell r ≈ 0.1–0.35), as expected for single-cell correlations; patient-level (n = 20) and spatial (6 sections) analyses are underpowered, and several immune associations are trends rather than robust effects. HLA-E, although prominent, is itself a CSC-associated gene and replicated inconsistently, so its NKG2A-axis interpretation is not secure. The CD47 finding is cell-intrinsic and transcriptomic; its functional consequence — resistance to macrophage phagocytosis and its reversal by anti-CD47 — was not tested here and requires a functional phagocytosis assay. Validation, while spanning two independent cohorts and two malignant-cell-calling methods, used marker-based and copyKAT-based epithelial gating rather than matched CNV inference in every dataset.</w:t>
      </w:r>
    </w:p>
    <w:p>
      <w:pPr>
        <w:pStyle w:val="Heading2"/>
      </w:pPr>
      <w:r>
        <w:t>4.2 Conclusion</w:t>
      </w:r>
    </w:p>
    <w:p>
      <w:pPr>
        <w:jc w:val="both"/>
      </w:pPr>
      <w:r>
        <w:t>TNBC cancer stem cells retain antigen presentation and upregulate the innate-immune checkpoint CD47 — a replicated, subtype-specific finding that nominates anti-CD47, potentially with concurrent T-cell engagement, as a rational strategy for CSC-directed immunotherapy in triple-negative breast cancer, and reframes CSC immune evasion as innate rather than adaptive.</w:t>
      </w:r>
    </w:p>
    <w:p>
      <w:pPr>
        <w:pStyle w:val="Heading1"/>
      </w:pPr>
      <w:r>
        <w:t>Data &amp; Code Availability</w:t>
      </w:r>
    </w:p>
    <w:p>
      <w:pPr>
        <w:jc w:val="both"/>
      </w:pPr>
      <w:r>
        <w:t>scRNA-seq: GSE176078 (discovery), GSE161529 and GSE148673 (validation). Spatial: Zenodo 4739739. CITE-seq: Single Cell Portal SCP1039. Analysis code (</w:t>
      </w:r>
      <w:r>
        <w:rPr>
          <w:rFonts w:ascii="Courier New" w:hAnsi="Courier New"/>
        </w:rPr>
        <w:t>notebooks/phase_I1–I9.py</w:t>
      </w:r>
      <w:r>
        <w:t>), result tables, and figures are openly available at https://github.com/ksuma2109/csc-marker-benchmark.</w:t>
      </w:r>
    </w:p>
    <w:p>
      <w:pPr>
        <w:pStyle w:val="Heading1"/>
      </w:pPr>
      <w:r>
        <w:t>Author Contributions</w:t>
      </w:r>
    </w:p>
    <w:p>
      <w:pPr>
        <w:jc w:val="both"/>
      </w:pPr>
      <w:r>
        <w:t>S.K. designed the study, performed all analyses, and wrote the manuscript.</w:t>
      </w:r>
    </w:p>
    <w:p>
      <w:pPr>
        <w:pStyle w:val="Heading1"/>
      </w:pPr>
      <w:r>
        <w:t>Conflict of Interest</w:t>
      </w:r>
    </w:p>
    <w:p>
      <w:pPr>
        <w:jc w:val="both"/>
      </w:pPr>
      <w:r>
        <w:t>The author declares no competing interests.</w:t>
      </w:r>
    </w:p>
    <w:p>
      <w:pPr>
        <w:pStyle w:val="Heading1"/>
      </w:pPr>
      <w:r>
        <w:t>Funding</w:t>
      </w:r>
    </w:p>
    <w:p>
      <w:pPr>
        <w:jc w:val="both"/>
      </w:pPr>
      <w:r>
        <w:t>This research received no external funding.</w:t>
      </w:r>
    </w:p>
    <w:p>
      <w:pPr>
        <w:pStyle w:val="Heading1"/>
      </w:pPr>
      <w:r>
        <w:t>Author Biography</w:t>
      </w:r>
    </w:p>
    <w:p>
      <w:pPr>
        <w:jc w:val="both"/>
      </w:pPr>
      <w:r>
        <w:rPr>
          <w:b/>
        </w:rPr>
        <w:t>Suma Kasa</w:t>
      </w:r>
      <w:r>
        <w:t xml:space="preserve"> is an independent researcher in computational biology and bioinformatics, with interests in single-cell genomics, cancer stem cell biology, and tumour immunology.</w:t>
      </w:r>
    </w:p>
    <w:p>
      <w:pPr>
        <w:pStyle w:val="Heading1"/>
      </w:pPr>
      <w:r>
        <w:t>References</w:t>
      </w:r>
    </w:p>
    <w:p>
      <w:pPr>
        <w:jc w:val="both"/>
      </w:pPr>
      <w:r>
        <w:rPr>
          <w:i/>
        </w:rPr>
        <w:t>(Author–date; verify volume/pages/DOIs in a reference manager before submission.)</w:t>
      </w:r>
    </w:p>
    <w:p>
      <w:pPr>
        <w:jc w:val="both"/>
      </w:pPr>
      <w:r>
        <w:t xml:space="preserve">Advani, R., Flinn, I., Popplewell, L., Forero, A., Bartlett, N. L., Ghosh, N., et al. (2018). CD47 blockade by Hu5F9-G4 and rituximab in non-Hodgkin's lymphoma. </w:t>
      </w:r>
      <w:r>
        <w:rPr>
          <w:i/>
        </w:rPr>
        <w:t>N. Engl. J. Med.</w:t>
      </w:r>
      <w:r>
        <w:t xml:space="preserve"> 379, 1711–1721.</w:t>
      </w:r>
    </w:p>
    <w:p>
      <w:pPr>
        <w:jc w:val="both"/>
      </w:pPr>
      <w:r>
        <w:t xml:space="preserve">Al-Hajj, M., Wicha, M. S., Benito-Hernandez, A., Morrison, S. J., and Clarke, M. F. (2003). Prospective identification of tumorigenic breast cancer cells. </w:t>
      </w:r>
      <w:r>
        <w:rPr>
          <w:i/>
        </w:rPr>
        <w:t>Proc. Natl. Acad. Sci. USA</w:t>
      </w:r>
      <w:r>
        <w:t xml:space="preserve"> 100, 3983–3988.</w:t>
      </w:r>
    </w:p>
    <w:p>
      <w:pPr>
        <w:jc w:val="both"/>
      </w:pPr>
      <w:r>
        <w:t xml:space="preserve">Barkal, A. A., Brewer, R. E., Markovic, M., Kowarsky, M., Barkal, S. A., Zaro, B. W., et al. (2019). CD24 signalling through macrophage Siglec-10 is a target for cancer immunotherapy. </w:t>
      </w:r>
      <w:r>
        <w:rPr>
          <w:i/>
        </w:rPr>
        <w:t>Nature</w:t>
      </w:r>
      <w:r>
        <w:t xml:space="preserve"> 572, 392–396.</w:t>
      </w:r>
    </w:p>
    <w:p>
      <w:pPr>
        <w:jc w:val="both"/>
      </w:pPr>
      <w:r>
        <w:t xml:space="preserve">Batlle, E., and Clevers, H. (2017). Cancer stem cells revisited. </w:t>
      </w:r>
      <w:r>
        <w:rPr>
          <w:i/>
        </w:rPr>
        <w:t>Nat. Med.</w:t>
      </w:r>
      <w:r>
        <w:t xml:space="preserve"> 23, 1124–1134.</w:t>
      </w:r>
    </w:p>
    <w:p>
      <w:pPr>
        <w:jc w:val="both"/>
      </w:pPr>
      <w:r>
        <w:t xml:space="preserve">Gao, R., Bai, S., Henderson, Y. C., Lin, Y., Schalck, A., Yan, Y., et al. (2021). Delineating copy number and clonal substructure in human tumors from single-cell transcriptomes. </w:t>
      </w:r>
      <w:r>
        <w:rPr>
          <w:i/>
        </w:rPr>
        <w:t>Nat. Biotechnol.</w:t>
      </w:r>
      <w:r>
        <w:t xml:space="preserve"> 39, 599–608.</w:t>
      </w:r>
    </w:p>
    <w:p>
      <w:pPr>
        <w:jc w:val="both"/>
      </w:pPr>
      <w:r>
        <w:t xml:space="preserve">Jaiswal, S., Jamieson, C. H. M., Pang, W. W., Park, C. Y., Chao, M. P., Majeti, R., et al. (2009). CD47 is upregulated on circulating hematopoietic stem cells and leukemia cells to avoid phagocytosis. </w:t>
      </w:r>
      <w:r>
        <w:rPr>
          <w:i/>
        </w:rPr>
        <w:t>Cell</w:t>
      </w:r>
      <w:r>
        <w:t xml:space="preserve"> 138, 271–285.</w:t>
      </w:r>
    </w:p>
    <w:p>
      <w:pPr>
        <w:jc w:val="both"/>
      </w:pPr>
      <w:r>
        <w:t xml:space="preserve">Pal, B., Chen, Y., Vaillant, F., Capaldo, B. D., Joyce, R., Song, X., et al. (2021). A single-cell RNA expression atlas of normal, preneoplastic and tumorigenic states in the human breast. </w:t>
      </w:r>
      <w:r>
        <w:rPr>
          <w:i/>
        </w:rPr>
        <w:t>EMBO J.</w:t>
      </w:r>
      <w:r>
        <w:t xml:space="preserve"> 40, e107333.</w:t>
      </w:r>
    </w:p>
    <w:p>
      <w:pPr>
        <w:jc w:val="both"/>
      </w:pPr>
      <w:r>
        <w:t xml:space="preserve">Reya, T., Morrison, S. J., Clarke, M. F., and Weissman, I. L. (2001). Stem cells, cancer, and cancer stem cells. </w:t>
      </w:r>
      <w:r>
        <w:rPr>
          <w:i/>
        </w:rPr>
        <w:t>Nature</w:t>
      </w:r>
      <w:r>
        <w:t xml:space="preserve"> 414, 105–111.</w:t>
      </w:r>
    </w:p>
    <w:p>
      <w:pPr>
        <w:jc w:val="both"/>
      </w:pPr>
      <w:r>
        <w:t xml:space="preserve">Willingham, S. B., Volkmer, J.-P., Gentles, A. J., Sahoo, D., Dalerba, P., Mitra, S. S., et al. (2012). The CD47-signal regulatory protein alpha (SIRPa) interaction is a therapeutic target for human solid tumors. </w:t>
      </w:r>
      <w:r>
        <w:rPr>
          <w:i/>
        </w:rPr>
        <w:t>Proc. Natl. Acad. Sci. USA</w:t>
      </w:r>
      <w:r>
        <w:t xml:space="preserve"> 109, 6662–6667.</w:t>
      </w:r>
    </w:p>
    <w:p>
      <w:pPr>
        <w:jc w:val="both"/>
      </w:pPr>
      <w:r>
        <w:t xml:space="preserve">Wolf, F. A., Angerer, P., and Theis, F. J. (2018). SCANPY: large-scale single-cell gene expression data analysis. </w:t>
      </w:r>
      <w:r>
        <w:rPr>
          <w:i/>
        </w:rPr>
        <w:t>Genome Biol.</w:t>
      </w:r>
      <w:r>
        <w:t xml:space="preserve"> 19, 15.</w:t>
      </w:r>
    </w:p>
    <w:p>
      <w:pPr>
        <w:jc w:val="both"/>
      </w:pPr>
      <w:r>
        <w:t xml:space="preserve">Wu, S. Z., Al-Eryani, G., Roden, D. L., Junankar, S., Harvey, K., Andersson, A., et al. (2021). A single-cell and spatially resolved atlas of human breast cancers. </w:t>
      </w:r>
      <w:r>
        <w:rPr>
          <w:i/>
        </w:rPr>
        <w:t>Nat. Genet.</w:t>
      </w:r>
      <w:r>
        <w:t xml:space="preserve"> 53, 1334–1347.</w:t>
      </w:r>
    </w:p>
    <w:p>
      <w:r>
        <w:br w:type="page"/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4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</w:rPr>
        <w:t xml:space="preserve">Figure 1. </w:t>
      </w:r>
      <w:r>
        <w:t>TNBC cancer stem cells upregulate CD47 and retain antigen presentation (subtype-specific, independently replicated).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