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9E08" w14:textId="77777777" w:rsidR="001F241F" w:rsidRPr="001F241F" w:rsidRDefault="001F241F" w:rsidP="001F241F">
      <w:r w:rsidRPr="001F241F">
        <w:rPr>
          <w:b/>
          <w:bCs/>
        </w:rPr>
        <w:t>Merchant Risk Comparison — Investigation Conclusion</w:t>
      </w:r>
    </w:p>
    <w:p w14:paraId="0DBB6244" w14:textId="77777777" w:rsidR="001F241F" w:rsidRPr="001F241F" w:rsidRDefault="001F241F" w:rsidP="001F241F">
      <w:r w:rsidRPr="001F241F">
        <w:t>MER006 (</w:t>
      </w:r>
      <w:proofErr w:type="spellStart"/>
      <w:r w:rsidRPr="001F241F">
        <w:t>FlashVoucher</w:t>
      </w:r>
      <w:proofErr w:type="spellEnd"/>
      <w:r w:rsidRPr="001F241F">
        <w:t xml:space="preserve">) should be prioritized for further investigation because it has the highest payment-attempt volume, the largest total disputed amount ($1,987.50), and the lowest payment approval rate among the merchants </w:t>
      </w:r>
      <w:proofErr w:type="spellStart"/>
      <w:r w:rsidRPr="001F241F">
        <w:t>analyzed</w:t>
      </w:r>
      <w:proofErr w:type="spellEnd"/>
      <w:r w:rsidRPr="001F241F">
        <w:t>. MER008 (Urban Market) and MER007 (</w:t>
      </w:r>
      <w:proofErr w:type="spellStart"/>
      <w:r w:rsidRPr="001F241F">
        <w:t>StreamBox</w:t>
      </w:r>
      <w:proofErr w:type="spellEnd"/>
      <w:r w:rsidRPr="001F241F">
        <w:t xml:space="preserve"> Media) should also be reviewed because they have high lost-chargeback rates of 42.86% and 41.67%, respectively.</w:t>
      </w:r>
    </w:p>
    <w:p w14:paraId="68B57782" w14:textId="77777777" w:rsidR="001F241F" w:rsidRPr="001F241F" w:rsidRDefault="001F241F" w:rsidP="001F241F">
      <w:r w:rsidRPr="001F241F">
        <w:t>Further investigation should examine customer activity, IP addresses, device IDs, repeated payment attempts, and whether multiple customers share common devices or IP addresses. These findings should be cross-checked against payment timestamps, decline patterns, and chargeback outcomes before recommending any merchant-level action.</w:t>
      </w:r>
    </w:p>
    <w:p w14:paraId="14B6A7E5" w14:textId="77777777" w:rsidR="001F241F" w:rsidRPr="001F241F" w:rsidRDefault="001F241F" w:rsidP="001F241F">
      <w:r w:rsidRPr="001F241F">
        <w:rPr>
          <w:b/>
          <w:bCs/>
        </w:rPr>
        <w:t>Disposition:</w:t>
      </w:r>
      <w:r w:rsidRPr="001F241F">
        <w:t xml:space="preserve"> Prioritize MER006 and conduct further reviews of MER008 and MER007. These are risk indicators, not confirmation of fraud.</w:t>
      </w:r>
    </w:p>
    <w:p w14:paraId="7CA72ED2" w14:textId="77777777" w:rsidR="00895201" w:rsidRDefault="00895201"/>
    <w:sectPr w:rsidR="0089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1F"/>
    <w:rsid w:val="001F241F"/>
    <w:rsid w:val="005A6BDB"/>
    <w:rsid w:val="00895201"/>
    <w:rsid w:val="0099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1FD1"/>
  <w15:chartTrackingRefBased/>
  <w15:docId w15:val="{EAF1687E-454F-4DB2-A3A7-8372AE65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kilani</dc:creator>
  <cp:keywords/>
  <dc:description/>
  <cp:lastModifiedBy>sumanth kilani</cp:lastModifiedBy>
  <cp:revision>1</cp:revision>
  <dcterms:created xsi:type="dcterms:W3CDTF">2026-10-14T04:47:00Z</dcterms:created>
  <dcterms:modified xsi:type="dcterms:W3CDTF">2026-10-14T04:48:00Z</dcterms:modified>
</cp:coreProperties>
</file>