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5671" w14:textId="77777777" w:rsidR="00A23BE7" w:rsidRPr="00A23BE7" w:rsidRDefault="00A23BE7" w:rsidP="00A23BE7">
      <w:pPr>
        <w:rPr>
          <w:b/>
          <w:bCs/>
        </w:rPr>
      </w:pPr>
      <w:r w:rsidRPr="00A23BE7">
        <w:rPr>
          <w:b/>
          <w:bCs/>
        </w:rPr>
        <w:t>Project 3 — Case 3: Chargebacks &amp; Dispute Exposure</w:t>
      </w:r>
    </w:p>
    <w:p w14:paraId="5FB8F44E" w14:textId="77777777" w:rsidR="00A23BE7" w:rsidRPr="00A23BE7" w:rsidRDefault="00A23BE7" w:rsidP="00A23BE7">
      <w:r w:rsidRPr="00A23BE7">
        <w:rPr>
          <w:b/>
          <w:bCs/>
        </w:rPr>
        <w:t>Objective:</w:t>
      </w:r>
      <w:r w:rsidRPr="00A23BE7">
        <w:t xml:space="preserve"> Assess dispute volume, disputed amounts, case outcomes, reconciliation quality, and customer-level dispute concentration.</w:t>
      </w:r>
    </w:p>
    <w:p w14:paraId="55814A92" w14:textId="77777777" w:rsidR="00A23BE7" w:rsidRPr="00A23BE7" w:rsidRDefault="00A23BE7" w:rsidP="00A23BE7">
      <w:r w:rsidRPr="00A23BE7">
        <w:rPr>
          <w:b/>
          <w:bCs/>
        </w:rPr>
        <w:t>Key findings</w:t>
      </w:r>
    </w:p>
    <w:p w14:paraId="5C16B501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The dataset contains 95 chargeback records, with a total disputed amount of $8,016.73.</w:t>
      </w:r>
    </w:p>
    <w:p w14:paraId="6E2ACBC4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The average disputed amount is $84.39, ranging from $4.09 to $450.55.</w:t>
      </w:r>
    </w:p>
    <w:p w14:paraId="7AD80753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The case-status breakdown contains 31 lost, 23 received, 22 won, and 19 under-review records.</w:t>
      </w:r>
    </w:p>
    <w:p w14:paraId="4C9DF55C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Duplicate disputes are the most frequent reason, with 33 cases totalling $2,880.80. Fraudulent disputes account for 28 cases totalling $2,335.29.</w:t>
      </w:r>
    </w:p>
    <w:p w14:paraId="62DAAE26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All 95 displayed chargebacks matched a payment attempt, and the disputed amount equalled the corresponding payment amount in the records reviewed.</w:t>
      </w:r>
    </w:p>
    <w:p w14:paraId="7A57DEF0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The highest-value dispute was CB00077 at $450.55, marked lost. CB00016 was $409.30 and remained under review.</w:t>
      </w:r>
    </w:p>
    <w:p w14:paraId="1810960D" w14:textId="77777777" w:rsidR="00A23BE7" w:rsidRPr="00A23BE7" w:rsidRDefault="00A23BE7" w:rsidP="00A23BE7">
      <w:pPr>
        <w:numPr>
          <w:ilvl w:val="0"/>
          <w:numId w:val="1"/>
        </w:numPr>
      </w:pPr>
      <w:r w:rsidRPr="00A23BE7">
        <w:t>CUS0235 had the highest chargeback count in the top-five customer analysis, with four cases totalling $339.80.</w:t>
      </w:r>
    </w:p>
    <w:p w14:paraId="4F5923C0" w14:textId="77777777" w:rsidR="00A23BE7" w:rsidRPr="00A23BE7" w:rsidRDefault="00A23BE7" w:rsidP="00A23BE7">
      <w:r w:rsidRPr="00A23BE7">
        <w:rPr>
          <w:b/>
          <w:bCs/>
        </w:rPr>
        <w:t>Risk assessment:</w:t>
      </w:r>
      <w:r w:rsidRPr="00A23BE7">
        <w:t xml:space="preserve"> Duplicate disputes, fraudulent dispute classifications, high-value cases, and customers with repeated disputes are useful investigation priorities. The available data does not independently establish fraud or net financial loss.</w:t>
      </w:r>
    </w:p>
    <w:p w14:paraId="29BD4AFA" w14:textId="77777777" w:rsidR="00A23BE7" w:rsidRPr="00A23BE7" w:rsidRDefault="00A23BE7" w:rsidP="00A23BE7">
      <w:r w:rsidRPr="00A23BE7">
        <w:rPr>
          <w:b/>
          <w:bCs/>
        </w:rPr>
        <w:t>Recommended action:</w:t>
      </w:r>
      <w:r w:rsidRPr="00A23BE7">
        <w:t xml:space="preserve"> Review high-value lost and under-review cases, investigate repeat-dispute customers, and validate the underlying evidence and resolution definitions before calculating actual losses or recovery rates.</w:t>
      </w:r>
    </w:p>
    <w:p w14:paraId="5DF22492" w14:textId="77777777" w:rsidR="00A23BE7" w:rsidRPr="00A23BE7" w:rsidRDefault="00A23BE7" w:rsidP="00A23BE7">
      <w:r w:rsidRPr="00A23BE7">
        <w:rPr>
          <w:b/>
          <w:bCs/>
        </w:rPr>
        <w:t>Disposition:</w:t>
      </w:r>
      <w:r w:rsidRPr="00A23BE7">
        <w:t xml:space="preserve"> Dispute exposure and reconciliation reviewed; targeted follow-up recommended. Fraud not confirmed.</w:t>
      </w:r>
    </w:p>
    <w:p w14:paraId="2D71E762" w14:textId="77777777" w:rsidR="00A23BE7" w:rsidRPr="00A23BE7" w:rsidRDefault="00A23BE7" w:rsidP="00A23BE7">
      <w:r w:rsidRPr="00A23BE7">
        <w:rPr>
          <w:b/>
          <w:bCs/>
        </w:rPr>
        <w:t>Limitations:</w:t>
      </w:r>
      <w:r w:rsidRPr="00A23BE7">
        <w:t xml:space="preserve"> This is a synthetic dataset. </w:t>
      </w:r>
      <w:proofErr w:type="spellStart"/>
      <w:r w:rsidRPr="00A23BE7">
        <w:t>resolved_amount</w:t>
      </w:r>
      <w:proofErr w:type="spellEnd"/>
      <w:r w:rsidRPr="00A23BE7">
        <w:t xml:space="preserve"> semantics require validation before interpreting it as recovered funds or financial loss. Chargeback reason labels are not independent proof of fraud.</w:t>
      </w:r>
    </w:p>
    <w:p w14:paraId="22BE2D0B" w14:textId="77777777" w:rsidR="00895201" w:rsidRDefault="00895201"/>
    <w:sectPr w:rsidR="0089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7D3E"/>
    <w:multiLevelType w:val="multilevel"/>
    <w:tmpl w:val="FF8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8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E7"/>
    <w:rsid w:val="00247BA3"/>
    <w:rsid w:val="005A6BDB"/>
    <w:rsid w:val="00895201"/>
    <w:rsid w:val="00A2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5094"/>
  <w15:chartTrackingRefBased/>
  <w15:docId w15:val="{F4ABAC75-57C0-41D1-980C-B9E65431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kilani</dc:creator>
  <cp:keywords/>
  <dc:description/>
  <cp:lastModifiedBy>sumanth kilani</cp:lastModifiedBy>
  <cp:revision>1</cp:revision>
  <dcterms:created xsi:type="dcterms:W3CDTF">2026-10-13T13:20:00Z</dcterms:created>
  <dcterms:modified xsi:type="dcterms:W3CDTF">2026-10-13T13:21:00Z</dcterms:modified>
</cp:coreProperties>
</file>