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E4A" w:rsidRDefault="002226D1">
      <w:r>
        <w:t>-Justiciability deals with the boundaries of law and adjudication</w:t>
      </w:r>
    </w:p>
    <w:p w:rsidR="00E66298" w:rsidRDefault="00E66298">
      <w:r>
        <w:t>-Is a standard preliminary requirement for constitutional cases(Digital comments, 1)</w:t>
      </w:r>
    </w:p>
    <w:p w:rsidR="00E66298" w:rsidRDefault="00E66298">
      <w:r>
        <w:t>-A claim can be dismissed if it fails the requirements(Ibid)</w:t>
      </w:r>
    </w:p>
    <w:p w:rsidR="00E66298" w:rsidRDefault="00E66298">
      <w:r>
        <w:t>-</w:t>
      </w:r>
    </w:p>
    <w:p w:rsidR="002226D1" w:rsidRDefault="002226D1">
      <w:r>
        <w:t>-“the issue of justiciability is dealt with primarily within the context of the ‘political question’ doctrine, which focuses on the limitations upon adjudication by the courts of matters generally within the area of responsibility of other government authorities”</w:t>
      </w:r>
    </w:p>
    <w:p w:rsidR="002226D1" w:rsidRDefault="002226D1">
      <w:r>
        <w:t>-Requirements(Justiciability: Basic Analysis)</w:t>
      </w:r>
      <w:r w:rsidR="00E66298">
        <w:t xml:space="preserve"> (Digital Comments)</w:t>
      </w:r>
    </w:p>
    <w:p w:rsidR="002226D1" w:rsidRDefault="002226D1">
      <w:r>
        <w:t xml:space="preserve"> A. The What</w:t>
      </w:r>
      <w:r w:rsidR="00E66298">
        <w:t>:</w:t>
      </w:r>
      <w:r w:rsidR="00E66298" w:rsidRPr="00E66298">
        <w:t xml:space="preserve"> </w:t>
      </w:r>
      <w:r w:rsidR="00E66298">
        <w:t>Claim must arise in the context of an actual “case or controversy” between adverse parties, and the constitutional issue must itself be justiciable(913)</w:t>
      </w:r>
      <w:r>
        <w:t xml:space="preserve"> </w:t>
      </w:r>
    </w:p>
    <w:p w:rsidR="002226D1" w:rsidRDefault="002226D1" w:rsidP="002226D1">
      <w:pPr>
        <w:ind w:firstLine="720"/>
      </w:pPr>
      <w:r>
        <w:t>1. The actual case requirement</w:t>
      </w:r>
      <w:r w:rsidR="00E66298">
        <w:t>:</w:t>
      </w:r>
      <w:r w:rsidR="00A52ACA">
        <w:t xml:space="preserve"> The court argues “judicial Power”</w:t>
      </w:r>
      <w:r w:rsidR="00B85562">
        <w:t xml:space="preserve"> extends only to cases and controversies brought before the courts for determination by such regular proceedings as are established by law or custom for the protection nor enforcement of rights, or the prevention, redress, or punishment of wrongs(913)</w:t>
      </w:r>
    </w:p>
    <w:p w:rsidR="002226D1" w:rsidRDefault="002226D1" w:rsidP="002226D1">
      <w:pPr>
        <w:ind w:left="720" w:firstLine="720"/>
      </w:pPr>
      <w:r>
        <w:t>a. The adversity requirement and the rule against collusive cases</w:t>
      </w:r>
      <w:r w:rsidR="00B85562">
        <w:t>: must be between parties whose interests are adverse</w:t>
      </w:r>
      <w:r w:rsidR="004B0911">
        <w:t>(9</w:t>
      </w:r>
      <w:r w:rsidR="00B85562">
        <w:t>13)</w:t>
      </w:r>
      <w:r>
        <w:t xml:space="preserve"> </w:t>
      </w:r>
    </w:p>
    <w:p w:rsidR="002226D1" w:rsidRDefault="002226D1" w:rsidP="002226D1">
      <w:pPr>
        <w:ind w:left="1440"/>
      </w:pPr>
      <w:r>
        <w:t>b. The rule against advisory opinions</w:t>
      </w:r>
      <w:r w:rsidR="004B0911">
        <w:t>: will not give advisory opinions or rule in cases whose outcome can be determined by an independent and adequate state ground</w:t>
      </w:r>
      <w:r>
        <w:t xml:space="preserve"> </w:t>
      </w:r>
      <w:r w:rsidR="004B0911">
        <w:t>(914)</w:t>
      </w:r>
    </w:p>
    <w:p w:rsidR="002226D1" w:rsidRDefault="002226D1" w:rsidP="002226D1">
      <w:pPr>
        <w:ind w:left="720"/>
      </w:pPr>
      <w:r>
        <w:t>2. The justiciable issue requirement</w:t>
      </w:r>
      <w:r w:rsidR="004B0911">
        <w:t>: a constitutional claim must arise and the specific issue must also be justiciable, not a political question or subject to extra-judicial review</w:t>
      </w:r>
      <w:r>
        <w:t xml:space="preserve"> </w:t>
      </w:r>
      <w:r w:rsidR="004B0911">
        <w:t>(915)</w:t>
      </w:r>
    </w:p>
    <w:p w:rsidR="002226D1" w:rsidRDefault="002226D1" w:rsidP="002226D1">
      <w:pPr>
        <w:ind w:left="720" w:firstLine="720"/>
      </w:pPr>
      <w:r>
        <w:t>a. The political question doctrine</w:t>
      </w:r>
      <w:r w:rsidR="004B0911">
        <w:t>: Summarized Baker v. Carr</w:t>
      </w:r>
      <w:r>
        <w:t xml:space="preserve"> </w:t>
      </w:r>
      <w:r w:rsidR="004B0911">
        <w:t>(915)</w:t>
      </w:r>
    </w:p>
    <w:p w:rsidR="002226D1" w:rsidRDefault="002226D1" w:rsidP="002226D1">
      <w:pPr>
        <w:ind w:left="720" w:firstLine="720"/>
      </w:pPr>
      <w:r>
        <w:t>b. The rule against extra-judicial review</w:t>
      </w:r>
      <w:r w:rsidR="004B0911">
        <w:t>: as said</w:t>
      </w:r>
      <w:r>
        <w:t xml:space="preserve"> </w:t>
      </w:r>
      <w:r w:rsidR="004B0911">
        <w:t>(917)</w:t>
      </w:r>
    </w:p>
    <w:p w:rsidR="002226D1" w:rsidRDefault="002226D1" w:rsidP="002226D1">
      <w:r>
        <w:t>B. The When</w:t>
      </w:r>
      <w:r w:rsidR="004B0911">
        <w:t>(917)</w:t>
      </w:r>
      <w:r>
        <w:t xml:space="preserve"> </w:t>
      </w:r>
    </w:p>
    <w:p w:rsidR="002226D1" w:rsidRDefault="002226D1" w:rsidP="002226D1">
      <w:pPr>
        <w:ind w:firstLine="720"/>
      </w:pPr>
      <w:r>
        <w:t>1. Ripeness</w:t>
      </w:r>
      <w:r w:rsidR="004B0911">
        <w:t>: court should only adjucate on claims that are ripe(“whether the harm asserted has matured sufficiently to warrant judicial intervention.”(918)</w:t>
      </w:r>
      <w:bookmarkStart w:id="0" w:name="_GoBack"/>
      <w:bookmarkEnd w:id="0"/>
      <w:r>
        <w:t xml:space="preserve"> </w:t>
      </w:r>
    </w:p>
    <w:p w:rsidR="002226D1" w:rsidRDefault="002226D1" w:rsidP="002226D1">
      <w:pPr>
        <w:ind w:firstLine="720"/>
      </w:pPr>
      <w:r>
        <w:t xml:space="preserve">2. Mootness </w:t>
      </w:r>
    </w:p>
    <w:p w:rsidR="002226D1" w:rsidRDefault="002226D1" w:rsidP="002226D1">
      <w:pPr>
        <w:ind w:firstLine="720"/>
      </w:pPr>
      <w:r>
        <w:t xml:space="preserve">3. The rule of necessity </w:t>
      </w:r>
    </w:p>
    <w:p w:rsidR="002226D1" w:rsidRDefault="002226D1" w:rsidP="002226D1">
      <w:r>
        <w:t xml:space="preserve">C. The Who (Standing) </w:t>
      </w:r>
    </w:p>
    <w:p w:rsidR="002226D1" w:rsidRDefault="002226D1" w:rsidP="004B0911">
      <w:pPr>
        <w:ind w:left="720"/>
      </w:pPr>
      <w:r>
        <w:t xml:space="preserve">1. General standing </w:t>
      </w:r>
    </w:p>
    <w:p w:rsidR="002226D1" w:rsidRDefault="002226D1" w:rsidP="004B0911">
      <w:pPr>
        <w:ind w:firstLine="720"/>
      </w:pPr>
      <w:r>
        <w:t xml:space="preserve">2. Taxpayer standing </w:t>
      </w:r>
    </w:p>
    <w:p w:rsidR="002226D1" w:rsidRDefault="002226D1" w:rsidP="004B0911">
      <w:pPr>
        <w:ind w:firstLine="720"/>
      </w:pPr>
      <w:r>
        <w:t>3. Organizational standing</w:t>
      </w:r>
    </w:p>
    <w:p w:rsidR="00CD7734" w:rsidRDefault="00CD7734" w:rsidP="002226D1"/>
    <w:p w:rsidR="00CD7734" w:rsidRDefault="00CD7734" w:rsidP="002226D1">
      <w:r>
        <w:lastRenderedPageBreak/>
        <w:t>Sources:</w:t>
      </w:r>
    </w:p>
    <w:p w:rsidR="00CD7734" w:rsidRDefault="004B0911" w:rsidP="002226D1">
      <w:hyperlink r:id="rId4" w:history="1">
        <w:r w:rsidR="00CD7734" w:rsidRPr="0008411A">
          <w:rPr>
            <w:rStyle w:val="Hyperlink"/>
          </w:rPr>
          <w:t>https://mckinneylaw.iu.edu/iiclr/pdf/vol7p311.pdf</w:t>
        </w:r>
      </w:hyperlink>
      <w:r w:rsidR="00CD7734">
        <w:t xml:space="preserve"> </w:t>
      </w:r>
    </w:p>
    <w:p w:rsidR="00CD7734" w:rsidRDefault="004B0911" w:rsidP="002226D1">
      <w:hyperlink r:id="rId5" w:history="1">
        <w:r w:rsidR="009A1FF8" w:rsidRPr="0008411A">
          <w:rPr>
            <w:rStyle w:val="Hyperlink"/>
          </w:rPr>
          <w:t>https://digitalcommons.law.scu.edu/cgi/viewcontent.cgi?referer=https://www.google.com/&amp;httpsredir=1&amp;article=1722&amp;context=lawreview</w:t>
        </w:r>
      </w:hyperlink>
      <w:r w:rsidR="009A1FF8">
        <w:t xml:space="preserve"> </w:t>
      </w:r>
    </w:p>
    <w:p w:rsidR="009A1FF8" w:rsidRDefault="004B0911" w:rsidP="002226D1">
      <w:hyperlink r:id="rId6" w:history="1">
        <w:r w:rsidR="009A1FF8" w:rsidRPr="0008411A">
          <w:rPr>
            <w:rStyle w:val="Hyperlink"/>
          </w:rPr>
          <w:t>https://www.oyez.org/cases/1960/6</w:t>
        </w:r>
      </w:hyperlink>
      <w:r w:rsidR="009A1FF8">
        <w:t xml:space="preserve"> </w:t>
      </w:r>
    </w:p>
    <w:sectPr w:rsidR="009A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D1"/>
    <w:rsid w:val="002226D1"/>
    <w:rsid w:val="004B0911"/>
    <w:rsid w:val="007E1A7A"/>
    <w:rsid w:val="009A1FF8"/>
    <w:rsid w:val="00A52ACA"/>
    <w:rsid w:val="00B429C1"/>
    <w:rsid w:val="00B85562"/>
    <w:rsid w:val="00CD7734"/>
    <w:rsid w:val="00E6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409B"/>
  <w15:chartTrackingRefBased/>
  <w15:docId w15:val="{6A7D6A1B-54F9-44AE-88F4-24DFECD5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734"/>
    <w:rPr>
      <w:color w:val="0563C1" w:themeColor="hyperlink"/>
      <w:u w:val="single"/>
    </w:rPr>
  </w:style>
  <w:style w:type="character" w:styleId="UnresolvedMention">
    <w:name w:val="Unresolved Mention"/>
    <w:basedOn w:val="DefaultParagraphFont"/>
    <w:uiPriority w:val="99"/>
    <w:semiHidden/>
    <w:unhideWhenUsed/>
    <w:rsid w:val="00CD7734"/>
    <w:rPr>
      <w:color w:val="808080"/>
      <w:shd w:val="clear" w:color="auto" w:fill="E6E6E6"/>
    </w:rPr>
  </w:style>
  <w:style w:type="character" w:styleId="FollowedHyperlink">
    <w:name w:val="FollowedHyperlink"/>
    <w:basedOn w:val="DefaultParagraphFont"/>
    <w:uiPriority w:val="99"/>
    <w:semiHidden/>
    <w:unhideWhenUsed/>
    <w:rsid w:val="00E662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yez.org/cases/1960/6" TargetMode="External"/><Relationship Id="rId5" Type="http://schemas.openxmlformats.org/officeDocument/2006/relationships/hyperlink" Target="https://digitalcommons.law.scu.edu/cgi/viewcontent.cgi?referer=https://www.google.com/&amp;httpsredir=1&amp;article=1722&amp;context=lawreview" TargetMode="External"/><Relationship Id="rId4" Type="http://schemas.openxmlformats.org/officeDocument/2006/relationships/hyperlink" Target="https://mckinneylaw.iu.edu/iiclr/pdf/vol7p3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3</cp:revision>
  <dcterms:created xsi:type="dcterms:W3CDTF">2018-05-14T14:37:00Z</dcterms:created>
  <dcterms:modified xsi:type="dcterms:W3CDTF">2018-05-15T16:52:00Z</dcterms:modified>
</cp:coreProperties>
</file>