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5E4A" w:rsidRDefault="002226D1">
      <w:r>
        <w:t>-Justiciability deals with the boundaries of law and adjudication</w:t>
      </w:r>
    </w:p>
    <w:p w:rsidR="002226D1" w:rsidRDefault="002226D1">
      <w:proofErr w:type="gramStart"/>
      <w:r>
        <w:t>-“</w:t>
      </w:r>
      <w:proofErr w:type="gramEnd"/>
      <w:r>
        <w:t>the issue of justiciability is dealt with primarily within the context of the ‘political question’ doctrine, which focuses on the limitations upon adjudication by the courts of matters generally within the area of responsibility of other government authorities”</w:t>
      </w:r>
    </w:p>
    <w:p w:rsidR="002226D1" w:rsidRDefault="002226D1">
      <w:r>
        <w:t>-</w:t>
      </w:r>
      <w:proofErr w:type="gramStart"/>
      <w:r>
        <w:t>Requirements(</w:t>
      </w:r>
      <w:proofErr w:type="gramEnd"/>
      <w:r>
        <w:t>Justiciability: Basic Analysis</w:t>
      </w:r>
      <w:r>
        <w:t>)</w:t>
      </w:r>
    </w:p>
    <w:p w:rsidR="002226D1" w:rsidRDefault="002226D1">
      <w:r>
        <w:t xml:space="preserve"> A. The What </w:t>
      </w:r>
    </w:p>
    <w:p w:rsidR="002226D1" w:rsidRDefault="002226D1" w:rsidP="002226D1">
      <w:pPr>
        <w:ind w:firstLine="720"/>
      </w:pPr>
      <w:r>
        <w:t>1. The actual case requirement</w:t>
      </w:r>
    </w:p>
    <w:p w:rsidR="002226D1" w:rsidRDefault="002226D1" w:rsidP="002226D1">
      <w:pPr>
        <w:ind w:left="720" w:firstLine="720"/>
      </w:pPr>
      <w:r>
        <w:t xml:space="preserve">a. The adversity requirement and the rule against collusive cases </w:t>
      </w:r>
    </w:p>
    <w:p w:rsidR="002226D1" w:rsidRDefault="002226D1" w:rsidP="002226D1">
      <w:pPr>
        <w:ind w:left="1440"/>
      </w:pPr>
      <w:r>
        <w:t xml:space="preserve">b. The rule against advisory opinions </w:t>
      </w:r>
    </w:p>
    <w:p w:rsidR="002226D1" w:rsidRDefault="002226D1" w:rsidP="002226D1">
      <w:pPr>
        <w:ind w:left="720"/>
      </w:pPr>
      <w:r>
        <w:t xml:space="preserve">2. The justiciable issue requirement </w:t>
      </w:r>
    </w:p>
    <w:p w:rsidR="002226D1" w:rsidRDefault="002226D1" w:rsidP="002226D1">
      <w:pPr>
        <w:ind w:left="720" w:firstLine="720"/>
      </w:pPr>
      <w:r>
        <w:t xml:space="preserve">a. The political question doctrine </w:t>
      </w:r>
    </w:p>
    <w:p w:rsidR="002226D1" w:rsidRDefault="002226D1" w:rsidP="002226D1">
      <w:pPr>
        <w:ind w:left="720" w:firstLine="720"/>
      </w:pPr>
      <w:r>
        <w:t xml:space="preserve">b. The rule against extra-judicial review </w:t>
      </w:r>
    </w:p>
    <w:p w:rsidR="002226D1" w:rsidRDefault="002226D1" w:rsidP="002226D1">
      <w:r>
        <w:t xml:space="preserve">B. The When </w:t>
      </w:r>
    </w:p>
    <w:p w:rsidR="002226D1" w:rsidRDefault="002226D1" w:rsidP="002226D1">
      <w:pPr>
        <w:ind w:firstLine="720"/>
      </w:pPr>
      <w:r>
        <w:t xml:space="preserve">1. Ripeness </w:t>
      </w:r>
    </w:p>
    <w:p w:rsidR="002226D1" w:rsidRDefault="002226D1" w:rsidP="002226D1">
      <w:pPr>
        <w:ind w:firstLine="720"/>
      </w:pPr>
      <w:r>
        <w:t xml:space="preserve">2. Mootness </w:t>
      </w:r>
    </w:p>
    <w:p w:rsidR="002226D1" w:rsidRDefault="002226D1" w:rsidP="002226D1">
      <w:pPr>
        <w:ind w:firstLine="720"/>
      </w:pPr>
      <w:r>
        <w:t xml:space="preserve">3. The rule of necessity </w:t>
      </w:r>
    </w:p>
    <w:p w:rsidR="002226D1" w:rsidRDefault="002226D1" w:rsidP="002226D1">
      <w:r>
        <w:t xml:space="preserve">C. The Who (Standing) </w:t>
      </w:r>
    </w:p>
    <w:p w:rsidR="002226D1" w:rsidRDefault="002226D1" w:rsidP="002226D1">
      <w:r>
        <w:t xml:space="preserve">1. General standing </w:t>
      </w:r>
    </w:p>
    <w:p w:rsidR="002226D1" w:rsidRDefault="002226D1" w:rsidP="002226D1">
      <w:r>
        <w:t xml:space="preserve">2. Taxpayer standing </w:t>
      </w:r>
    </w:p>
    <w:p w:rsidR="002226D1" w:rsidRDefault="002226D1" w:rsidP="002226D1">
      <w:r>
        <w:t>3. Organizational standing</w:t>
      </w:r>
    </w:p>
    <w:p w:rsidR="00CD7734" w:rsidRDefault="00CD7734" w:rsidP="002226D1"/>
    <w:p w:rsidR="00CD7734" w:rsidRDefault="00CD7734" w:rsidP="002226D1">
      <w:r>
        <w:t>Sources:</w:t>
      </w:r>
    </w:p>
    <w:p w:rsidR="00CD7734" w:rsidRDefault="00CD7734" w:rsidP="002226D1">
      <w:hyperlink r:id="rId4" w:history="1">
        <w:r w:rsidRPr="0008411A">
          <w:rPr>
            <w:rStyle w:val="Hyperlink"/>
          </w:rPr>
          <w:t>https://mckinneylaw.iu.edu/iiclr/pdf/vol7p311.pdf</w:t>
        </w:r>
      </w:hyperlink>
      <w:r>
        <w:t xml:space="preserve"> </w:t>
      </w:r>
    </w:p>
    <w:p w:rsidR="00CD7734" w:rsidRDefault="009A1FF8" w:rsidP="002226D1">
      <w:hyperlink r:id="rId5" w:history="1">
        <w:r w:rsidRPr="0008411A">
          <w:rPr>
            <w:rStyle w:val="Hyperlink"/>
          </w:rPr>
          <w:t>https://digitalcommons.law.scu.edu/cgi/viewcontent.cgi?referer=https://www.google.com/&amp;httpsredir=1&amp;article=1722&amp;context=lawreview</w:t>
        </w:r>
      </w:hyperlink>
      <w:r>
        <w:t xml:space="preserve"> </w:t>
      </w:r>
    </w:p>
    <w:p w:rsidR="009A1FF8" w:rsidRDefault="009A1FF8" w:rsidP="002226D1">
      <w:hyperlink r:id="rId6" w:history="1">
        <w:r w:rsidRPr="0008411A">
          <w:rPr>
            <w:rStyle w:val="Hyperlink"/>
          </w:rPr>
          <w:t>https://www.oyez.org/cases/1960/6</w:t>
        </w:r>
      </w:hyperlink>
      <w:r>
        <w:t xml:space="preserve"> </w:t>
      </w:r>
      <w:bookmarkStart w:id="0" w:name="_GoBack"/>
      <w:bookmarkEnd w:id="0"/>
    </w:p>
    <w:sectPr w:rsidR="009A1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6D1"/>
    <w:rsid w:val="002226D1"/>
    <w:rsid w:val="007E1A7A"/>
    <w:rsid w:val="009A1FF8"/>
    <w:rsid w:val="00B429C1"/>
    <w:rsid w:val="00CD7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ED917"/>
  <w15:chartTrackingRefBased/>
  <w15:docId w15:val="{6A7D6A1B-54F9-44AE-88F4-24DFECD58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7734"/>
    <w:rPr>
      <w:color w:val="0563C1" w:themeColor="hyperlink"/>
      <w:u w:val="single"/>
    </w:rPr>
  </w:style>
  <w:style w:type="character" w:styleId="UnresolvedMention">
    <w:name w:val="Unresolved Mention"/>
    <w:basedOn w:val="DefaultParagraphFont"/>
    <w:uiPriority w:val="99"/>
    <w:semiHidden/>
    <w:unhideWhenUsed/>
    <w:rsid w:val="00CD773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oyez.org/cases/1960/6" TargetMode="External"/><Relationship Id="rId5" Type="http://schemas.openxmlformats.org/officeDocument/2006/relationships/hyperlink" Target="https://digitalcommons.law.scu.edu/cgi/viewcontent.cgi?referer=https://www.google.com/&amp;httpsredir=1&amp;article=1722&amp;context=lawreview" TargetMode="External"/><Relationship Id="rId4" Type="http://schemas.openxmlformats.org/officeDocument/2006/relationships/hyperlink" Target="https://mckinneylaw.iu.edu/iiclr/pdf/vol7p3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Herbie Turner</dc:creator>
  <cp:keywords/>
  <dc:description/>
  <cp:lastModifiedBy>Herbie Turner</cp:lastModifiedBy>
  <cp:revision>1</cp:revision>
  <dcterms:created xsi:type="dcterms:W3CDTF">2018-05-14T14:37:00Z</dcterms:created>
  <dcterms:modified xsi:type="dcterms:W3CDTF">2018-05-14T16:29:00Z</dcterms:modified>
</cp:coreProperties>
</file>