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shd w:val="clear" w:color="auto" w:fill="F0F7FB"/>
        <w:spacing w:before="0" w:after="0" w:line="276" w:lineRule="auto"/>
      </w:pPr>
      <w:r>
        <w:rPr>
          <w:b/>
          <w:color w:val="1A3557"/>
          <w:sz w:val="28"/>
          <w:szCs w:val="28"/>
          <w:rFonts w:ascii="Calibri" w:hAnsi="Calibri"/>
          <w:shd w:val="clear" w:color="auto" w:fill="F0F7FB"/>
        </w:rPr>
        <w:t xml:space="preserve">SUNIL KUMAR K</w:t>
      </w:r>
    </w:p>
    <w:p>
      <w:pPr>
        <w:jc w:val="center"/>
        <w:shd w:val="clear" w:color="auto" w:fill="F0F7FB"/>
        <w:spacing w:before="0" w:after="0" w:line="276" w:lineRule="auto"/>
      </w:pPr>
      <w:r>
        <w:rPr>
          <w:color w:val="0D6E8A"/>
          <w:sz w:val="20"/>
          <w:szCs w:val="20"/>
          <w:rFonts w:ascii="Calibri" w:hAnsi="Calibri"/>
          <w:shd w:val="clear" w:color="auto" w:fill="F0F7FB"/>
        </w:rPr>
        <w:t xml:space="preserve">VP Customer Success  |  Enterprise CX  |  NRR Governance  |  Post-sales Org  |  BFSI Vertical</w:t>
      </w:r>
    </w:p>
    <w:p>
      <w:pPr>
        <w:jc w:val="center"/>
        <w:spacing w:before="0" w:after="80" w:line="276" w:lineRule="auto"/>
      </w:pPr>
      <w:r>
        <w:rPr>
          <w:color w:val="888888"/>
          <w:sz w:val="18"/>
          <w:szCs w:val="18"/>
          <w:rFonts w:ascii="Calibri" w:hAnsi="Calibri"/>
        </w:rPr>
        <w:t xml:space="preserve">Bangalore, India  |  +91 9741114967  |  ksunilmech29@gmail.com  |  linkedin.com/in/sunil-kumar-k-8b1b72a</w:t>
      </w:r>
    </w:p>
    <w:p>
      <w:pPr>
        <w:spacing w:before="0" w:after="60" w:line="276" w:lineRule="auto"/>
        <w:pBdr>
          <w:bottom w:val="single" w:sz="6" w:space="1" w:color="0D6E8A"/>
        </w:pBdr>
      </w:pPr>
    </w:p>
    <w:p>
      <w:pPr>
        <w:shd w:val="clear" w:color="auto" w:fill="FFFFFF"/>
        <w:spacing w:before="80" w:after="40" w:line="276" w:lineRule="auto"/>
      </w:pPr>
      <w:r>
        <w:rPr>
          <w:b/>
          <w:color w:val="1A3557"/>
          <w:sz w:val="20"/>
          <w:szCs w:val="20"/>
          <w:rFonts w:ascii="Calibri" w:hAnsi="Calibri"/>
          <w:shd w:val="clear" w:color="auto" w:fill="FFFFFF"/>
        </w:rPr>
        <w:t xml:space="preserve">PROFESSIONAL SUMMARY</w:t>
      </w:r>
    </w:p>
    <w:p>
      <w:pPr>
        <w:spacing w:before="0" w:after="60" w:line="276" w:lineRule="auto"/>
      </w:pPr>
      <w:r>
        <w:rPr>
          <w:color w:val="444444"/>
          <w:sz w:val="19"/>
          <w:szCs w:val="19"/>
          <w:rFonts w:ascii="Calibri" w:hAnsi="Calibri"/>
        </w:rPr>
        <w:t xml:space="preserve">19+ years leading post-sales and customer success organisations across Fintech, Banking, and SaaS platforms, with a track record of building and scaling enterprise CX teams that drive NRR growth, reduce churn, and deepen executive relationships across BFSI clients in India, US, and Europe.</w:t>
      </w:r>
    </w:p>
    <w:p>
      <w:pPr>
        <w:spacing w:before="0" w:after="80" w:line="276" w:lineRule="auto"/>
      </w:pPr>
      <w:r>
        <w:rPr>
          <w:color w:val="444444"/>
          <w:sz w:val="19"/>
          <w:szCs w:val="19"/>
          <w:rFonts w:ascii="Calibri" w:hAnsi="Calibri"/>
        </w:rPr>
        <w:t xml:space="preserve">At Open Financial Technologies, delivered 95%+ on-time implementation for enterprise clients and governed a $20M post-sales portfolio with zero escalation-to-churn events. At Deutsche Bank, maintained 100% CXO satisfaction scores across 15+ accounts while steering multi-region regulatory programmes to on-time delivery.</w:t>
      </w:r>
    </w:p>
    <w:tbl>
      <w:tblPr>
        <w:tblW w:w="106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3F2F8"/>
      </w:tblPr>
      <w:tblGrid>
        <w:gridCol w:w="3300"/>
        <w:gridCol w:w="378"/>
        <w:gridCol w:w="3300"/>
        <w:gridCol w:w="378"/>
        <w:gridCol w:w="3300"/>
      </w:tblGrid>
      <w:tr>
        <w:tc>
          <w:tcPr>
            <w:tcW w:w="3300" w:type="dxa"/>
            <w:shd w:val="clear" w:color="auto" w:fill="E3F2F8"/>
            <w:tcBorders>
              <w:top w:val="none"/>
              <w:left w:val="none"/>
              <w:bottom w:val="none"/>
              <w:right w:val="none"/>
            </w:tcBorders>
          </w:tcPr>
          <w:p>
            <w:pPr>
              <w:jc w:val="center"/>
              <w:shd w:val="clear" w:color="auto" w:fill="E3F2F8"/>
              <w:spacing w:before="80" w:after="20" w:line="276" w:lineRule="auto"/>
            </w:pPr>
            <w:r>
              <w:rPr>
                <w:b/>
                <w:color w:val="1A3557"/>
                <w:sz w:val="64"/>
                <w:szCs w:val="64"/>
                <w:rFonts w:ascii="Calibri" w:hAnsi="Calibri"/>
                <w:shd w:val="clear" w:color="auto" w:fill="E3F2F8"/>
              </w:rPr>
              <w:t xml:space="preserve">19+</w:t>
            </w:r>
            <w:r>
              <w:rPr>
                <w:i/>
                <w:color w:val="0D6E8A"/>
                <w:sz w:val="36"/>
                <w:szCs w:val="36"/>
                <w:rFonts w:ascii="Calibri" w:hAnsi="Calibri"/>
                <w:shd w:val="clear" w:color="auto" w:fill="E3F2F8"/>
              </w:rPr>
              <w:t xml:space="preserve"> Years Fintech Domain</w:t>
            </w:r>
          </w:p>
        </w:tc>
        <w:tc>
          <w:tcPr>
            <w:tcW w:w="378" w:type="dxa"/>
            <w:shd w:val="clear" w:color="auto" w:fill="E3F2F8"/>
            <w:tcBorders>
              <w:top w:val="none"/>
              <w:left w:val="none"/>
              <w:bottom w:val="none"/>
              <w:right w:val="none"/>
            </w:tcBorders>
          </w:tcPr>
          <w:p>
            <w:pPr>
              <w:jc w:val="center"/>
              <w:shd w:val="clear" w:color="auto" w:fill="E3F2F8"/>
              <w:spacing w:before="80" w:after="20" w:line="276" w:lineRule="auto"/>
            </w:pPr>
            <w:r>
              <w:rPr>
                <w:color w:val="888888"/>
                <w:sz w:val="48"/>
                <w:szCs w:val="48"/>
                <w:rFonts w:ascii="Calibri" w:hAnsi="Calibri"/>
                <w:shd w:val="clear" w:color="auto" w:fill="E3F2F8"/>
              </w:rPr>
              <w:t>|</w:t>
            </w:r>
          </w:p>
        </w:tc>
        <w:tc>
          <w:tcPr>
            <w:tcW w:w="3300" w:type="dxa"/>
            <w:shd w:val="clear" w:color="auto" w:fill="E3F2F8"/>
            <w:tcBorders>
              <w:top w:val="none"/>
              <w:left w:val="none"/>
              <w:bottom w:val="none"/>
              <w:right w:val="none"/>
            </w:tcBorders>
          </w:tcPr>
          <w:p>
            <w:pPr>
              <w:jc w:val="center"/>
              <w:shd w:val="clear" w:color="auto" w:fill="E3F2F8"/>
              <w:spacing w:before="80" w:after="20" w:line="276" w:lineRule="auto"/>
            </w:pPr>
            <w:r>
              <w:rPr>
                <w:b/>
                <w:color w:val="1A3557"/>
                <w:sz w:val="64"/>
                <w:szCs w:val="64"/>
                <w:rFonts w:ascii="Calibri" w:hAnsi="Calibri"/>
                <w:shd w:val="clear" w:color="auto" w:fill="E3F2F8"/>
              </w:rPr>
              <w:t xml:space="preserve">$20M</w:t>
            </w:r>
            <w:r>
              <w:rPr>
                <w:i/>
                <w:color w:val="0D6E8A"/>
                <w:sz w:val="36"/>
                <w:szCs w:val="36"/>
                <w:rFonts w:ascii="Calibri" w:hAnsi="Calibri"/>
                <w:shd w:val="clear" w:color="auto" w:fill="E3F2F8"/>
              </w:rPr>
              <w:t xml:space="preserve"> Portfolio Governed</w:t>
            </w:r>
          </w:p>
        </w:tc>
        <w:tc>
          <w:tcPr>
            <w:tcW w:w="378" w:type="dxa"/>
            <w:shd w:val="clear" w:color="auto" w:fill="E3F2F8"/>
            <w:tcBorders>
              <w:top w:val="none"/>
              <w:left w:val="none"/>
              <w:bottom w:val="none"/>
              <w:right w:val="none"/>
            </w:tcBorders>
          </w:tcPr>
          <w:p>
            <w:pPr>
              <w:jc w:val="center"/>
              <w:shd w:val="clear" w:color="auto" w:fill="E3F2F8"/>
              <w:spacing w:before="80" w:after="20" w:line="276" w:lineRule="auto"/>
            </w:pPr>
            <w:r>
              <w:rPr>
                <w:color w:val="888888"/>
                <w:sz w:val="48"/>
                <w:szCs w:val="48"/>
                <w:rFonts w:ascii="Calibri" w:hAnsi="Calibri"/>
                <w:shd w:val="clear" w:color="auto" w:fill="E3F2F8"/>
              </w:rPr>
              <w:t>|</w:t>
            </w:r>
          </w:p>
        </w:tc>
        <w:tc>
          <w:tcPr>
            <w:tcW w:w="3300" w:type="dxa"/>
            <w:shd w:val="clear" w:color="auto" w:fill="E3F2F8"/>
            <w:tcBorders>
              <w:top w:val="none"/>
              <w:left w:val="none"/>
              <w:bottom w:val="none"/>
              <w:right w:val="none"/>
            </w:tcBorders>
          </w:tcPr>
          <w:p>
            <w:pPr>
              <w:jc w:val="center"/>
              <w:shd w:val="clear" w:color="auto" w:fill="E3F2F8"/>
              <w:spacing w:before="80" w:after="20" w:line="276" w:lineRule="auto"/>
            </w:pPr>
            <w:r>
              <w:rPr>
                <w:b/>
                <w:color w:val="1A3557"/>
                <w:sz w:val="64"/>
                <w:szCs w:val="64"/>
                <w:rFonts w:ascii="Calibri" w:hAnsi="Calibri"/>
                <w:shd w:val="clear" w:color="auto" w:fill="E3F2F8"/>
              </w:rPr>
              <w:t xml:space="preserve">95%+</w:t>
            </w:r>
            <w:r>
              <w:rPr>
                <w:i/>
                <w:color w:val="0D6E8A"/>
                <w:sz w:val="36"/>
                <w:szCs w:val="36"/>
                <w:rFonts w:ascii="Calibri" w:hAnsi="Calibri"/>
                <w:shd w:val="clear" w:color="auto" w:fill="E3F2F8"/>
              </w:rPr>
              <w:t xml:space="preserve"> On-time Delivery</w:t>
            </w:r>
          </w:p>
        </w:tc>
      </w:tr>
      <w:tr>
        <w:tc>
          <w:tcPr>
            <w:tcW w:w="3300" w:type="dxa"/>
            <w:shd w:val="clear" w:color="auto" w:fill="E3F2F8"/>
            <w:tcBorders>
              <w:top w:val="none"/>
              <w:left w:val="none"/>
              <w:bottom w:val="none"/>
              <w:right w:val="none"/>
            </w:tcBorders>
          </w:tcPr>
          <w:p>
            <w:pPr>
              <w:jc w:val="center"/>
              <w:shd w:val="clear" w:color="auto" w:fill="E3F2F8"/>
              <w:spacing w:before="20" w:after="80" w:line="276" w:lineRule="auto"/>
            </w:pPr>
            <w:r>
              <w:rPr>
                <w:b/>
                <w:color w:val="1A3557"/>
                <w:sz w:val="64"/>
                <w:szCs w:val="64"/>
                <w:rFonts w:ascii="Calibri" w:hAnsi="Calibri"/>
                <w:shd w:val="clear" w:color="auto" w:fill="E3F2F8"/>
              </w:rPr>
              <w:t xml:space="preserve">60+</w:t>
            </w:r>
            <w:r>
              <w:rPr>
                <w:i/>
                <w:color w:val="0D6E8A"/>
                <w:sz w:val="36"/>
                <w:szCs w:val="36"/>
                <w:rFonts w:ascii="Calibri" w:hAnsi="Calibri"/>
                <w:shd w:val="clear" w:color="auto" w:fill="E3F2F8"/>
              </w:rPr>
              <w:t xml:space="preserve"> Team Scaled</w:t>
            </w:r>
          </w:p>
        </w:tc>
        <w:tc>
          <w:tcPr>
            <w:tcW w:w="378" w:type="dxa"/>
            <w:shd w:val="clear" w:color="auto" w:fill="E3F2F8"/>
            <w:tcBorders>
              <w:top w:val="none"/>
              <w:left w:val="none"/>
              <w:bottom w:val="none"/>
              <w:right w:val="none"/>
            </w:tcBorders>
          </w:tcPr>
          <w:p>
            <w:pPr>
              <w:jc w:val="center"/>
              <w:shd w:val="clear" w:color="auto" w:fill="E3F2F8"/>
              <w:spacing w:before="20" w:after="80" w:line="276" w:lineRule="auto"/>
            </w:pPr>
            <w:r>
              <w:rPr>
                <w:color w:val="888888"/>
                <w:sz w:val="48"/>
                <w:szCs w:val="48"/>
                <w:rFonts w:ascii="Calibri" w:hAnsi="Calibri"/>
                <w:shd w:val="clear" w:color="auto" w:fill="E3F2F8"/>
              </w:rPr>
              <w:t>|</w:t>
            </w:r>
          </w:p>
        </w:tc>
        <w:tc>
          <w:tcPr>
            <w:tcW w:w="3300" w:type="dxa"/>
            <w:shd w:val="clear" w:color="auto" w:fill="E3F2F8"/>
            <w:tcBorders>
              <w:top w:val="none"/>
              <w:left w:val="none"/>
              <w:bottom w:val="none"/>
              <w:right w:val="none"/>
            </w:tcBorders>
          </w:tcPr>
          <w:p>
            <w:pPr>
              <w:jc w:val="center"/>
              <w:shd w:val="clear" w:color="auto" w:fill="E3F2F8"/>
              <w:spacing w:before="20" w:after="80" w:line="276" w:lineRule="auto"/>
            </w:pPr>
            <w:r>
              <w:rPr>
                <w:b/>
                <w:color w:val="1A3557"/>
                <w:sz w:val="64"/>
                <w:szCs w:val="64"/>
                <w:rFonts w:ascii="Calibri" w:hAnsi="Calibri"/>
                <w:shd w:val="clear" w:color="auto" w:fill="E3F2F8"/>
              </w:rPr>
              <w:t xml:space="preserve">92%</w:t>
            </w:r>
            <w:r>
              <w:rPr>
                <w:i/>
                <w:color w:val="0D6E8A"/>
                <w:sz w:val="36"/>
                <w:szCs w:val="36"/>
                <w:rFonts w:ascii="Calibri" w:hAnsi="Calibri"/>
                <w:shd w:val="clear" w:color="auto" w:fill="E3F2F8"/>
              </w:rPr>
              <w:t xml:space="preserve"> Client Retention</w:t>
            </w:r>
          </w:p>
        </w:tc>
        <w:tc>
          <w:tcPr>
            <w:tcW w:w="378" w:type="dxa"/>
            <w:shd w:val="clear" w:color="auto" w:fill="E3F2F8"/>
            <w:tcBorders>
              <w:top w:val="none"/>
              <w:left w:val="none"/>
              <w:bottom w:val="none"/>
              <w:right w:val="none"/>
            </w:tcBorders>
          </w:tcPr>
          <w:p>
            <w:pPr>
              <w:jc w:val="center"/>
              <w:shd w:val="clear" w:color="auto" w:fill="E3F2F8"/>
              <w:spacing w:before="20" w:after="80" w:line="276" w:lineRule="auto"/>
            </w:pPr>
            <w:r>
              <w:rPr>
                <w:color w:val="888888"/>
                <w:sz w:val="48"/>
                <w:szCs w:val="48"/>
                <w:rFonts w:ascii="Calibri" w:hAnsi="Calibri"/>
                <w:shd w:val="clear" w:color="auto" w:fill="E3F2F8"/>
              </w:rPr>
              <w:t>|</w:t>
            </w:r>
          </w:p>
        </w:tc>
        <w:tc>
          <w:tcPr>
            <w:tcW w:w="3300" w:type="dxa"/>
            <w:shd w:val="clear" w:color="auto" w:fill="E3F2F8"/>
            <w:tcBorders>
              <w:top w:val="none"/>
              <w:left w:val="none"/>
              <w:bottom w:val="none"/>
              <w:right w:val="none"/>
            </w:tcBorders>
          </w:tcPr>
          <w:p>
            <w:pPr>
              <w:jc w:val="center"/>
              <w:shd w:val="clear" w:color="auto" w:fill="E3F2F8"/>
              <w:spacing w:before="20" w:after="80" w:line="276" w:lineRule="auto"/>
            </w:pPr>
            <w:r>
              <w:rPr>
                <w:b/>
                <w:color w:val="1A3557"/>
                <w:sz w:val="64"/>
                <w:szCs w:val="64"/>
                <w:rFonts w:ascii="Calibri" w:hAnsi="Calibri"/>
                <w:shd w:val="clear" w:color="auto" w:fill="E3F2F8"/>
              </w:rPr>
              <w:t xml:space="preserve">4</w:t>
            </w:r>
            <w:r>
              <w:rPr>
                <w:i/>
                <w:color w:val="0D6E8A"/>
                <w:sz w:val="36"/>
                <w:szCs w:val="36"/>
                <w:rFonts w:ascii="Calibri" w:hAnsi="Calibri"/>
                <w:shd w:val="clear" w:color="auto" w:fill="E3F2F8"/>
              </w:rPr>
              <w:t xml:space="preserve"> Geographies Led</w:t>
            </w:r>
          </w:p>
        </w:tc>
      </w:tr>
    </w:tbl>
    <w:p>
      <w:pPr>
        <w:shd w:val="clear" w:color="auto" w:fill="FFFFFF"/>
        <w:spacing w:before="80" w:after="40" w:line="276" w:lineRule="auto"/>
      </w:pPr>
      <w:r>
        <w:rPr>
          <w:b/>
          <w:color w:val="1A3557"/>
          <w:sz w:val="20"/>
          <w:szCs w:val="20"/>
          <w:rFonts w:ascii="Calibri" w:hAnsi="Calibri"/>
          <w:shd w:val="clear" w:color="auto" w:fill="FFFFFF"/>
        </w:rPr>
        <w:t xml:space="preserve">CORE COMPETENCIES</w:t>
      </w:r>
    </w:p>
    <w:tbl>
      <w:tblPr>
        <w:tblW w:w="106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552"/>
        <w:gridCol w:w="3552"/>
        <w:gridCol w:w="3552"/>
      </w:tblGrid>
      <w:tr>
        <w:tc>
          <w:tcPr>
            <w:tcW w:w="3552" w:type="dxa"/>
            <w:tcBorders>
              <w:top w:val="none"/>
              <w:left w:val="none"/>
              <w:bottom w:val="none"/>
              <w:right w:val="none"/>
            </w:tcBorders>
          </w:tcPr>
          <w:p>
            <w:pPr>
              <w:spacing w:before="0" w:after="40" w:line="276" w:lineRule="auto"/>
            </w:pPr>
            <w:r>
              <w:rPr>
                <w:b/>
                <w:color w:val="0D6E8A"/>
                <w:sz w:val="19"/>
                <w:szCs w:val="19"/>
                <w:rFonts w:ascii="Calibri" w:hAnsi="Calibri"/>
              </w:rPr>
              <w:t>Customer Success Leadership</w:t>
            </w:r>
          </w:p>
          <w:p>
            <w:pPr>
              <w:spacing w:before="0" w:after="20" w:line="276" w:lineRule="auto"/>
            </w:pPr>
            <w:r>
              <w:rPr>
                <w:color w:val="444444"/>
                <w:sz w:val="18"/>
                <w:szCs w:val="18"/>
                <w:rFonts w:ascii="Calibri" w:hAnsi="Calibri"/>
              </w:rPr>
              <w:t>- Enterprise onboarding governance</w:t>
            </w:r>
          </w:p>
          <w:p>
            <w:pPr>
              <w:spacing w:before="0" w:after="20" w:line="276" w:lineRule="auto"/>
            </w:pPr>
            <w:r>
              <w:rPr>
                <w:color w:val="444444"/>
                <w:sz w:val="18"/>
                <w:szCs w:val="18"/>
                <w:rFonts w:ascii="Calibri" w:hAnsi="Calibri"/>
              </w:rPr>
              <w:t>- NRR and churn management</w:t>
            </w:r>
          </w:p>
          <w:p>
            <w:pPr>
              <w:spacing w:before="0" w:after="20" w:line="276" w:lineRule="auto"/>
            </w:pPr>
            <w:r>
              <w:rPr>
                <w:color w:val="444444"/>
                <w:sz w:val="18"/>
                <w:szCs w:val="18"/>
                <w:rFonts w:ascii="Calibri" w:hAnsi="Calibri"/>
              </w:rPr>
              <w:t>- CXO relationship management</w:t>
            </w:r>
          </w:p>
          <w:p>
            <w:pPr>
              <w:spacing w:before="0" w:after="20" w:line="276" w:lineRule="auto"/>
            </w:pPr>
            <w:r>
              <w:rPr>
                <w:color w:val="444444"/>
                <w:sz w:val="18"/>
                <w:szCs w:val="18"/>
                <w:rFonts w:ascii="Calibri" w:hAnsi="Calibri"/>
              </w:rPr>
              <w:t>- Escalation to resolution frameworks</w:t>
            </w:r>
          </w:p>
          <w:p>
            <w:pPr>
              <w:spacing w:before="0" w:after="20" w:line="276" w:lineRule="auto"/>
            </w:pPr>
            <w:r>
              <w:rPr>
                <w:color w:val="444444"/>
                <w:sz w:val="18"/>
                <w:szCs w:val="18"/>
                <w:rFonts w:ascii="Calibri" w:hAnsi="Calibri"/>
              </w:rPr>
              <w:t>- Voice of Customer programmes</w:t>
            </w:r>
          </w:p>
        </w:tc>
        <w:tc>
          <w:tcPr>
            <w:tcW w:w="3552" w:type="dxa"/>
            <w:tcBorders>
              <w:top w:val="none"/>
              <w:left w:val="none"/>
              <w:bottom w:val="none"/>
              <w:right w:val="none"/>
            </w:tcBorders>
          </w:tcPr>
          <w:p>
            <w:pPr>
              <w:spacing w:before="0" w:after="40" w:line="276" w:lineRule="auto"/>
            </w:pPr>
            <w:r>
              <w:rPr>
                <w:b/>
                <w:color w:val="0D6E8A"/>
                <w:sz w:val="19"/>
                <w:szCs w:val="19"/>
                <w:rFonts w:ascii="Calibri" w:hAnsi="Calibri"/>
              </w:rPr>
              <w:t>Post-sales Delivery</w:t>
            </w:r>
          </w:p>
          <w:p>
            <w:pPr>
              <w:spacing w:before="0" w:after="20" w:line="276" w:lineRule="auto"/>
            </w:pPr>
            <w:r>
              <w:rPr>
                <w:color w:val="444444"/>
                <w:sz w:val="18"/>
                <w:szCs w:val="18"/>
                <w:rFonts w:ascii="Calibri" w:hAnsi="Calibri"/>
              </w:rPr>
              <w:t>- Implementation lifecycle ownership</w:t>
            </w:r>
          </w:p>
          <w:p>
            <w:pPr>
              <w:spacing w:before="0" w:after="20" w:line="276" w:lineRule="auto"/>
            </w:pPr>
            <w:r>
              <w:rPr>
                <w:color w:val="444444"/>
                <w:sz w:val="18"/>
                <w:szCs w:val="18"/>
                <w:rFonts w:ascii="Calibri" w:hAnsi="Calibri"/>
              </w:rPr>
              <w:t>- SLA and KPI governance</w:t>
            </w:r>
          </w:p>
          <w:p>
            <w:pPr>
              <w:spacing w:before="0" w:after="20" w:line="276" w:lineRule="auto"/>
            </w:pPr>
            <w:r>
              <w:rPr>
                <w:color w:val="444444"/>
                <w:sz w:val="18"/>
                <w:szCs w:val="18"/>
                <w:rFonts w:ascii="Calibri" w:hAnsi="Calibri"/>
              </w:rPr>
              <w:t>- Multi-region delivery operations</w:t>
            </w:r>
          </w:p>
          <w:p>
            <w:pPr>
              <w:spacing w:before="0" w:after="20" w:line="276" w:lineRule="auto"/>
            </w:pPr>
            <w:r>
              <w:rPr>
                <w:color w:val="444444"/>
                <w:sz w:val="18"/>
                <w:szCs w:val="18"/>
                <w:rFonts w:ascii="Calibri" w:hAnsi="Calibri"/>
              </w:rPr>
              <w:t>- Joint success planning</w:t>
            </w:r>
          </w:p>
          <w:p>
            <w:pPr>
              <w:spacing w:before="0" w:after="20" w:line="276" w:lineRule="auto"/>
            </w:pPr>
            <w:r>
              <w:rPr>
                <w:color w:val="444444"/>
                <w:sz w:val="18"/>
                <w:szCs w:val="18"/>
                <w:rFonts w:ascii="Calibri" w:hAnsi="Calibri"/>
              </w:rPr>
              <w:t>- Renewal readiness playbooks</w:t>
            </w:r>
          </w:p>
        </w:tc>
        <w:tc>
          <w:tcPr>
            <w:tcW w:w="3552" w:type="dxa"/>
            <w:tcBorders>
              <w:top w:val="none"/>
              <w:left w:val="none"/>
              <w:bottom w:val="none"/>
              <w:right w:val="none"/>
            </w:tcBorders>
          </w:tcPr>
          <w:p>
            <w:pPr>
              <w:spacing w:before="0" w:after="40" w:line="276" w:lineRule="auto"/>
            </w:pPr>
            <w:r>
              <w:rPr>
                <w:b/>
                <w:color w:val="0D6E8A"/>
                <w:sz w:val="19"/>
                <w:szCs w:val="19"/>
                <w:rFonts w:ascii="Calibri" w:hAnsi="Calibri"/>
              </w:rPr>
              <w:t>Leadership and Strategy</w:t>
            </w:r>
          </w:p>
          <w:p>
            <w:pPr>
              <w:spacing w:before="0" w:after="20" w:line="276" w:lineRule="auto"/>
            </w:pPr>
            <w:r>
              <w:rPr>
                <w:color w:val="444444"/>
                <w:sz w:val="18"/>
                <w:szCs w:val="18"/>
                <w:rFonts w:ascii="Calibri" w:hAnsi="Calibri"/>
              </w:rPr>
              <w:t>- CS org design and team scaling</w:t>
            </w:r>
          </w:p>
          <w:p>
            <w:pPr>
              <w:spacing w:before="0" w:after="20" w:line="276" w:lineRule="auto"/>
            </w:pPr>
            <w:r>
              <w:rPr>
                <w:color w:val="444444"/>
                <w:sz w:val="18"/>
                <w:szCs w:val="18"/>
                <w:rFonts w:ascii="Calibri" w:hAnsi="Calibri"/>
              </w:rPr>
              <w:t>- Cross-functional alignment</w:t>
            </w:r>
          </w:p>
          <w:p>
            <w:pPr>
              <w:spacing w:before="0" w:after="20" w:line="276" w:lineRule="auto"/>
            </w:pPr>
            <w:r>
              <w:rPr>
                <w:color w:val="444444"/>
                <w:sz w:val="18"/>
                <w:szCs w:val="18"/>
                <w:rFonts w:ascii="Calibri" w:hAnsi="Calibri"/>
              </w:rPr>
              <w:t>- Board-level reporting</w:t>
            </w:r>
          </w:p>
          <w:p>
            <w:pPr>
              <w:spacing w:before="0" w:after="20" w:line="276" w:lineRule="auto"/>
            </w:pPr>
            <w:r>
              <w:rPr>
                <w:color w:val="444444"/>
                <w:sz w:val="18"/>
                <w:szCs w:val="18"/>
                <w:rFonts w:ascii="Calibri" w:hAnsi="Calibri"/>
              </w:rPr>
              <w:t>- Commercial portfolio governance</w:t>
            </w:r>
          </w:p>
          <w:p>
            <w:pPr>
              <w:spacing w:before="0" w:after="20" w:line="276" w:lineRule="auto"/>
            </w:pPr>
            <w:r>
              <w:rPr>
                <w:color w:val="444444"/>
                <w:sz w:val="18"/>
                <w:szCs w:val="18"/>
                <w:rFonts w:ascii="Calibri" w:hAnsi="Calibri"/>
              </w:rPr>
              <w:t>- Change management and adoption</w:t>
            </w:r>
          </w:p>
        </w:tc>
      </w:tr>
    </w:tbl>
    <w:p>
      <w:pPr>
        <w:shd w:val="clear" w:color="auto" w:fill="FFFFFF"/>
        <w:spacing w:before="80" w:after="40" w:line="276" w:lineRule="auto"/>
      </w:pPr>
      <w:r>
        <w:rPr>
          <w:b/>
          <w:color w:val="1A3557"/>
          <w:sz w:val="20"/>
          <w:szCs w:val="20"/>
          <w:rFonts w:ascii="Calibri" w:hAnsi="Calibri"/>
          <w:shd w:val="clear" w:color="auto" w:fill="FFFFFF"/>
        </w:rPr>
        <w:t xml:space="preserve">PROFESSIONAL EXPERIENCE</w:t>
      </w:r>
    </w:p>
    <w:p>
      <w:pPr>
        <w:shd w:val="clear" w:color="auto" w:fill="F5FAFD"/>
        <w:spacing w:before="60" w:after="0" w:line="276" w:lineRule="auto"/>
      </w:pPr>
      <w:r>
        <w:rPr>
          <w:b/>
          <w:color w:val="1A3557"/>
          <w:sz w:val="19"/>
          <w:szCs w:val="19"/>
          <w:rFonts w:ascii="Calibri" w:hAnsi="Calibri"/>
          <w:shd w:val="clear" w:color="auto" w:fill="F5FAFD"/>
        </w:rPr>
        <w:t xml:space="preserve">Open Financial Technologies</w:t>
      </w:r>
      <w:r>
        <w:rPr>
          <w:color w:val="888888"/>
          <w:sz w:val="18"/>
          <w:szCs w:val="18"/>
          <w:rFonts w:ascii="Calibri" w:hAnsi="Calibri"/>
          <w:shd w:val="clear" w:color="auto" w:fill="F5FAFD"/>
        </w:rPr>
        <w:t xml:space="preserve">  |  Apr 2022 - Present</w:t>
      </w:r>
    </w:p>
    <w:p>
      <w:pPr>
        <w:spacing w:before="0" w:after="20" w:line="276" w:lineRule="auto"/>
      </w:pPr>
      <w:r>
        <w:rPr>
          <w:b/>
          <w:i/>
          <w:color w:val="0D6E8A"/>
          <w:sz w:val="19"/>
          <w:szCs w:val="19"/>
          <w:rFonts w:ascii="Calibri" w:hAnsi="Calibri"/>
        </w:rPr>
        <w:t xml:space="preserve">Vice President, Customer Success</w:t>
      </w:r>
    </w:p>
    <w:p>
      <w:pPr>
        <w:spacing w:before="0" w:after="60" w:line="276" w:lineRule="auto"/>
      </w:pPr>
      <w:r>
        <w:rPr>
          <w:color w:val="444444"/>
          <w:sz w:val="19"/>
          <w:szCs w:val="19"/>
          <w:rFonts w:ascii="Calibri" w:hAnsi="Calibri"/>
        </w:rPr>
        <w:t xml:space="preserve">Led enterprise customer success and post-sales delivery for 30+ BFSI clients across India, Southeast Asia, and the Middle East, governing a $20M portfolio with 95%+ on-time delivery and zero escalation-to-churn conversions. Drove NRR improvement from 88% to 97% by deploying structured joint success planning, executive QBRs, and proactive health scoring.</w:t>
      </w:r>
    </w:p>
    <w:p>
      <w:pPr>
        <w:shd w:val="clear" w:color="auto" w:fill="F5FAFD"/>
        <w:spacing w:before="60" w:after="0" w:line="276" w:lineRule="auto"/>
      </w:pPr>
      <w:r>
        <w:rPr>
          <w:b/>
          <w:color w:val="1A3557"/>
          <w:sz w:val="19"/>
          <w:szCs w:val="19"/>
          <w:rFonts w:ascii="Calibri" w:hAnsi="Calibri"/>
          <w:shd w:val="clear" w:color="auto" w:fill="F5FAFD"/>
        </w:rPr>
        <w:t xml:space="preserve">Attra</w:t>
      </w:r>
      <w:r>
        <w:rPr>
          <w:color w:val="888888"/>
          <w:sz w:val="18"/>
          <w:szCs w:val="18"/>
          <w:rFonts w:ascii="Calibri" w:hAnsi="Calibri"/>
          <w:shd w:val="clear" w:color="auto" w:fill="F5FAFD"/>
        </w:rPr>
        <w:t xml:space="preserve">  |  May 2018 - Mar 2022</w:t>
      </w:r>
    </w:p>
    <w:p>
      <w:pPr>
        <w:spacing w:before="0" w:after="20" w:line="276" w:lineRule="auto"/>
      </w:pPr>
      <w:r>
        <w:rPr>
          <w:b/>
          <w:i/>
          <w:color w:val="0D6E8A"/>
          <w:sz w:val="19"/>
          <w:szCs w:val="19"/>
          <w:rFonts w:ascii="Calibri" w:hAnsi="Calibri"/>
        </w:rPr>
        <w:t xml:space="preserve">Program Manager</w:t>
      </w:r>
    </w:p>
    <w:p>
      <w:pPr>
        <w:spacing w:before="0" w:after="60" w:line="276" w:lineRule="auto"/>
      </w:pPr>
      <w:r>
        <w:rPr>
          <w:color w:val="444444"/>
          <w:sz w:val="19"/>
          <w:szCs w:val="19"/>
          <w:rFonts w:ascii="Calibri" w:hAnsi="Calibri"/>
        </w:rPr>
        <w:t xml:space="preserve">Managed multi-client delivery programmes for US-based financial services and SaaS clients, overseeing end-to-end implementation cycles, SLA governance, and CXO engagement to maintain 100% contract renewals across a $12M portfolio. Established a customer health monitoring framework that reduced escalations by 65% and accelerated time-to-value by 35%.</w:t>
      </w:r>
    </w:p>
    <w:p>
      <w:pPr>
        <w:shd w:val="clear" w:color="auto" w:fill="F5FAFD"/>
        <w:spacing w:before="60" w:after="0" w:line="276" w:lineRule="auto"/>
      </w:pPr>
      <w:r>
        <w:rPr>
          <w:b/>
          <w:color w:val="1A3557"/>
          <w:sz w:val="19"/>
          <w:szCs w:val="19"/>
          <w:rFonts w:ascii="Calibri" w:hAnsi="Calibri"/>
          <w:shd w:val="clear" w:color="auto" w:fill="F5FAFD"/>
        </w:rPr>
        <w:t xml:space="preserve">Deutsche Bank</w:t>
      </w:r>
      <w:r>
        <w:rPr>
          <w:color w:val="888888"/>
          <w:sz w:val="18"/>
          <w:szCs w:val="18"/>
          <w:rFonts w:ascii="Calibri" w:hAnsi="Calibri"/>
          <w:shd w:val="clear" w:color="auto" w:fill="F5FAFD"/>
        </w:rPr>
        <w:t xml:space="preserve">  |  Nov 2009 - Apr 2018</w:t>
      </w:r>
    </w:p>
    <w:p>
      <w:pPr>
        <w:spacing w:before="0" w:after="20" w:line="276" w:lineRule="auto"/>
      </w:pPr>
      <w:r>
        <w:rPr>
          <w:b/>
          <w:i/>
          <w:color w:val="0D6E8A"/>
          <w:sz w:val="19"/>
          <w:szCs w:val="19"/>
          <w:rFonts w:ascii="Calibri" w:hAnsi="Calibri"/>
        </w:rPr>
        <w:t xml:space="preserve">Assistant Vice President</w:t>
      </w:r>
    </w:p>
    <w:p>
      <w:pPr>
        <w:spacing w:before="0" w:after="60" w:line="276" w:lineRule="auto"/>
      </w:pPr>
      <w:r>
        <w:rPr>
          <w:color w:val="444444"/>
          <w:sz w:val="19"/>
          <w:szCs w:val="19"/>
          <w:rFonts w:ascii="Calibri" w:hAnsi="Calibri"/>
        </w:rPr>
        <w:t xml:space="preserve">Governed enterprise platform delivery and stakeholder engagement across India, EU, and US geographies for the Investment Banking Division, maintaining 100% CXO satisfaction while steering large regulatory programmes to on-time completion. Built sustained executive relationships that enabled three major mandate expansions totalling $15M in incremental revenue over four years.</w:t>
      </w:r>
    </w:p>
    <w:p>
      <w:pPr>
        <w:shd w:val="clear" w:color="auto" w:fill="F5FAFD"/>
        <w:spacing w:before="60" w:after="0" w:line="276" w:lineRule="auto"/>
      </w:pPr>
      <w:r>
        <w:rPr>
          <w:b/>
          <w:color w:val="1A3557"/>
          <w:sz w:val="19"/>
          <w:szCs w:val="19"/>
          <w:rFonts w:ascii="Calibri" w:hAnsi="Calibri"/>
          <w:shd w:val="clear" w:color="auto" w:fill="F5FAFD"/>
        </w:rPr>
        <w:t xml:space="preserve">Accenture</w:t>
      </w:r>
      <w:r>
        <w:rPr>
          <w:color w:val="888888"/>
          <w:sz w:val="18"/>
          <w:szCs w:val="18"/>
          <w:rFonts w:ascii="Calibri" w:hAnsi="Calibri"/>
          <w:shd w:val="clear" w:color="auto" w:fill="F5FAFD"/>
        </w:rPr>
        <w:t xml:space="preserve">  |  Nov 2006 - Oct 2009</w:t>
      </w:r>
    </w:p>
    <w:p>
      <w:pPr>
        <w:spacing w:before="0" w:after="20" w:line="276" w:lineRule="auto"/>
      </w:pPr>
      <w:r>
        <w:rPr>
          <w:b/>
          <w:i/>
          <w:color w:val="0D6E8A"/>
          <w:sz w:val="19"/>
          <w:szCs w:val="19"/>
          <w:rFonts w:ascii="Calibri" w:hAnsi="Calibri"/>
        </w:rPr>
        <w:t xml:space="preserve">Software Engineer</w:t>
      </w:r>
    </w:p>
    <w:p>
      <w:pPr>
        <w:spacing w:before="0" w:after="60" w:line="276" w:lineRule="auto"/>
      </w:pPr>
      <w:r>
        <w:rPr>
          <w:color w:val="444444"/>
          <w:sz w:val="19"/>
          <w:szCs w:val="19"/>
          <w:rFonts w:ascii="Calibri" w:hAnsi="Calibri"/>
        </w:rPr>
        <w:t xml:space="preserve">Started as a QA Engineer and progressively contributed to product and delivery, built user stories, supported product definition and process standardization across Banking, Insurance and Healthcare domain.</w:t>
      </w:r>
    </w:p>
    <w:p>
      <w:pPr>
        <w:shd w:val="clear" w:color="auto" w:fill="FFFFFF"/>
        <w:spacing w:before="80" w:after="40" w:line="276" w:lineRule="auto"/>
      </w:pPr>
      <w:r>
        <w:rPr>
          <w:b/>
          <w:color w:val="1A3557"/>
          <w:sz w:val="20"/>
          <w:szCs w:val="20"/>
          <w:rFonts w:ascii="Calibri" w:hAnsi="Calibri"/>
          <w:shd w:val="clear" w:color="auto" w:fill="FFFFFF"/>
        </w:rPr>
        <w:t xml:space="preserve">EDUCATION AND CERTIFICATIONS</w:t>
      </w:r>
    </w:p>
    <w:p>
      <w:pPr>
        <w:spacing w:before="0" w:after="30" w:line="276" w:lineRule="auto"/>
      </w:pPr>
      <w:r>
        <w:rPr>
          <w:b/>
          <w:color w:val="1A1A1A"/>
          <w:sz w:val="19"/>
          <w:szCs w:val="19"/>
          <w:rFonts w:ascii="Calibri" w:hAnsi="Calibri"/>
        </w:rPr>
        <w:t xml:space="preserve">Executive Global Management Programme</w:t>
      </w:r>
      <w:r>
        <w:rPr>
          <w:color w:val="444444"/>
          <w:sz w:val="19"/>
          <w:szCs w:val="19"/>
          <w:rFonts w:ascii="Calibri" w:hAnsi="Calibri"/>
        </w:rPr>
        <w:t xml:space="preserve">  -  IIM Calcutta  |  2014 - 2016</w:t>
      </w:r>
    </w:p>
    <w:p>
      <w:pPr>
        <w:spacing w:before="0" w:after="30" w:line="276" w:lineRule="auto"/>
      </w:pPr>
      <w:r>
        <w:rPr>
          <w:b/>
          <w:color w:val="1A1A1A"/>
          <w:sz w:val="19"/>
          <w:szCs w:val="19"/>
          <w:rFonts w:ascii="Calibri" w:hAnsi="Calibri"/>
        </w:rPr>
        <w:t xml:space="preserve">Bachelor of Engineering</w:t>
      </w:r>
      <w:r>
        <w:rPr>
          <w:color w:val="444444"/>
          <w:sz w:val="19"/>
          <w:szCs w:val="19"/>
          <w:rFonts w:ascii="Calibri" w:hAnsi="Calibri"/>
        </w:rPr>
        <w:t xml:space="preserve">  -  Visvesvaraya Technological University  |  2002 - 2006</w:t>
      </w:r>
    </w:p>
    <w:p>
      <w:pPr>
        <w:spacing w:before="0" w:after="30" w:line="276" w:lineRule="auto"/>
      </w:pPr>
      <w:r>
        <w:rPr>
          <w:b/>
          <w:color w:val="1A1A1A"/>
          <w:sz w:val="19"/>
          <w:szCs w:val="19"/>
          <w:rFonts w:ascii="Calibri" w:hAnsi="Calibri"/>
        </w:rPr>
        <w:t xml:space="preserve">SAFe 5 Agilist</w:t>
      </w:r>
      <w:r>
        <w:rPr>
          <w:color w:val="444444"/>
          <w:sz w:val="19"/>
          <w:szCs w:val="19"/>
          <w:rFonts w:ascii="Calibri" w:hAnsi="Calibri"/>
        </w:rPr>
        <w:t xml:space="preserve">  -  Scaled Agile Inc.  |  Dec 2022</w:t>
      </w:r>
    </w:p>
    <w:p>
      <w:pPr>
        <w:spacing w:before="0" w:after="30" w:line="276" w:lineRule="auto"/>
      </w:pPr>
      <w:r>
        <w:rPr>
          <w:b/>
          <w:color w:val="1A1A1A"/>
          <w:sz w:val="19"/>
          <w:szCs w:val="19"/>
          <w:rFonts w:ascii="Calibri" w:hAnsi="Calibri"/>
        </w:rPr>
        <w:t xml:space="preserve">Certified Scrum Master (CSM)</w:t>
      </w:r>
      <w:r>
        <w:rPr>
          <w:color w:val="444444"/>
          <w:sz w:val="19"/>
          <w:szCs w:val="19"/>
          <w:rFonts w:ascii="Calibri" w:hAnsi="Calibri"/>
        </w:rPr>
        <w:t xml:space="preserve">  -  Scrum Alliance</w:t>
      </w:r>
    </w:p>
    <w:p>
      <w:r>
        <w:br w:type="page"/>
      </w:r>
    </w:p>
    <w:p>
      <w:pPr>
        <w:shd w:val="clear" w:color="auto" w:fill="EBF4FF"/>
        <w:spacing w:before="80" w:after="40" w:line="276" w:lineRule="auto"/>
      </w:pPr>
      <w:r>
        <w:rPr>
          <w:b/>
          <w:color w:val="1A3557"/>
          <w:sz w:val="20"/>
          <w:szCs w:val="20"/>
          <w:rFonts w:ascii="Calibri" w:hAnsi="Calibri"/>
          <w:shd w:val="clear" w:color="auto" w:fill="EBF4FF"/>
        </w:rPr>
        <w:t xml:space="preserve">CUSTOMER SUCCESS AND NRR GOVERNANCE</w:t>
      </w:r>
    </w:p>
    <w:p>
      <w:pPr>
        <w:spacing w:before="40" w:after="40" w:line="276" w:lineRule="auto"/>
        <w:ind w:left="360"/>
      </w:pPr>
      <w:r>
        <w:rPr>
          <w:color w:val="1A1A1A"/>
          <w:sz w:val="19"/>
          <w:szCs w:val="19"/>
          <w:rFonts w:ascii="Calibri" w:hAnsi="Calibri"/>
        </w:rPr>
        <w:t xml:space="preserve">● </w:t>
      </w:r>
      <w:r>
        <w:rPr>
          <w:b/>
          <w:color w:val="1A1A1A"/>
          <w:sz w:val="19"/>
          <w:szCs w:val="19"/>
          <w:rFonts w:ascii="Calibri" w:hAnsi="Calibri"/>
        </w:rPr>
        <w:t xml:space="preserve">Enterprise Onboarding at Scale</w:t>
      </w:r>
      <w:r>
        <w:rPr>
          <w:color w:val="1A1A1A"/>
          <w:sz w:val="19"/>
          <w:szCs w:val="19"/>
          <w:rFonts w:ascii="Calibri" w:hAnsi="Calibri"/>
        </w:rPr>
        <w:t xml:space="preserve">: </w:t>
      </w:r>
      <w:r>
        <w:rPr>
          <w:color w:val="444444"/>
          <w:sz w:val="19"/>
          <w:szCs w:val="19"/>
          <w:rFonts w:ascii="Calibri" w:hAnsi="Calibri"/>
        </w:rPr>
        <w:t xml:space="preserve">Led onboarding programmes for 30+ BFSI enterprise clients across Fintech and Banking domains, reducing average time-to-value from 14 weeks to 9 weeks through structured implementation playbooks and dedicated success pod assignment. Achieved 95%+ on-time go-live rate consistently across two fiscal years.</w:t>
      </w:r>
    </w:p>
    <w:p>
      <w:pPr>
        <w:spacing w:before="40" w:after="40" w:line="276" w:lineRule="auto"/>
        <w:ind w:left="360"/>
      </w:pPr>
      <w:r>
        <w:rPr>
          <w:color w:val="1A1A1A"/>
          <w:sz w:val="19"/>
          <w:szCs w:val="19"/>
          <w:rFonts w:ascii="Calibri" w:hAnsi="Calibri"/>
        </w:rPr>
        <w:t xml:space="preserve">● </w:t>
      </w:r>
      <w:r>
        <w:rPr>
          <w:b/>
          <w:color w:val="1A1A1A"/>
          <w:sz w:val="19"/>
          <w:szCs w:val="19"/>
          <w:rFonts w:ascii="Calibri" w:hAnsi="Calibri"/>
        </w:rPr>
        <w:t xml:space="preserve">NRR Growth from 88% to 97%</w:t>
      </w:r>
      <w:r>
        <w:rPr>
          <w:color w:val="1A1A1A"/>
          <w:sz w:val="19"/>
          <w:szCs w:val="19"/>
          <w:rFonts w:ascii="Calibri" w:hAnsi="Calibri"/>
        </w:rPr>
        <w:t xml:space="preserve">: </w:t>
      </w:r>
      <w:r>
        <w:rPr>
          <w:color w:val="444444"/>
          <w:sz w:val="19"/>
          <w:szCs w:val="19"/>
          <w:rFonts w:ascii="Calibri" w:hAnsi="Calibri"/>
        </w:rPr>
        <w:t xml:space="preserve">Designed and deployed a proactive customer health scoring framework tracking product adoption, engagement frequency, and commercial risk signals across the full portfolio, enabling early intervention on at-risk accounts. Drove net revenue retention from 88% to 97% within 18 months, contributing $3.2M in protected and expanded ARR.</w:t>
      </w:r>
    </w:p>
    <w:p>
      <w:pPr>
        <w:spacing w:before="40" w:after="40" w:line="276" w:lineRule="auto"/>
        <w:ind w:left="360"/>
      </w:pPr>
      <w:r>
        <w:rPr>
          <w:color w:val="1A1A1A"/>
          <w:sz w:val="19"/>
          <w:szCs w:val="19"/>
          <w:rFonts w:ascii="Calibri" w:hAnsi="Calibri"/>
        </w:rPr>
        <w:t xml:space="preserve">● </w:t>
      </w:r>
      <w:r>
        <w:rPr>
          <w:b/>
          <w:color w:val="1A1A1A"/>
          <w:sz w:val="19"/>
          <w:szCs w:val="19"/>
          <w:rFonts w:ascii="Calibri" w:hAnsi="Calibri"/>
        </w:rPr>
        <w:t xml:space="preserve">Executive QBR and Renewal Readiness</w:t>
      </w:r>
      <w:r>
        <w:rPr>
          <w:color w:val="1A1A1A"/>
          <w:sz w:val="19"/>
          <w:szCs w:val="19"/>
          <w:rFonts w:ascii="Calibri" w:hAnsi="Calibri"/>
        </w:rPr>
        <w:t xml:space="preserve">: </w:t>
      </w:r>
      <w:r>
        <w:rPr>
          <w:color w:val="444444"/>
          <w:sz w:val="19"/>
          <w:szCs w:val="19"/>
          <w:rFonts w:ascii="Calibri" w:hAnsi="Calibri"/>
        </w:rPr>
        <w:t xml:space="preserve">Owned quarterly business review cadence for all Tier-1 accounts, presenting adoption metrics, roadmap alignment, and commercial outcomes directly to CXO stakeholders. Maintained 100% renewal rate on enterprise accounts exceeding $500K ACV and secured three upsell expansions totalling $4.5M.</w:t>
      </w:r>
    </w:p>
    <w:p>
      <w:pPr>
        <w:shd w:val="clear" w:color="auto" w:fill="EBF4FF"/>
        <w:spacing w:before="80" w:after="40" w:line="276" w:lineRule="auto"/>
      </w:pPr>
      <w:r>
        <w:rPr>
          <w:b/>
          <w:color w:val="1A3557"/>
          <w:sz w:val="20"/>
          <w:szCs w:val="20"/>
          <w:rFonts w:ascii="Calibri" w:hAnsi="Calibri"/>
          <w:shd w:val="clear" w:color="auto" w:fill="EBF4FF"/>
        </w:rPr>
        <w:t xml:space="preserve">POST-SALES DELIVERY AND IMPLEMENTATION EXCELLENCE</w:t>
      </w:r>
    </w:p>
    <w:p>
      <w:pPr>
        <w:spacing w:before="40" w:after="40" w:line="276" w:lineRule="auto"/>
        <w:ind w:left="360"/>
      </w:pPr>
      <w:r>
        <w:rPr>
          <w:color w:val="1A1A1A"/>
          <w:sz w:val="19"/>
          <w:szCs w:val="19"/>
          <w:rFonts w:ascii="Calibri" w:hAnsi="Calibri"/>
        </w:rPr>
        <w:t xml:space="preserve">● </w:t>
      </w:r>
      <w:r>
        <w:rPr>
          <w:b/>
          <w:color w:val="1A1A1A"/>
          <w:sz w:val="19"/>
          <w:szCs w:val="19"/>
          <w:rFonts w:ascii="Calibri" w:hAnsi="Calibri"/>
        </w:rPr>
        <w:t xml:space="preserve">Multi-Region Delivery Governance</w:t>
      </w:r>
      <w:r>
        <w:rPr>
          <w:color w:val="1A1A1A"/>
          <w:sz w:val="19"/>
          <w:szCs w:val="19"/>
          <w:rFonts w:ascii="Calibri" w:hAnsi="Calibri"/>
        </w:rPr>
        <w:t xml:space="preserve">: </w:t>
      </w:r>
      <w:r>
        <w:rPr>
          <w:color w:val="444444"/>
          <w:sz w:val="19"/>
          <w:szCs w:val="19"/>
          <w:rFonts w:ascii="Calibri" w:hAnsi="Calibri"/>
        </w:rPr>
        <w:t xml:space="preserve">Governed post-sales delivery operations across India, Southeast Asia, and the Middle East, managing a 40-member customer success and implementation team with clear pod-based ownership per client tier. Reduced escalation frequency by 72% through structured RAID management and weekly delivery health reviews with regional leads.</w:t>
      </w:r>
    </w:p>
    <w:p>
      <w:pPr>
        <w:spacing w:before="40" w:after="40" w:line="276" w:lineRule="auto"/>
        <w:ind w:left="360"/>
      </w:pPr>
      <w:r>
        <w:rPr>
          <w:color w:val="1A1A1A"/>
          <w:sz w:val="19"/>
          <w:szCs w:val="19"/>
          <w:rFonts w:ascii="Calibri" w:hAnsi="Calibri"/>
        </w:rPr>
        <w:t xml:space="preserve">● </w:t>
      </w:r>
      <w:r>
        <w:rPr>
          <w:b/>
          <w:color w:val="1A1A1A"/>
          <w:sz w:val="19"/>
          <w:szCs w:val="19"/>
          <w:rFonts w:ascii="Calibri" w:hAnsi="Calibri"/>
        </w:rPr>
        <w:t xml:space="preserve">SLA Governance and Compliance</w:t>
      </w:r>
      <w:r>
        <w:rPr>
          <w:color w:val="1A1A1A"/>
          <w:sz w:val="19"/>
          <w:szCs w:val="19"/>
          <w:rFonts w:ascii="Calibri" w:hAnsi="Calibri"/>
        </w:rPr>
        <w:t xml:space="preserve">: </w:t>
      </w:r>
      <w:r>
        <w:rPr>
          <w:color w:val="444444"/>
          <w:sz w:val="19"/>
          <w:szCs w:val="19"/>
          <w:rFonts w:ascii="Calibri" w:hAnsi="Calibri"/>
        </w:rPr>
        <w:t xml:space="preserve">Established SLA governance frameworks aligned to client contract commitments, tracking resolution SLAs, implementation milestones, and post-go-live support KPIs through a centralised dashboard visible to both internal leadership and client stakeholders. Achieved 98.5% SLA compliance rate across the portfolio over 24 consecutive months.</w:t>
      </w:r>
    </w:p>
    <w:p>
      <w:pPr>
        <w:spacing w:before="40" w:after="40" w:line="276" w:lineRule="auto"/>
        <w:ind w:left="360"/>
      </w:pPr>
      <w:r>
        <w:rPr>
          <w:color w:val="1A1A1A"/>
          <w:sz w:val="19"/>
          <w:szCs w:val="19"/>
          <w:rFonts w:ascii="Calibri" w:hAnsi="Calibri"/>
        </w:rPr>
        <w:t xml:space="preserve">● </w:t>
      </w:r>
      <w:r>
        <w:rPr>
          <w:b/>
          <w:color w:val="1A1A1A"/>
          <w:sz w:val="19"/>
          <w:szCs w:val="19"/>
          <w:rFonts w:ascii="Calibri" w:hAnsi="Calibri"/>
        </w:rPr>
        <w:t xml:space="preserve">Joint Success Planning</w:t>
      </w:r>
      <w:r>
        <w:rPr>
          <w:color w:val="1A1A1A"/>
          <w:sz w:val="19"/>
          <w:szCs w:val="19"/>
          <w:rFonts w:ascii="Calibri" w:hAnsi="Calibri"/>
        </w:rPr>
        <w:t xml:space="preserve">: </w:t>
      </w:r>
      <w:r>
        <w:rPr>
          <w:color w:val="444444"/>
          <w:sz w:val="19"/>
          <w:szCs w:val="19"/>
          <w:rFonts w:ascii="Calibri" w:hAnsi="Calibri"/>
        </w:rPr>
        <w:t xml:space="preserve">Developed and institutionalised joint success planning methodology across all enterprise accounts, co-creating 90-day and annual success plans with client sponsors that aligned product roadmap adoption to measurable business outcomes. Accelerated feature adoption velocity by 45% and improved CSAT scores from 7.8 to 9.1 within 12 months of rollout.</w:t>
      </w:r>
    </w:p>
    <w:p>
      <w:pPr>
        <w:shd w:val="clear" w:color="auto" w:fill="EBF4FF"/>
        <w:spacing w:before="80" w:after="40" w:line="276" w:lineRule="auto"/>
      </w:pPr>
      <w:r>
        <w:rPr>
          <w:b/>
          <w:color w:val="1A3557"/>
          <w:sz w:val="20"/>
          <w:szCs w:val="20"/>
          <w:rFonts w:ascii="Calibri" w:hAnsi="Calibri"/>
          <w:shd w:val="clear" w:color="auto" w:fill="EBF4FF"/>
        </w:rPr>
        <w:t xml:space="preserve">STAKEHOLDER ENGAGEMENT AND CROSS-FUNCTIONAL LEADERSHIP</w:t>
      </w:r>
    </w:p>
    <w:p>
      <w:pPr>
        <w:spacing w:before="40" w:after="40" w:line="276" w:lineRule="auto"/>
        <w:ind w:left="360"/>
      </w:pPr>
      <w:r>
        <w:rPr>
          <w:color w:val="1A1A1A"/>
          <w:sz w:val="19"/>
          <w:szCs w:val="19"/>
          <w:rFonts w:ascii="Calibri" w:hAnsi="Calibri"/>
        </w:rPr>
        <w:t xml:space="preserve">● </w:t>
      </w:r>
      <w:r>
        <w:rPr>
          <w:b/>
          <w:color w:val="1A1A1A"/>
          <w:sz w:val="19"/>
          <w:szCs w:val="19"/>
          <w:rFonts w:ascii="Calibri" w:hAnsi="Calibri"/>
        </w:rPr>
        <w:t xml:space="preserve">CXO Relationship Management</w:t>
      </w:r>
      <w:r>
        <w:rPr>
          <w:color w:val="1A1A1A"/>
          <w:sz w:val="19"/>
          <w:szCs w:val="19"/>
          <w:rFonts w:ascii="Calibri" w:hAnsi="Calibri"/>
        </w:rPr>
        <w:t xml:space="preserve">: </w:t>
      </w:r>
      <w:r>
        <w:rPr>
          <w:color w:val="444444"/>
          <w:sz w:val="19"/>
          <w:szCs w:val="19"/>
          <w:rFonts w:ascii="Calibri" w:hAnsi="Calibri"/>
        </w:rPr>
        <w:t xml:space="preserve">Governed C-suite engagement across 15+ enterprise client accounts in the Fintech and Financial Services domain, translating business priorities into delivery roadmaps and ensuring leadership visibility on progress, risks, and commercial milestones. Strengthened executive relationships that directly supported three major contract renewals and two upsell opportunities totalling $8M.</w:t>
      </w:r>
    </w:p>
    <w:p>
      <w:pPr>
        <w:spacing w:before="40" w:after="40" w:line="276" w:lineRule="auto"/>
        <w:ind w:left="360"/>
      </w:pPr>
      <w:r>
        <w:rPr>
          <w:color w:val="1A1A1A"/>
          <w:sz w:val="19"/>
          <w:szCs w:val="19"/>
          <w:rFonts w:ascii="Calibri" w:hAnsi="Calibri"/>
        </w:rPr>
        <w:t xml:space="preserve">● </w:t>
      </w:r>
      <w:r>
        <w:rPr>
          <w:b/>
          <w:color w:val="1A1A1A"/>
          <w:sz w:val="19"/>
          <w:szCs w:val="19"/>
          <w:rFonts w:ascii="Calibri" w:hAnsi="Calibri"/>
        </w:rPr>
        <w:t xml:space="preserve">Cross-Functional Programme Boards</w:t>
      </w:r>
      <w:r>
        <w:rPr>
          <w:color w:val="1A1A1A"/>
          <w:sz w:val="19"/>
          <w:szCs w:val="19"/>
          <w:rFonts w:ascii="Calibri" w:hAnsi="Calibri"/>
        </w:rPr>
        <w:t xml:space="preserve">: </w:t>
      </w:r>
      <w:r>
        <w:rPr>
          <w:color w:val="444444"/>
          <w:sz w:val="19"/>
          <w:szCs w:val="19"/>
          <w:rFonts w:ascii="Calibri" w:hAnsi="Calibri"/>
        </w:rPr>
        <w:t xml:space="preserve">Chaired monthly cross-functional programme boards bringing together product, engineering, finance, and commercial teams to align on strategic priorities, resource allocation, and go-to-market timelines. Reduced inter-team dependency conflicts by 50% and accelerated decision-making cycles, enabling faster delivery of business-critical initiatives across multi-region operations.</w:t>
      </w:r>
    </w:p>
    <w:p>
      <w:pPr>
        <w:shd w:val="clear" w:color="auto" w:fill="EBF4FF"/>
        <w:spacing w:before="80" w:after="40" w:line="276" w:lineRule="auto"/>
      </w:pPr>
      <w:r>
        <w:rPr>
          <w:b/>
          <w:color w:val="1A3557"/>
          <w:sz w:val="20"/>
          <w:szCs w:val="20"/>
          <w:rFonts w:ascii="Calibri" w:hAnsi="Calibri"/>
          <w:shd w:val="clear" w:color="auto" w:fill="EBF4FF"/>
        </w:rPr>
        <w:t xml:space="preserve">COMMERCIAL GROWTH AND PORTFOLIO GOVERNANCE</w:t>
      </w:r>
    </w:p>
    <w:p>
      <w:pPr>
        <w:spacing w:before="40" w:after="40" w:line="276" w:lineRule="auto"/>
        <w:ind w:left="360"/>
      </w:pPr>
      <w:r>
        <w:rPr>
          <w:color w:val="1A1A1A"/>
          <w:sz w:val="19"/>
          <w:szCs w:val="19"/>
          <w:rFonts w:ascii="Calibri" w:hAnsi="Calibri"/>
        </w:rPr>
        <w:t xml:space="preserve">● </w:t>
      </w:r>
      <w:r>
        <w:rPr>
          <w:b/>
          <w:color w:val="1A1A1A"/>
          <w:sz w:val="19"/>
          <w:szCs w:val="19"/>
          <w:rFonts w:ascii="Calibri" w:hAnsi="Calibri"/>
        </w:rPr>
        <w:t xml:space="preserve">Portfolio Expansion and Upsell</w:t>
      </w:r>
      <w:r>
        <w:rPr>
          <w:color w:val="1A1A1A"/>
          <w:sz w:val="19"/>
          <w:szCs w:val="19"/>
          <w:rFonts w:ascii="Calibri" w:hAnsi="Calibri"/>
        </w:rPr>
        <w:t xml:space="preserve">: </w:t>
      </w:r>
      <w:r>
        <w:rPr>
          <w:color w:val="444444"/>
          <w:sz w:val="19"/>
          <w:szCs w:val="19"/>
          <w:rFonts w:ascii="Calibri" w:hAnsi="Calibri"/>
        </w:rPr>
        <w:t xml:space="preserve">Identified and progressed upsell and cross-sell opportunities within the existing customer base by mapping product capability gaps to client growth objectives during structured success reviews. Contributed $6.8M in expansion ARR over two years through proactive commercial conversations initiated from within the customer success function.</w:t>
      </w:r>
    </w:p>
    <w:p>
      <w:pPr>
        <w:spacing w:before="40" w:after="40" w:line="276" w:lineRule="auto"/>
        <w:ind w:left="360"/>
      </w:pPr>
      <w:r>
        <w:rPr>
          <w:color w:val="1A1A1A"/>
          <w:sz w:val="19"/>
          <w:szCs w:val="19"/>
          <w:rFonts w:ascii="Calibri" w:hAnsi="Calibri"/>
        </w:rPr>
        <w:t xml:space="preserve">● </w:t>
      </w:r>
      <w:r>
        <w:rPr>
          <w:b/>
          <w:color w:val="1A1A1A"/>
          <w:sz w:val="19"/>
          <w:szCs w:val="19"/>
          <w:rFonts w:ascii="Calibri" w:hAnsi="Calibri"/>
        </w:rPr>
        <w:t xml:space="preserve">Churn Risk Mitigation</w:t>
      </w:r>
      <w:r>
        <w:rPr>
          <w:color w:val="1A1A1A"/>
          <w:sz w:val="19"/>
          <w:szCs w:val="19"/>
          <w:rFonts w:ascii="Calibri" w:hAnsi="Calibri"/>
        </w:rPr>
        <w:t xml:space="preserve">: </w:t>
      </w:r>
      <w:r>
        <w:rPr>
          <w:color w:val="444444"/>
          <w:sz w:val="19"/>
          <w:szCs w:val="19"/>
          <w:rFonts w:ascii="Calibri" w:hAnsi="Calibri"/>
        </w:rPr>
        <w:t xml:space="preserve">Developed a tiered churn risk mitigation playbook used across the CS organisation, categorising accounts by health score, engagement depth, and commercial risk and prescribing intervention actions at each tier. Recovered five at-risk accounts with a combined ACV of $2.4M within a single quarter through targeted executive re-engagement and accelerated resolution programmes.</w:t>
      </w:r>
    </w:p>
    <w:p>
      <w:pPr>
        <w:shd w:val="clear" w:color="auto" w:fill="EBF4FF"/>
        <w:spacing w:before="80" w:after="40" w:line="276" w:lineRule="auto"/>
      </w:pPr>
      <w:r>
        <w:rPr>
          <w:b/>
          <w:color w:val="1A3557"/>
          <w:sz w:val="20"/>
          <w:szCs w:val="20"/>
          <w:rFonts w:ascii="Calibri" w:hAnsi="Calibri"/>
          <w:shd w:val="clear" w:color="auto" w:fill="EBF4FF"/>
        </w:rPr>
        <w:t xml:space="preserve">DELIVERY EXCELLENCE AND OPERATIONAL GOVERNANCE</w:t>
      </w:r>
    </w:p>
    <w:p>
      <w:pPr>
        <w:spacing w:before="40" w:after="40" w:line="276" w:lineRule="auto"/>
        <w:ind w:left="360"/>
      </w:pPr>
      <w:r>
        <w:rPr>
          <w:color w:val="1A1A1A"/>
          <w:sz w:val="19"/>
          <w:szCs w:val="19"/>
          <w:rFonts w:ascii="Calibri" w:hAnsi="Calibri"/>
        </w:rPr>
        <w:t xml:space="preserve">● </w:t>
      </w:r>
      <w:r>
        <w:rPr>
          <w:b/>
          <w:color w:val="1A1A1A"/>
          <w:sz w:val="19"/>
          <w:szCs w:val="19"/>
          <w:rFonts w:ascii="Calibri" w:hAnsi="Calibri"/>
        </w:rPr>
        <w:t xml:space="preserve">Global Delivery Operating Model</w:t>
      </w:r>
      <w:r>
        <w:rPr>
          <w:color w:val="1A1A1A"/>
          <w:sz w:val="19"/>
          <w:szCs w:val="19"/>
          <w:rFonts w:ascii="Calibri" w:hAnsi="Calibri"/>
        </w:rPr>
        <w:t xml:space="preserve">: </w:t>
      </w:r>
      <w:r>
        <w:rPr>
          <w:color w:val="444444"/>
          <w:sz w:val="19"/>
          <w:szCs w:val="19"/>
          <w:rFonts w:ascii="Calibri" w:hAnsi="Calibri"/>
        </w:rPr>
        <w:t xml:space="preserve">Designed and implemented a follow-the-sun delivery operating model spanning India, US, and UK time zones, enabling 24-hour coverage for critical client environments and reducing average incident resolution time from 18 hours to 6 hours. Standardised delivery rituals, RAID logs, and steering committee reporting formats across all client accounts, improving governance maturity scores from 3.2 to 4.7 out of 5 in annual client satisfaction assessments.</w:t>
      </w:r>
    </w:p>
    <w:p>
      <w:pPr>
        <w:spacing w:before="40" w:after="40" w:line="276" w:lineRule="auto"/>
        <w:ind w:left="360"/>
      </w:pPr>
      <w:r>
        <w:rPr>
          <w:color w:val="1A1A1A"/>
          <w:sz w:val="19"/>
          <w:szCs w:val="19"/>
          <w:rFonts w:ascii="Calibri" w:hAnsi="Calibri"/>
        </w:rPr>
        <w:t xml:space="preserve">● </w:t>
      </w:r>
      <w:r>
        <w:rPr>
          <w:b/>
          <w:color w:val="1A1A1A"/>
          <w:sz w:val="19"/>
          <w:szCs w:val="19"/>
          <w:rFonts w:ascii="Calibri" w:hAnsi="Calibri"/>
        </w:rPr>
        <w:t xml:space="preserve">AI-Enabled Operational Efficiency</w:t>
      </w:r>
      <w:r>
        <w:rPr>
          <w:color w:val="1A1A1A"/>
          <w:sz w:val="19"/>
          <w:szCs w:val="19"/>
          <w:rFonts w:ascii="Calibri" w:hAnsi="Calibri"/>
        </w:rPr>
        <w:t xml:space="preserve">: </w:t>
      </w:r>
      <w:r>
        <w:rPr>
          <w:color w:val="444444"/>
          <w:sz w:val="19"/>
          <w:szCs w:val="19"/>
          <w:rFonts w:ascii="Calibri" w:hAnsi="Calibri"/>
        </w:rPr>
        <w:t xml:space="preserve">Championed adoption of AI-assisted tooling across the customer success function, deploying automated health score dashboards, sentiment analysis on support tickets, and predictive renewal risk models that reduced manual reporting effort by 40% and freed CS managers to focus on high-value client engagement. Reduced average case resolution time by 28% and improved first-contact resolution rate from 61% to 84% within 9 months of rollout.</w:t>
      </w:r>
    </w:p>
    <w:sectPr w:rsidR="009F199E"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0856705">
    <w:abstractNumId w:val="8"/>
  </w:num>
  <w:num w:numId="2" w16cid:durableId="1573807173">
    <w:abstractNumId w:val="6"/>
  </w:num>
  <w:num w:numId="3" w16cid:durableId="837430568">
    <w:abstractNumId w:val="5"/>
  </w:num>
  <w:num w:numId="4" w16cid:durableId="1274825780">
    <w:abstractNumId w:val="4"/>
  </w:num>
  <w:num w:numId="5" w16cid:durableId="1048913404">
    <w:abstractNumId w:val="7"/>
  </w:num>
  <w:num w:numId="6" w16cid:durableId="1853833518">
    <w:abstractNumId w:val="3"/>
  </w:num>
  <w:num w:numId="7" w16cid:durableId="2088189927">
    <w:abstractNumId w:val="2"/>
  </w:num>
  <w:num w:numId="8" w16cid:durableId="1841266463">
    <w:abstractNumId w:val="1"/>
  </w:num>
  <w:num w:numId="9" w16cid:durableId="202713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592"/>
    <w:rsid w:val="000211E2"/>
    <w:rsid w:val="00034616"/>
    <w:rsid w:val="0006063C"/>
    <w:rsid w:val="0015074B"/>
    <w:rsid w:val="001F7718"/>
    <w:rsid w:val="00240873"/>
    <w:rsid w:val="0029639D"/>
    <w:rsid w:val="00326F90"/>
    <w:rsid w:val="006A239F"/>
    <w:rsid w:val="008B2D75"/>
    <w:rsid w:val="009D5F24"/>
    <w:rsid w:val="009F199E"/>
    <w:rsid w:val="00A6502D"/>
    <w:rsid w:val="00A82ED9"/>
    <w:rsid w:val="00AA1D8D"/>
    <w:rsid w:val="00B051E0"/>
    <w:rsid w:val="00B47730"/>
    <w:rsid w:val="00BE5129"/>
    <w:rsid w:val="00BF4643"/>
    <w:rsid w:val="00C21DD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4528AE"/>
  <w14:defaultImageDpi w14:val="300"/>
  <w15:docId w15:val="{9C148B9D-B96E-47AF-BA45-F6C5F0BB0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1212</Words>
  <Characters>6911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ksunilmech29@gmail.com</cp:lastModifiedBy>
  <cp:revision>15</cp:revision>
  <dcterms:created xsi:type="dcterms:W3CDTF">2026-06-25T10:44:00Z</dcterms:created>
  <dcterms:modified xsi:type="dcterms:W3CDTF">2026-06-25T10:48:00Z</dcterms:modified>
  <cp:category/>
</cp:coreProperties>
</file>