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D091" w14:textId="77777777" w:rsidR="009E1CF4" w:rsidRPr="009E1CF4" w:rsidRDefault="009E1CF4" w:rsidP="009E1CF4">
      <w:pPr>
        <w:rPr>
          <w:lang w:val="en-US"/>
        </w:rPr>
      </w:pPr>
      <w:proofErr w:type="spellStart"/>
      <w:r w:rsidRPr="009E1CF4">
        <w:rPr>
          <w:lang w:val="en-US"/>
        </w:rPr>
        <w:t>Qigui</w:t>
      </w:r>
      <w:proofErr w:type="spellEnd"/>
      <w:r w:rsidRPr="009E1CF4">
        <w:rPr>
          <w:lang w:val="en-US"/>
        </w:rPr>
        <w:t xml:space="preserve"> Yan yanqigui@126.com</w:t>
      </w:r>
    </w:p>
    <w:p w14:paraId="783E38E4" w14:textId="77777777" w:rsidR="009E1CF4" w:rsidRPr="009E1CF4" w:rsidRDefault="009E1CF4" w:rsidP="009E1CF4">
      <w:pPr>
        <w:rPr>
          <w:lang w:val="en-US"/>
        </w:rPr>
      </w:pPr>
      <w:r w:rsidRPr="009E1CF4">
        <w:rPr>
          <w:lang w:val="en-US"/>
        </w:rPr>
        <w:t xml:space="preserve">  College of Veterinary Medicine, Sichuan Agricultural</w:t>
      </w:r>
    </w:p>
    <w:p w14:paraId="06198A87" w14:textId="77777777" w:rsidR="009E1CF4" w:rsidRPr="009E1CF4" w:rsidRDefault="009E1CF4" w:rsidP="009E1CF4">
      <w:pPr>
        <w:rPr>
          <w:lang w:val="en-US"/>
        </w:rPr>
      </w:pPr>
      <w:r w:rsidRPr="009E1CF4">
        <w:rPr>
          <w:lang w:val="en-US"/>
        </w:rPr>
        <w:t xml:space="preserve"> University, Chengdu 611130, China College of Food Science, Sichuan Agricultural University, </w:t>
      </w:r>
      <w:proofErr w:type="spellStart"/>
      <w:r w:rsidRPr="009E1CF4">
        <w:rPr>
          <w:lang w:val="en-US"/>
        </w:rPr>
        <w:t>Yaan</w:t>
      </w:r>
      <w:proofErr w:type="spellEnd"/>
      <w:r w:rsidRPr="009E1CF4">
        <w:rPr>
          <w:lang w:val="en-US"/>
        </w:rPr>
        <w:t>, China</w:t>
      </w:r>
    </w:p>
    <w:p w14:paraId="1CE40EB9" w14:textId="77777777" w:rsidR="009E1CF4" w:rsidRPr="009E1CF4" w:rsidRDefault="009E1CF4" w:rsidP="009E1CF4">
      <w:pPr>
        <w:rPr>
          <w:lang w:val="en-US"/>
        </w:rPr>
      </w:pPr>
      <w:r w:rsidRPr="009E1CF4">
        <w:rPr>
          <w:lang w:val="en-US"/>
        </w:rPr>
        <w:t xml:space="preserve"> Chengdu Research Base of Giant Panda Breeding, Chengdu,</w:t>
      </w:r>
    </w:p>
    <w:p w14:paraId="74511828" w14:textId="1E00F169" w:rsidR="00175DB0" w:rsidRDefault="009E1CF4" w:rsidP="009E1CF4">
      <w:r w:rsidRPr="009E1CF4">
        <w:rPr>
          <w:lang w:val="en-US"/>
        </w:rPr>
        <w:t xml:space="preserve"> </w:t>
      </w:r>
      <w:r>
        <w:t>China</w:t>
      </w:r>
    </w:p>
    <w:p w14:paraId="38AA542D" w14:textId="77777777" w:rsidR="009E1CF4" w:rsidRDefault="009E1CF4" w:rsidP="009E1CF4">
      <w:r>
        <w:t xml:space="preserve">Аннотация Новый штамм бактерий, обозначенный как CF21T, был выделен из воздуха в помещениях </w:t>
      </w:r>
      <w:proofErr w:type="spellStart"/>
      <w:r>
        <w:t>Ailuropoda</w:t>
      </w:r>
      <w:proofErr w:type="spellEnd"/>
      <w:r>
        <w:t xml:space="preserve"> </w:t>
      </w:r>
      <w:proofErr w:type="spellStart"/>
      <w:r>
        <w:t>melanoleuca</w:t>
      </w:r>
      <w:proofErr w:type="spellEnd"/>
      <w:r>
        <w:t xml:space="preserve"> в Китае. Клетки были грамотрицательными, аэробными, неподвижными и имели форму палочек. Штамм CF21T рос при 10–40 C (оптимум 28–30 C) и </w:t>
      </w:r>
      <w:proofErr w:type="spellStart"/>
      <w:r>
        <w:t>pH</w:t>
      </w:r>
      <w:proofErr w:type="spellEnd"/>
      <w:r>
        <w:t xml:space="preserve"> 6,0–9,0 (оптимум </w:t>
      </w:r>
      <w:proofErr w:type="spellStart"/>
      <w:r>
        <w:t>pH</w:t>
      </w:r>
      <w:proofErr w:type="spellEnd"/>
      <w:r>
        <w:t xml:space="preserve"> 7,0–8,0)</w:t>
      </w:r>
    </w:p>
    <w:p w14:paraId="445125CC" w14:textId="14455CB9" w:rsidR="009E1CF4" w:rsidRDefault="009E1CF4" w:rsidP="009E1CF4">
      <w:r>
        <w:t xml:space="preserve">и в присутствии концентраций </w:t>
      </w:r>
      <w:proofErr w:type="spellStart"/>
      <w:r>
        <w:t>NaCl</w:t>
      </w:r>
      <w:proofErr w:type="spellEnd"/>
      <w:r>
        <w:t xml:space="preserve"> в диапазоне от 0,0 % (</w:t>
      </w:r>
      <w:proofErr w:type="spellStart"/>
      <w:r>
        <w:t>мас</w:t>
      </w:r>
      <w:proofErr w:type="spellEnd"/>
      <w:r>
        <w:t xml:space="preserve">./об.) до 2,0 % (оптимум 0,0–1,0 %).16Анализ последовательности гена </w:t>
      </w:r>
      <w:proofErr w:type="spellStart"/>
      <w:r>
        <w:t>SrRNA</w:t>
      </w:r>
      <w:proofErr w:type="spellEnd"/>
      <w:r>
        <w:t xml:space="preserve"> показал, что штамм CF21T принадлежит к роду </w:t>
      </w:r>
      <w:proofErr w:type="spellStart"/>
      <w:r>
        <w:t>Lysobacter</w:t>
      </w:r>
      <w:proofErr w:type="spellEnd"/>
      <w:r>
        <w:t xml:space="preserve"> в классе </w:t>
      </w:r>
      <w:proofErr w:type="spellStart"/>
      <w:r>
        <w:t>Gammaproteobacteria</w:t>
      </w:r>
      <w:proofErr w:type="spellEnd"/>
      <w:r>
        <w:t xml:space="preserve"> и наиболее тесно связан с </w:t>
      </w:r>
      <w:proofErr w:type="spellStart"/>
      <w:r>
        <w:t>Luteimonas</w:t>
      </w:r>
      <w:proofErr w:type="spellEnd"/>
      <w:r>
        <w:t xml:space="preserve"> </w:t>
      </w:r>
      <w:proofErr w:type="spellStart"/>
      <w:r>
        <w:t>dalianensi</w:t>
      </w:r>
      <w:proofErr w:type="spellEnd"/>
      <w:r>
        <w:t xml:space="preserve"> OB44-3T (95,8 % сходства),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ruishenii</w:t>
      </w:r>
      <w:proofErr w:type="spellEnd"/>
      <w:r>
        <w:t xml:space="preserve"> CTN-1T (95,1 %),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spongiicola</w:t>
      </w:r>
      <w:proofErr w:type="spellEnd"/>
      <w:r>
        <w:t xml:space="preserve"> KMM329T (94,8 %) и </w:t>
      </w:r>
      <w:proofErr w:type="spellStart"/>
      <w:r>
        <w:t>Lysobactter</w:t>
      </w:r>
      <w:proofErr w:type="spellEnd"/>
      <w:r>
        <w:t xml:space="preserve"> </w:t>
      </w:r>
      <w:proofErr w:type="spellStart"/>
      <w:r>
        <w:t>daejeonensis</w:t>
      </w:r>
      <w:proofErr w:type="spellEnd"/>
      <w:r>
        <w:t xml:space="preserve"> GH1-9T (94,6 %). Содержание геномной G?CDNA составило 68,72 мол.%. Основными жирными кислотами клеток CF21T были изо-C16:0 (30,22 %), изо-C15:0 (25,70 %) и сумма 10-метил C16:0 и/или изо-C17:1x9c (21,94 %). Видным </w:t>
      </w:r>
      <w:proofErr w:type="spellStart"/>
      <w:r>
        <w:t>изопреноидным</w:t>
      </w:r>
      <w:proofErr w:type="spellEnd"/>
      <w:r>
        <w:t xml:space="preserve"> хиноном был убихинон 8 (Q-8). Первичные полярные липиды включали </w:t>
      </w:r>
      <w:proofErr w:type="spellStart"/>
      <w:r>
        <w:t>дифосфатидилглицерин</w:t>
      </w:r>
      <w:proofErr w:type="spellEnd"/>
      <w:r>
        <w:t xml:space="preserve">, </w:t>
      </w:r>
      <w:proofErr w:type="spellStart"/>
      <w:r>
        <w:t>фосфатидилглицерин</w:t>
      </w:r>
      <w:proofErr w:type="spellEnd"/>
      <w:r>
        <w:t xml:space="preserve">, </w:t>
      </w:r>
      <w:proofErr w:type="spellStart"/>
      <w:r>
        <w:t>фосфатидилэтаноламин</w:t>
      </w:r>
      <w:proofErr w:type="spellEnd"/>
      <w:r>
        <w:t xml:space="preserve"> и неизвестный фосфолипид. Родство последовательностей ДНК между штаммом CF21T и L. </w:t>
      </w:r>
      <w:proofErr w:type="spellStart"/>
      <w:r>
        <w:t>ruishenii</w:t>
      </w:r>
      <w:proofErr w:type="spellEnd"/>
      <w:r>
        <w:t xml:space="preserve"> CTN-1T составило 56 %, что явно ниже порогового значения 70 % для разграничения прокариотических видов. Эти анализы показали, что CF21T является новым</w:t>
      </w:r>
    </w:p>
    <w:p w14:paraId="7823E6D6" w14:textId="77777777" w:rsidR="009E1CF4" w:rsidRDefault="009E1CF4" w:rsidP="009E1CF4">
      <w:r>
        <w:t xml:space="preserve">членом рода </w:t>
      </w:r>
      <w:proofErr w:type="spellStart"/>
      <w:r>
        <w:t>Lysobacter</w:t>
      </w:r>
      <w:proofErr w:type="spellEnd"/>
      <w:r>
        <w:t xml:space="preserve">, для которого предложено название </w:t>
      </w:r>
      <w:proofErr w:type="spellStart"/>
      <w:r w:rsidRPr="00162AF2">
        <w:rPr>
          <w:b/>
          <w:bCs/>
        </w:rPr>
        <w:t>Lysobacter</w:t>
      </w:r>
      <w:proofErr w:type="spellEnd"/>
      <w:r w:rsidRPr="00162AF2">
        <w:rPr>
          <w:b/>
          <w:bCs/>
        </w:rPr>
        <w:t xml:space="preserve"> </w:t>
      </w:r>
      <w:proofErr w:type="spellStart"/>
      <w:r w:rsidRPr="00162AF2">
        <w:rPr>
          <w:b/>
          <w:bCs/>
        </w:rPr>
        <w:t>chengduensis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. </w:t>
      </w:r>
      <w:proofErr w:type="spellStart"/>
      <w:r>
        <w:t>nov</w:t>
      </w:r>
      <w:proofErr w:type="spellEnd"/>
      <w:r>
        <w:t>. Типовой штамм — CF21T (=CGMCC1.15145T = DSM 100306T).</w:t>
      </w:r>
    </w:p>
    <w:p w14:paraId="145B96E2" w14:textId="77777777" w:rsidR="009E1CF4" w:rsidRDefault="009E1CF4" w:rsidP="009E1CF4">
      <w:r>
        <w:t>Введение</w:t>
      </w:r>
    </w:p>
    <w:p w14:paraId="18B80863" w14:textId="77777777" w:rsidR="009E1CF4" w:rsidRDefault="009E1CF4" w:rsidP="009E1CF4">
      <w:r>
        <w:t xml:space="preserve">Род </w:t>
      </w:r>
      <w:proofErr w:type="spellStart"/>
      <w:r>
        <w:t>Lysobacter</w:t>
      </w:r>
      <w:proofErr w:type="spellEnd"/>
      <w:r>
        <w:t xml:space="preserve"> был впервые предложен Кристенсеном и Куком [6] и отнесен к семейству </w:t>
      </w:r>
      <w:proofErr w:type="spellStart"/>
      <w:r>
        <w:t>Lysobacteraceae</w:t>
      </w:r>
      <w:proofErr w:type="spellEnd"/>
      <w:r>
        <w:t xml:space="preserve">. Несколько лет спустя он был </w:t>
      </w:r>
      <w:proofErr w:type="spellStart"/>
      <w:r>
        <w:t>переклассифицирован</w:t>
      </w:r>
      <w:proofErr w:type="spellEnd"/>
      <w:r>
        <w:t xml:space="preserve"> в семейство </w:t>
      </w:r>
      <w:proofErr w:type="spellStart"/>
      <w:r>
        <w:t>Xanthomonadaceae</w:t>
      </w:r>
      <w:proofErr w:type="spellEnd"/>
      <w:r>
        <w:t xml:space="preserve">, которое относилось к классу </w:t>
      </w:r>
      <w:proofErr w:type="spellStart"/>
      <w:r>
        <w:t>Gammaproteobacteria</w:t>
      </w:r>
      <w:proofErr w:type="spellEnd"/>
      <w:r>
        <w:t xml:space="preserve"> [23]. Виды рода </w:t>
      </w:r>
      <w:proofErr w:type="spellStart"/>
      <w:r>
        <w:t>Lysobacter</w:t>
      </w:r>
      <w:proofErr w:type="spellEnd"/>
      <w:r>
        <w:t>, как правило, являются грамотрицательными, аэробными и неплодоносящими, у них отсутствуют жгутики</w:t>
      </w:r>
    </w:p>
    <w:p w14:paraId="2539FD5F" w14:textId="4ADD5693" w:rsidR="009E1CF4" w:rsidRDefault="009E1CF4" w:rsidP="009E1CF4">
      <w:r>
        <w:t xml:space="preserve">или скользящие бактерии. В настоящее время род </w:t>
      </w:r>
      <w:proofErr w:type="spellStart"/>
      <w:r>
        <w:t>Lysobacter</w:t>
      </w:r>
      <w:proofErr w:type="spellEnd"/>
      <w:r>
        <w:t xml:space="preserve"> содержит следующие 29 видов (http://www.bacterio.cict.fr/). Эти виды </w:t>
      </w:r>
      <w:proofErr w:type="spellStart"/>
      <w:r>
        <w:t>Lysobacter</w:t>
      </w:r>
      <w:proofErr w:type="spellEnd"/>
      <w:r>
        <w:t xml:space="preserve"> обычно встречаются в различных географических и экологических средах обитания и были выделены из почвы, воды и ила, особенно сельскохозяйственных почв [2, 17, 22, 25]. Однако, насколько нам известно, ни один представитель рода </w:t>
      </w:r>
      <w:proofErr w:type="spellStart"/>
      <w:r>
        <w:t>Lysobacter</w:t>
      </w:r>
      <w:proofErr w:type="spellEnd"/>
      <w:r>
        <w:t xml:space="preserve"> еще не был получен из воздуха. Типичные характеристики членов рода </w:t>
      </w:r>
      <w:proofErr w:type="spellStart"/>
      <w:r>
        <w:t>Lysobacter</w:t>
      </w:r>
      <w:proofErr w:type="spellEnd"/>
      <w:r>
        <w:t xml:space="preserve"> демонстрируют высокое содержание геномной ДНК G?C (61,7–70,1 мол.%), преобладание </w:t>
      </w:r>
      <w:proofErr w:type="spellStart"/>
      <w:r>
        <w:t>изоразветвленных</w:t>
      </w:r>
      <w:proofErr w:type="spellEnd"/>
      <w:r>
        <w:t xml:space="preserve"> жирных кислот и убихинона 8 (Q-8) в качестве основного дыхательного хинина [11, 18, 31, 32]. Более того, некоторые члены этого рода показали сильные протеолитические способности и могли </w:t>
      </w:r>
      <w:proofErr w:type="spellStart"/>
      <w:r>
        <w:t>лизировать</w:t>
      </w:r>
      <w:proofErr w:type="spellEnd"/>
      <w:r>
        <w:t xml:space="preserve"> многие типы бактерий, грибов, дрожжей, водорослей и нематод, что предполагает большой потенциал для использования в разработке агентов биологического контроля [14, 21].</w:t>
      </w:r>
    </w:p>
    <w:p w14:paraId="6C420B3D" w14:textId="77777777" w:rsidR="009E1CF4" w:rsidRDefault="009E1CF4" w:rsidP="009E1CF4">
      <w:r>
        <w:t>В данной работе мы исследовали культивируемые бактериальные сообщества в воздухе вольеров гигантской панды (</w:t>
      </w:r>
      <w:proofErr w:type="spellStart"/>
      <w:r>
        <w:t>Ailuropoda</w:t>
      </w:r>
      <w:proofErr w:type="spellEnd"/>
      <w:r>
        <w:t xml:space="preserve"> </w:t>
      </w:r>
      <w:proofErr w:type="spellStart"/>
      <w:r>
        <w:t>melanoleuca</w:t>
      </w:r>
      <w:proofErr w:type="spellEnd"/>
      <w:r>
        <w:t xml:space="preserve">) на исследовательской базе по разведению гигантской панды в Чэнду в провинции Сычуань, расположенной в южной и 16S рРНК последовательности, штамм, обозначенный как CF21T, был далее охарактеризован с использованием полифазного </w:t>
      </w:r>
      <w:r>
        <w:lastRenderedPageBreak/>
        <w:t xml:space="preserve">таксономического подхода. Все эти тесты проводились вместе с наиболее близкородственными типовыми штаммами, L. </w:t>
      </w:r>
      <w:proofErr w:type="spellStart"/>
      <w:r>
        <w:t>ruishenii</w:t>
      </w:r>
      <w:proofErr w:type="spellEnd"/>
      <w:r>
        <w:t xml:space="preserve"> CTN-1T и L. </w:t>
      </w:r>
      <w:proofErr w:type="spellStart"/>
      <w:r>
        <w:t>daejeonensis</w:t>
      </w:r>
      <w:proofErr w:type="spellEnd"/>
      <w:r>
        <w:t xml:space="preserve"> GH1-9T, которые были получены из Ключевой лаборатории микробиологической инженерии сельского хозяйства в </w:t>
      </w:r>
      <w:proofErr w:type="spellStart"/>
      <w:r>
        <w:t>Нанкинском</w:t>
      </w:r>
      <w:proofErr w:type="spellEnd"/>
      <w:r>
        <w:t xml:space="preserve"> сельскохозяйственном университете (Цзянсу, КНР). Полученные нами данные указывают на то, что штамм CF21T следует классифицировать в роде </w:t>
      </w:r>
      <w:proofErr w:type="spellStart"/>
      <w:r>
        <w:t>Lysobacter</w:t>
      </w:r>
      <w:proofErr w:type="spellEnd"/>
      <w:r>
        <w:t xml:space="preserve"> как типовой штамм нового вида. Материалы и методы</w:t>
      </w:r>
    </w:p>
    <w:p w14:paraId="099F5C31" w14:textId="64234D6C" w:rsidR="009E1CF4" w:rsidRDefault="009E1CF4" w:rsidP="009E1CF4">
      <w:r>
        <w:t xml:space="preserve">Условия культивирования и фенотипические характеристики Штамм CF21T был выделен на </w:t>
      </w:r>
      <w:proofErr w:type="spellStart"/>
      <w:r>
        <w:t>триптическом</w:t>
      </w:r>
      <w:proofErr w:type="spellEnd"/>
      <w:r>
        <w:t xml:space="preserve"> соевом агаре (TSA, </w:t>
      </w:r>
      <w:proofErr w:type="spellStart"/>
      <w:r>
        <w:t>Difco</w:t>
      </w:r>
      <w:proofErr w:type="spellEnd"/>
      <w:r>
        <w:t xml:space="preserve">) из культивируемого бактериального сообщества, полученного из воздуха вольера </w:t>
      </w:r>
      <w:proofErr w:type="spellStart"/>
      <w:r>
        <w:t>Ailuropoda</w:t>
      </w:r>
      <w:proofErr w:type="spellEnd"/>
      <w:r>
        <w:t xml:space="preserve"> </w:t>
      </w:r>
      <w:proofErr w:type="spellStart"/>
      <w:r>
        <w:t>melanoleuca</w:t>
      </w:r>
      <w:proofErr w:type="spellEnd"/>
      <w:r>
        <w:t xml:space="preserve">. Для дальнейшего анализа морфологических и физиологических характеристик штамма CF21T был выращен на среде агара </w:t>
      </w:r>
      <w:proofErr w:type="spellStart"/>
      <w:r>
        <w:t>Luria</w:t>
      </w:r>
      <w:proofErr w:type="spellEnd"/>
      <w:r>
        <w:t xml:space="preserve"> </w:t>
      </w:r>
      <w:proofErr w:type="spellStart"/>
      <w:r>
        <w:t>Bertani</w:t>
      </w:r>
      <w:proofErr w:type="spellEnd"/>
      <w:r>
        <w:t xml:space="preserve"> (LB) (</w:t>
      </w:r>
      <w:proofErr w:type="spellStart"/>
      <w:r>
        <w:t>Difco</w:t>
      </w:r>
      <w:proofErr w:type="spellEnd"/>
      <w:r>
        <w:t xml:space="preserve">) при 30 °C. Клеточную морфологию наблюдали с помощью световой микроскопии (Olympus; 61000) и просвечивающей электронной микроскопии (H-600-A2; Hitachi) с использованием клеток из экспоненциально растущей культуры. Окрашивание по </w:t>
      </w:r>
      <w:proofErr w:type="spellStart"/>
      <w:r>
        <w:t>Граму</w:t>
      </w:r>
      <w:proofErr w:type="spellEnd"/>
      <w:r>
        <w:t xml:space="preserve"> проводили с использованием </w:t>
      </w:r>
      <w:proofErr w:type="spellStart"/>
      <w:r>
        <w:t>неокрашивающего</w:t>
      </w:r>
      <w:proofErr w:type="spellEnd"/>
      <w:r w:rsidR="00162AF2">
        <w:t xml:space="preserve"> </w:t>
      </w:r>
      <w:r>
        <w:t xml:space="preserve">метода, описанного Баком [3]. Тестирование подвижности проводили с использованием бульона LB с 0,3 % агара. Рост при различных температурах (4, 10, 15, 20, 25, 28, 30, 37, 40, 45 и 50 °C) и в различных диапазонах </w:t>
      </w:r>
      <w:proofErr w:type="spellStart"/>
      <w:r>
        <w:t>pH</w:t>
      </w:r>
      <w:proofErr w:type="spellEnd"/>
      <w:r>
        <w:t xml:space="preserve"> (2,0–10,0, с интервалом в 1,0 единицу </w:t>
      </w:r>
      <w:proofErr w:type="spellStart"/>
      <w:r>
        <w:t>pH</w:t>
      </w:r>
      <w:proofErr w:type="spellEnd"/>
      <w:r>
        <w:t xml:space="preserve">) контролировали в течение 7-дневного периода инкубации в бульоне LB. Устойчивость к </w:t>
      </w:r>
      <w:proofErr w:type="spellStart"/>
      <w:r>
        <w:t>NaCl</w:t>
      </w:r>
      <w:proofErr w:type="spellEnd"/>
      <w:r>
        <w:t xml:space="preserve"> проверяли в бульоне со средой LN (LB без </w:t>
      </w:r>
      <w:proofErr w:type="spellStart"/>
      <w:r>
        <w:t>NaCl</w:t>
      </w:r>
      <w:proofErr w:type="spellEnd"/>
      <w:r>
        <w:t xml:space="preserve">), дополненном 0, 0,5 и 1–5 % (с интервалом в 1 %; вес/объем) </w:t>
      </w:r>
      <w:proofErr w:type="spellStart"/>
      <w:r>
        <w:t>NaCl</w:t>
      </w:r>
      <w:proofErr w:type="spellEnd"/>
      <w:r>
        <w:t xml:space="preserve"> в течение 7-дневного периода инкубации. Рост в анаэробных условиях исследовали путем инкубации в анаэробной камере (Mitsubishi Gas Chemical) при 30 °C в течение 7 дней на агаре LB. Биохимические характеристики и тест на микробную чувствительность</w:t>
      </w:r>
    </w:p>
    <w:p w14:paraId="284F1607" w14:textId="686DEE75" w:rsidR="009E1CF4" w:rsidRDefault="009E1CF4" w:rsidP="009E1CF4">
      <w:r>
        <w:t>Физиологические свойства штамма CF21T определялись с использованием автоматизированной микробиологической системы BD PhoenixTM-100 (</w:t>
      </w:r>
      <w:proofErr w:type="spellStart"/>
      <w:r>
        <w:t>Becton</w:t>
      </w:r>
      <w:proofErr w:type="spellEnd"/>
      <w:r>
        <w:t>–</w:t>
      </w:r>
      <w:proofErr w:type="spellStart"/>
      <w:r>
        <w:t>Dickinson</w:t>
      </w:r>
      <w:proofErr w:type="spellEnd"/>
      <w:r>
        <w:t xml:space="preserve">, New </w:t>
      </w:r>
      <w:proofErr w:type="spellStart"/>
      <w:r>
        <w:t>Jersey</w:t>
      </w:r>
      <w:proofErr w:type="spellEnd"/>
      <w:r>
        <w:t xml:space="preserve">) в соответствии с инструкциями производителя. Биологические принципы автоматизированной микробиологической системы Phoenix и API схожи, включая ферментативный гидролиз амидных или </w:t>
      </w:r>
      <w:proofErr w:type="spellStart"/>
      <w:r>
        <w:t>гликозидных</w:t>
      </w:r>
      <w:proofErr w:type="spellEnd"/>
      <w:r>
        <w:t xml:space="preserve"> связей, устойчивость к антимикробному агенту или использование источника углерода, использование углеводов, гидролиз орнитина или мочевины или гидролиз </w:t>
      </w:r>
      <w:proofErr w:type="spellStart"/>
      <w:r>
        <w:t>эскулина</w:t>
      </w:r>
      <w:proofErr w:type="spellEnd"/>
      <w:r>
        <w:t>. Тесты включали как традиционную биохимическую идентификацию, так и интегрированную панель микро-Kong. Каждая</w:t>
      </w:r>
      <w:r w:rsidR="00162AF2">
        <w:t xml:space="preserve"> </w:t>
      </w:r>
      <w:r>
        <w:t>панель отрицательной идентификации (NID) содержала 45 субстратов плюс две лунки флуоресцентного положительного контроля [4]. Чувствительность к различным антибиотикам проверялась путем распределения бактериальных суспензий на пластинах LB и применения дисков фильтровальной бумаги, содержащих следующие антибиотики (</w:t>
      </w:r>
      <w:proofErr w:type="spellStart"/>
      <w:r>
        <w:t>lg</w:t>
      </w:r>
      <w:proofErr w:type="spellEnd"/>
      <w:r>
        <w:t xml:space="preserve"> на диск): ванкомицин (30), тетрациклин (30), </w:t>
      </w:r>
      <w:proofErr w:type="spellStart"/>
      <w:r>
        <w:t>сульфаметоксазол</w:t>
      </w:r>
      <w:proofErr w:type="spellEnd"/>
      <w:r>
        <w:t xml:space="preserve"> (100),</w:t>
      </w:r>
      <w:r>
        <w:t xml:space="preserve"> </w:t>
      </w:r>
      <w:proofErr w:type="spellStart"/>
      <w:r>
        <w:t>линкомицин</w:t>
      </w:r>
      <w:proofErr w:type="spellEnd"/>
      <w:r>
        <w:t xml:space="preserve"> (10), канамицин (30), </w:t>
      </w:r>
      <w:proofErr w:type="spellStart"/>
      <w:r>
        <w:t>спектиномицин</w:t>
      </w:r>
      <w:proofErr w:type="spellEnd"/>
      <w:r>
        <w:t xml:space="preserve"> (100), </w:t>
      </w:r>
      <w:proofErr w:type="spellStart"/>
      <w:r>
        <w:t>фуразолидон</w:t>
      </w:r>
      <w:proofErr w:type="spellEnd"/>
      <w:r>
        <w:t xml:space="preserve"> (100), эритромицин (15), стрептомицин (10), </w:t>
      </w:r>
      <w:proofErr w:type="spellStart"/>
      <w:r>
        <w:t>тримесульф</w:t>
      </w:r>
      <w:proofErr w:type="spellEnd"/>
      <w:r>
        <w:t xml:space="preserve"> (23,75), </w:t>
      </w:r>
      <w:proofErr w:type="spellStart"/>
      <w:r>
        <w:t>рифампицин</w:t>
      </w:r>
      <w:proofErr w:type="spellEnd"/>
      <w:r>
        <w:t xml:space="preserve"> (5), ампициллин (10), ципрофлоксацин (5), пенициллин (10), гентамицин (10), </w:t>
      </w:r>
      <w:proofErr w:type="spellStart"/>
      <w:r>
        <w:t>флорфеникол</w:t>
      </w:r>
      <w:proofErr w:type="spellEnd"/>
      <w:r>
        <w:t xml:space="preserve"> (30), </w:t>
      </w:r>
      <w:proofErr w:type="spellStart"/>
      <w:r>
        <w:t>цефалотин</w:t>
      </w:r>
      <w:proofErr w:type="spellEnd"/>
      <w:r>
        <w:t xml:space="preserve"> (30), </w:t>
      </w:r>
      <w:proofErr w:type="spellStart"/>
      <w:r>
        <w:t>доксициклин</w:t>
      </w:r>
      <w:proofErr w:type="spellEnd"/>
      <w:r>
        <w:t xml:space="preserve"> (30), </w:t>
      </w:r>
      <w:proofErr w:type="spellStart"/>
      <w:r>
        <w:t>амикацин</w:t>
      </w:r>
      <w:proofErr w:type="spellEnd"/>
      <w:r>
        <w:t xml:space="preserve"> (30), </w:t>
      </w:r>
      <w:proofErr w:type="spellStart"/>
      <w:r>
        <w:t>энрофлоксацин</w:t>
      </w:r>
      <w:proofErr w:type="spellEnd"/>
      <w:r>
        <w:t xml:space="preserve"> (5), </w:t>
      </w:r>
      <w:proofErr w:type="spellStart"/>
      <w:r>
        <w:t>цефалотин</w:t>
      </w:r>
      <w:proofErr w:type="spellEnd"/>
      <w:r>
        <w:t xml:space="preserve"> (30), </w:t>
      </w:r>
      <w:proofErr w:type="spellStart"/>
      <w:r>
        <w:t>цефотаксим</w:t>
      </w:r>
      <w:proofErr w:type="spellEnd"/>
      <w:r>
        <w:t xml:space="preserve"> (30) и</w:t>
      </w:r>
      <w:r>
        <w:t xml:space="preserve"> </w:t>
      </w:r>
      <w:proofErr w:type="spellStart"/>
      <w:r>
        <w:t>цефтазидим</w:t>
      </w:r>
      <w:proofErr w:type="spellEnd"/>
      <w:r>
        <w:t xml:space="preserve"> (30), которые были получены от компании </w:t>
      </w:r>
      <w:proofErr w:type="spellStart"/>
      <w:r>
        <w:t>Hangzhou</w:t>
      </w:r>
      <w:proofErr w:type="spellEnd"/>
      <w:r>
        <w:t xml:space="preserve"> </w:t>
      </w:r>
      <w:proofErr w:type="spellStart"/>
      <w:r>
        <w:t>Microbial</w:t>
      </w:r>
      <w:proofErr w:type="spellEnd"/>
      <w:r>
        <w:t xml:space="preserve"> </w:t>
      </w:r>
      <w:proofErr w:type="spellStart"/>
      <w:r>
        <w:t>Reagent</w:t>
      </w:r>
      <w:proofErr w:type="spellEnd"/>
      <w:r>
        <w:t>. Для этих анализов штамм инкубировали при температуре 30 C в течение 24 часов.</w:t>
      </w:r>
    </w:p>
    <w:p w14:paraId="7F863CFE" w14:textId="77777777" w:rsidR="009E1CF4" w:rsidRDefault="009E1CF4" w:rsidP="009E1CF4">
      <w:r>
        <w:t xml:space="preserve">Секвенирование и филогенетический анализ 16S рРНК Ген 16S рРНК был </w:t>
      </w:r>
      <w:proofErr w:type="spellStart"/>
      <w:r>
        <w:t>амплифицирован</w:t>
      </w:r>
      <w:proofErr w:type="spellEnd"/>
      <w:r>
        <w:t xml:space="preserve"> методом ПЦР с использованием двух универсальных </w:t>
      </w:r>
      <w:proofErr w:type="spellStart"/>
      <w:r>
        <w:t>праймеров</w:t>
      </w:r>
      <w:proofErr w:type="spellEnd"/>
      <w:r>
        <w:t>, 27F и 1492R [12], и клонирован в плазмиду pMD-19T (</w:t>
      </w:r>
      <w:proofErr w:type="spellStart"/>
      <w:r>
        <w:t>Takara</w:t>
      </w:r>
      <w:proofErr w:type="spellEnd"/>
      <w:r>
        <w:t xml:space="preserve">). Продукты амплификации были </w:t>
      </w:r>
      <w:proofErr w:type="spellStart"/>
      <w:r>
        <w:t>секвенированы</w:t>
      </w:r>
      <w:proofErr w:type="spellEnd"/>
      <w:r>
        <w:t xml:space="preserve"> компанией </w:t>
      </w:r>
      <w:proofErr w:type="spellStart"/>
      <w:r>
        <w:t>Tskingke</w:t>
      </w:r>
      <w:proofErr w:type="spellEnd"/>
      <w:r>
        <w:t xml:space="preserve"> </w:t>
      </w:r>
      <w:proofErr w:type="spellStart"/>
      <w:r>
        <w:t>Biotechnology</w:t>
      </w:r>
      <w:proofErr w:type="spellEnd"/>
      <w:r>
        <w:t xml:space="preserve">. Поиски сходства с полученными последовательностями сравнивались с доступными последовательностями, найденными в базе данных </w:t>
      </w:r>
      <w:proofErr w:type="spellStart"/>
      <w:r>
        <w:t>GenBank</w:t>
      </w:r>
      <w:proofErr w:type="spellEnd"/>
      <w:r>
        <w:t xml:space="preserve"> (http://blast.ncbi.nlm.nih.gov/Blast.cgi) и на сервере </w:t>
      </w:r>
      <w:proofErr w:type="spellStart"/>
      <w:r>
        <w:t>EzTaxon</w:t>
      </w:r>
      <w:proofErr w:type="spellEnd"/>
      <w:r>
        <w:t xml:space="preserve"> (http://eztaxon-e.ezbiocloud.net/) [15].</w:t>
      </w:r>
    </w:p>
    <w:p w14:paraId="5BDEDA01" w14:textId="77777777" w:rsidR="009E1CF4" w:rsidRDefault="009E1CF4" w:rsidP="009E1CF4">
      <w:r>
        <w:t xml:space="preserve">Множественные выравнивания штамма CF21T и типовых штаммов для опубликованных видов </w:t>
      </w:r>
      <w:proofErr w:type="spellStart"/>
      <w:r>
        <w:t>Lysobacter</w:t>
      </w:r>
      <w:proofErr w:type="spellEnd"/>
      <w:r>
        <w:t xml:space="preserve"> были вычислены с помощью программы CLUSTAL_X [28]. Филогенетический анализ был </w:t>
      </w:r>
      <w:r>
        <w:lastRenderedPageBreak/>
        <w:t>выполнен с использованием онлайн-сервера PHYML [13] и автономного программного обеспечения MEGA 6.0 [27]. Филогенетические деревья были реконструированы с использованием методов «присоединения соседей», максимальной экономии (</w:t>
      </w:r>
      <w:proofErr w:type="spellStart"/>
      <w:r>
        <w:t>Клюге</w:t>
      </w:r>
      <w:proofErr w:type="spellEnd"/>
      <w:r>
        <w:t xml:space="preserve"> и </w:t>
      </w:r>
      <w:proofErr w:type="spellStart"/>
      <w:r>
        <w:t>Фаррис</w:t>
      </w:r>
      <w:proofErr w:type="spellEnd"/>
      <w:r>
        <w:t xml:space="preserve"> [16]) и максимального правдоподобия [9]. Надежность дерева была просмотрена с помощью MEGA 6.0 с использованием </w:t>
      </w:r>
      <w:proofErr w:type="spellStart"/>
      <w:r>
        <w:t>бутстреп</w:t>
      </w:r>
      <w:proofErr w:type="spellEnd"/>
      <w:r>
        <w:t xml:space="preserve">-анализа на основе 1000 </w:t>
      </w:r>
      <w:proofErr w:type="spellStart"/>
      <w:r>
        <w:t>репликаций</w:t>
      </w:r>
      <w:proofErr w:type="spellEnd"/>
      <w:r>
        <w:t xml:space="preserve"> [10].</w:t>
      </w:r>
    </w:p>
    <w:p w14:paraId="0F5E35CD" w14:textId="77777777" w:rsidR="009E1CF4" w:rsidRDefault="009E1CF4" w:rsidP="009E1CF4">
      <w:proofErr w:type="spellStart"/>
      <w:r>
        <w:t>Хемотаксономический</w:t>
      </w:r>
      <w:proofErr w:type="spellEnd"/>
      <w:r>
        <w:t xml:space="preserve"> и геномный анализ</w:t>
      </w:r>
    </w:p>
    <w:p w14:paraId="159934D7" w14:textId="586CDFC2" w:rsidR="006B4942" w:rsidRDefault="009E1CF4" w:rsidP="006B4942">
      <w:r>
        <w:t xml:space="preserve">Содержание ДНК G?C определялось путем термической денатурации по методу Манделя и </w:t>
      </w:r>
      <w:proofErr w:type="spellStart"/>
      <w:r>
        <w:t>Мармура</w:t>
      </w:r>
      <w:proofErr w:type="spellEnd"/>
      <w:r>
        <w:t xml:space="preserve"> [19], для которого в качестве стандарта использовалась </w:t>
      </w:r>
      <w:proofErr w:type="spellStart"/>
      <w:r>
        <w:t>Escherichia</w:t>
      </w:r>
      <w:proofErr w:type="spellEnd"/>
      <w:r>
        <w:t xml:space="preserve"> </w:t>
      </w:r>
      <w:proofErr w:type="spellStart"/>
      <w:r>
        <w:t>coli</w:t>
      </w:r>
      <w:proofErr w:type="spellEnd"/>
      <w:r>
        <w:t xml:space="preserve"> K-12. Геномная ДНК из штамма CF21T была извлечена и очищена с использованием стандартных процедур [24]. Анализ полярных липидов штамма был проведен с использованием метода двумерной ТСХ, как описано </w:t>
      </w:r>
      <w:proofErr w:type="spellStart"/>
      <w:r>
        <w:t>Тиндаллом</w:t>
      </w:r>
      <w:proofErr w:type="spellEnd"/>
      <w:r>
        <w:t xml:space="preserve"> [29]. Дыхательные хиноны были извлечены и проанализированы с помощью ВЭЖХ, как описано </w:t>
      </w:r>
      <w:proofErr w:type="spellStart"/>
      <w:r>
        <w:t>Минникиным</w:t>
      </w:r>
      <w:proofErr w:type="spellEnd"/>
      <w:r>
        <w:t xml:space="preserve"> и др. [20] и Коллинзом [7] (1985). Для анализа жирных кислот в цельных клетках клеточные массы штаммов CF21T, L. </w:t>
      </w:r>
      <w:proofErr w:type="spellStart"/>
      <w:r>
        <w:t>ruishenii</w:t>
      </w:r>
      <w:proofErr w:type="spellEnd"/>
      <w:r>
        <w:t xml:space="preserve"> CTN-1T и L. </w:t>
      </w:r>
      <w:proofErr w:type="spellStart"/>
      <w:r>
        <w:t>daejeonensis</w:t>
      </w:r>
      <w:proofErr w:type="spellEnd"/>
      <w:r>
        <w:t xml:space="preserve"> GH1-9T собирали с пластин LB после инкубации при 30 C в течение 2 дней. Затем жирные кислоты экстрагировали, </w:t>
      </w:r>
      <w:proofErr w:type="spellStart"/>
      <w:r>
        <w:t>метилировали</w:t>
      </w:r>
      <w:proofErr w:type="spellEnd"/>
      <w:r>
        <w:t xml:space="preserve"> и анализировали с помощью газового хроматографа, следуя инструкциям производителя для Системы идентификации микроорганизмов </w:t>
      </w:r>
      <w:proofErr w:type="spellStart"/>
      <w:r>
        <w:t>Sherlock</w:t>
      </w:r>
      <w:proofErr w:type="spellEnd"/>
      <w:r>
        <w:t xml:space="preserve"> (версия MIDI </w:t>
      </w:r>
      <w:proofErr w:type="spellStart"/>
      <w:r>
        <w:t>Sherlock</w:t>
      </w:r>
      <w:proofErr w:type="spellEnd"/>
      <w:r>
        <w:t xml:space="preserve"> 6.0, база данных MIDI TSBA66.00). Все четыре теста, упомянутые выше, были проведены в Китайском центре микробиологических культур (CGMCC). Кроме того, эксперименты по гибридизации ДНК–ДНК были проведены </w:t>
      </w:r>
      <w:proofErr w:type="spellStart"/>
      <w:r>
        <w:t>флуориметрическим</w:t>
      </w:r>
      <w:proofErr w:type="spellEnd"/>
      <w:r>
        <w:t xml:space="preserve"> методом с использованием лунок </w:t>
      </w:r>
      <w:proofErr w:type="spellStart"/>
      <w:r>
        <w:t>микропланшета</w:t>
      </w:r>
      <w:proofErr w:type="spellEnd"/>
      <w:r>
        <w:t xml:space="preserve"> для оценки родства ДНК–ДНК между штаммами CF21T и L. </w:t>
      </w:r>
      <w:proofErr w:type="spellStart"/>
      <w:r>
        <w:t>ruishenii</w:t>
      </w:r>
      <w:proofErr w:type="spellEnd"/>
      <w:r>
        <w:t xml:space="preserve"> CTN-1T на основе сходства последовательностей генов РНК 16Sr в соответствии с методом, разработанным </w:t>
      </w:r>
      <w:proofErr w:type="spellStart"/>
      <w:r>
        <w:t>Изаки</w:t>
      </w:r>
      <w:proofErr w:type="spellEnd"/>
      <w:r>
        <w:t xml:space="preserve"> и др. [8] в </w:t>
      </w:r>
      <w:proofErr w:type="spellStart"/>
      <w:r>
        <w:t>Гуандунском</w:t>
      </w:r>
      <w:proofErr w:type="spellEnd"/>
      <w:r>
        <w:t xml:space="preserve"> центре микробиологических культур (GIMCC).</w:t>
      </w:r>
      <w:r w:rsidR="006B4942" w:rsidRPr="006B4942">
        <w:t xml:space="preserve"> </w:t>
      </w:r>
      <w:r w:rsidR="006B4942">
        <w:t>Результаты</w:t>
      </w:r>
    </w:p>
    <w:p w14:paraId="318CE696" w14:textId="77777777" w:rsidR="006B4942" w:rsidRDefault="006B4942" w:rsidP="006B4942">
      <w:r>
        <w:t xml:space="preserve">Морфологические и физиологические характеристики Клетки штамма CF21T были грамотрицательными, аэробными, неподвижными и палочковидными с многочисленными </w:t>
      </w:r>
      <w:proofErr w:type="spellStart"/>
      <w:r>
        <w:t>фимбриями</w:t>
      </w:r>
      <w:proofErr w:type="spellEnd"/>
      <w:r>
        <w:t xml:space="preserve">. Колонии, выросшие на агаре LB, были круглыми, гладкими с целыми краями, непрозрачными и светло-бежевыми после 3 дней инкубации при 30 C. Для клеток, выращенных в среде LN с 0–2% (w/v) </w:t>
      </w:r>
      <w:proofErr w:type="spellStart"/>
      <w:r>
        <w:t>NaCl</w:t>
      </w:r>
      <w:proofErr w:type="spellEnd"/>
      <w:r>
        <w:t xml:space="preserve"> (оптимум 0–1,0%), рост не наблюдался в присутствии 3,0–5,0% (w/v) </w:t>
      </w:r>
      <w:proofErr w:type="spellStart"/>
      <w:r>
        <w:t>NaCl</w:t>
      </w:r>
      <w:proofErr w:type="spellEnd"/>
      <w:r>
        <w:t xml:space="preserve">. Штамм CF21T рос при 10–40 C (оптимум 28–30 C) и при </w:t>
      </w:r>
      <w:proofErr w:type="spellStart"/>
      <w:r>
        <w:t>pH</w:t>
      </w:r>
      <w:proofErr w:type="spellEnd"/>
      <w:r>
        <w:t xml:space="preserve"> 6,0–9,0 (оптимум </w:t>
      </w:r>
      <w:proofErr w:type="spellStart"/>
      <w:r>
        <w:t>pH</w:t>
      </w:r>
      <w:proofErr w:type="spellEnd"/>
      <w:r>
        <w:t xml:space="preserve"> 7,0–8,0). Физиологические и биохимические характеристики штамма CF21T, которые отличали его от контрольных штаммов, обобщены в Таблице 1. Штамм CF21T продемонстрировал характеристики, соответствующие характеристикам рода </w:t>
      </w:r>
      <w:proofErr w:type="spellStart"/>
      <w:r>
        <w:t>Lysobacter</w:t>
      </w:r>
      <w:proofErr w:type="spellEnd"/>
      <w:r>
        <w:t xml:space="preserve">, включая неспособность усваивать 4MU-N-ацетил-BD-глюкозаминид и т. д. Однако, по сравнению с двумя контрольными штаммами, штамм был положительным на ацетат, D-маннит, </w:t>
      </w:r>
      <w:proofErr w:type="spellStart"/>
      <w:r>
        <w:t>малонат</w:t>
      </w:r>
      <w:proofErr w:type="spellEnd"/>
      <w:r>
        <w:t xml:space="preserve">, </w:t>
      </w:r>
      <w:proofErr w:type="spellStart"/>
      <w:r>
        <w:t>тигликацид</w:t>
      </w:r>
      <w:proofErr w:type="spellEnd"/>
      <w:r>
        <w:t xml:space="preserve"> и гамма-</w:t>
      </w:r>
      <w:proofErr w:type="spellStart"/>
      <w:r>
        <w:t>глутамил</w:t>
      </w:r>
      <w:proofErr w:type="spellEnd"/>
      <w:r>
        <w:t>-NA.</w:t>
      </w:r>
    </w:p>
    <w:p w14:paraId="0576D11A" w14:textId="77777777" w:rsidR="006B4942" w:rsidRDefault="006B4942" w:rsidP="006B4942">
      <w:r>
        <w:t>Филогенетический анализ</w:t>
      </w:r>
    </w:p>
    <w:p w14:paraId="1CC65F66" w14:textId="4402E798" w:rsidR="009E1CF4" w:rsidRDefault="006B4942" w:rsidP="006B4942">
      <w:r>
        <w:t xml:space="preserve">Последовательность гена 16SrRNA штамма CF21T состоит из 1512 </w:t>
      </w:r>
      <w:proofErr w:type="spellStart"/>
      <w:r>
        <w:t>п.н</w:t>
      </w:r>
      <w:proofErr w:type="spellEnd"/>
      <w:r>
        <w:t xml:space="preserve">. (номер доступа </w:t>
      </w:r>
      <w:proofErr w:type="spellStart"/>
      <w:r>
        <w:t>GenBank</w:t>
      </w:r>
      <w:proofErr w:type="spellEnd"/>
      <w:r>
        <w:t xml:space="preserve">, KP756904) и, как было показано, демонстрирует \95,8% сходства с последовательностями типового штамма для рода </w:t>
      </w:r>
      <w:proofErr w:type="spellStart"/>
      <w:r>
        <w:t>Lysobacter</w:t>
      </w:r>
      <w:proofErr w:type="spellEnd"/>
      <w:r>
        <w:t xml:space="preserve">. Наибольшее сходство последовательностей было обнаружено с </w:t>
      </w:r>
      <w:proofErr w:type="spellStart"/>
      <w:r>
        <w:t>Luteimonas</w:t>
      </w:r>
      <w:proofErr w:type="spellEnd"/>
      <w:r w:rsidR="003A1548">
        <w:t xml:space="preserve"> </w:t>
      </w:r>
      <w:proofErr w:type="spellStart"/>
      <w:r>
        <w:t>dalianensi</w:t>
      </w:r>
      <w:proofErr w:type="spellEnd"/>
      <w:r>
        <w:t xml:space="preserve"> OB443T (недопустимое название) (95,8%, сходство) и L. </w:t>
      </w:r>
      <w:proofErr w:type="spellStart"/>
      <w:r>
        <w:t>ruishenii</w:t>
      </w:r>
      <w:proofErr w:type="spellEnd"/>
      <w:r>
        <w:t xml:space="preserve"> CTN-1T (95,1%)[30], а типовые штаммы других видов рода показали значения сходства \94,9%, используя EzTaxonserver2.1. Анализ филогенетического дерева показал, что штамм CF21T образовал надежный кластер с типовым штаммом </w:t>
      </w:r>
      <w:proofErr w:type="spellStart"/>
      <w:r>
        <w:t>Luteimonas</w:t>
      </w:r>
      <w:proofErr w:type="spellEnd"/>
      <w:r>
        <w:t xml:space="preserve"> </w:t>
      </w:r>
      <w:proofErr w:type="spellStart"/>
      <w:r>
        <w:t>dalianensi</w:t>
      </w:r>
      <w:proofErr w:type="spellEnd"/>
      <w:r>
        <w:t xml:space="preserve"> и был близок к L. </w:t>
      </w:r>
      <w:proofErr w:type="spellStart"/>
      <w:r>
        <w:t>ruishenii</w:t>
      </w:r>
      <w:proofErr w:type="spellEnd"/>
      <w:r>
        <w:t xml:space="preserve"> и L. </w:t>
      </w:r>
      <w:proofErr w:type="spellStart"/>
      <w:r>
        <w:t>daejeonensis</w:t>
      </w:r>
      <w:proofErr w:type="spellEnd"/>
      <w:r>
        <w:t xml:space="preserve">, образуя отличную филогенетическую линию внутри рода </w:t>
      </w:r>
      <w:proofErr w:type="spellStart"/>
      <w:r>
        <w:t>Lysobacter</w:t>
      </w:r>
      <w:proofErr w:type="spellEnd"/>
      <w:r>
        <w:t xml:space="preserve"> (рис. 1). Деревья максимального правдоподобия и максимальной экономии также подтвердили филогенетическую позицию, полученную с помощью дерева соседнего присоединения.</w:t>
      </w:r>
    </w:p>
    <w:p w14:paraId="6411CA39" w14:textId="1C66FD9B" w:rsidR="006B4942" w:rsidRDefault="006B4942" w:rsidP="006B49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BE5D37" wp14:editId="1B9E21D6">
            <wp:extent cx="2552873" cy="27546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502" t="13500" r="9509" b="4032"/>
                    <a:stretch/>
                  </pic:blipFill>
                  <pic:spPr bwMode="auto">
                    <a:xfrm>
                      <a:off x="0" y="0"/>
                      <a:ext cx="2553719" cy="27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49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60D58" wp14:editId="4CD4D7C8">
            <wp:extent cx="2499084" cy="2763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72" t="10899" r="10351" b="6386"/>
                    <a:stretch/>
                  </pic:blipFill>
                  <pic:spPr bwMode="auto">
                    <a:xfrm>
                      <a:off x="0" y="0"/>
                      <a:ext cx="2499578" cy="276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BF701" w14:textId="68A35B62" w:rsidR="006B4942" w:rsidRDefault="006B4942" w:rsidP="006B4942">
      <w:r>
        <w:rPr>
          <w:noProof/>
        </w:rPr>
        <w:drawing>
          <wp:inline distT="0" distB="0" distL="0" distR="0" wp14:anchorId="5A0A4F97" wp14:editId="69B722A7">
            <wp:extent cx="2552065" cy="1116568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1" t="19941" r="9243" b="46629"/>
                    <a:stretch/>
                  </pic:blipFill>
                  <pic:spPr bwMode="auto">
                    <a:xfrm>
                      <a:off x="0" y="0"/>
                      <a:ext cx="2552996" cy="111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49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01C62" wp14:editId="230969A2">
            <wp:extent cx="2749825" cy="10881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4" t="40622" r="52429" b="26792"/>
                    <a:stretch/>
                  </pic:blipFill>
                  <pic:spPr bwMode="auto">
                    <a:xfrm>
                      <a:off x="0" y="0"/>
                      <a:ext cx="2751464" cy="108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4B0A5" w14:textId="77777777" w:rsidR="00162AF2" w:rsidRDefault="00162AF2" w:rsidP="009E1CF4"/>
    <w:p w14:paraId="3ADEDFE3" w14:textId="77777777" w:rsidR="006B4942" w:rsidRDefault="006B4942" w:rsidP="006B4942">
      <w:proofErr w:type="spellStart"/>
      <w:r>
        <w:t>Хемотаксономические</w:t>
      </w:r>
      <w:proofErr w:type="spellEnd"/>
      <w:r>
        <w:t xml:space="preserve"> и геномные характеристики</w:t>
      </w:r>
    </w:p>
    <w:p w14:paraId="133FE31B" w14:textId="77777777" w:rsidR="006B4942" w:rsidRDefault="006B4942" w:rsidP="006B4942">
      <w:r>
        <w:t>В таблице 2 показан профиль жирных кислот клеток штамма CF21T вместе с профилями контрольных штаммов в тех же условиях. Основными жирными кислотами клеток штамма CF21T были изо-C16:0 (30,22 %), изо-C15:0 (25,70 %) и сумма 9/10-метил C16:0 и/или изо-C17:1x9c (21,94 %), которые соответствуют описанным для</w:t>
      </w:r>
    </w:p>
    <w:p w14:paraId="14F83BE8" w14:textId="77777777" w:rsidR="006B4942" w:rsidRDefault="006B4942" w:rsidP="006B4942">
      <w:r>
        <w:t xml:space="preserve">признанных видов рода </w:t>
      </w:r>
      <w:proofErr w:type="spellStart"/>
      <w:r>
        <w:t>Lysobacter</w:t>
      </w:r>
      <w:proofErr w:type="spellEnd"/>
      <w:r>
        <w:t xml:space="preserve"> [5, 17]. Также были обнаружены незначительные количества изо-C11:0 (3,99 %), изо-C11:0 3-OH (5,51 %), изо-C12:0 (1,16 %), изо-C14:0 (2,83 %), изо-C15:1 F (1,78 %) и изо-C17:0 (3,29 %). По сравнению с двумя контрольными штаммами, CF21T содержал изо-C12:0, изо-C14:0, изо-C15:1 F и относительно меньшее количество изо-C17:0, хотя основные жирные кислоты были аналогичны таковым контрольных штаммов. Преобладающим </w:t>
      </w:r>
      <w:proofErr w:type="spellStart"/>
      <w:r>
        <w:t>изопреноидным</w:t>
      </w:r>
      <w:proofErr w:type="spellEnd"/>
      <w:r>
        <w:t xml:space="preserve"> хиноном, обнаруженным в штамме CF21T, был Q-8, что является характерной чертой членов рода </w:t>
      </w:r>
      <w:proofErr w:type="spellStart"/>
      <w:r>
        <w:t>Lysobacter</w:t>
      </w:r>
      <w:proofErr w:type="spellEnd"/>
      <w:r>
        <w:t xml:space="preserve"> [2]. Основными полярными липидами штамма CF21T были </w:t>
      </w:r>
      <w:proofErr w:type="spellStart"/>
      <w:r>
        <w:t>фосфатидилэтаноламин</w:t>
      </w:r>
      <w:proofErr w:type="spellEnd"/>
      <w:r>
        <w:t xml:space="preserve"> (PE), </w:t>
      </w:r>
      <w:proofErr w:type="spellStart"/>
      <w:r>
        <w:t>фосфатидилглицерин</w:t>
      </w:r>
      <w:proofErr w:type="spellEnd"/>
      <w:r>
        <w:t xml:space="preserve"> (PG) и </w:t>
      </w:r>
      <w:proofErr w:type="spellStart"/>
      <w:r>
        <w:t>дифосфатидилглицерин</w:t>
      </w:r>
      <w:proofErr w:type="spellEnd"/>
      <w:r>
        <w:t xml:space="preserve"> (DPG), как и у других известных видов рода </w:t>
      </w:r>
      <w:proofErr w:type="spellStart"/>
      <w:r>
        <w:t>Lysobacter</w:t>
      </w:r>
      <w:proofErr w:type="spellEnd"/>
      <w:r>
        <w:t xml:space="preserve">, но также был обнаружен неизвестный фосфолипид (UPL) (дополнительный рис. S1). Содержание ДНК G?C составило 68,72 мол.%, и это значение находится в ожидаемом диапазоне для рода </w:t>
      </w:r>
      <w:proofErr w:type="spellStart"/>
      <w:r>
        <w:t>Lysobacter</w:t>
      </w:r>
      <w:proofErr w:type="spellEnd"/>
      <w:r>
        <w:t xml:space="preserve"> [1, 6, 32]. Среднее родство ДНК-ДНК между штаммом CF21T и L. </w:t>
      </w:r>
      <w:proofErr w:type="spellStart"/>
      <w:r>
        <w:t>ruishenii</w:t>
      </w:r>
      <w:proofErr w:type="spellEnd"/>
      <w:r>
        <w:t xml:space="preserve"> CTN-1T составило 56%, что явно намного ниже порогового значения в 70%, которое обычно используется для разграничения прокариотических видов [26].</w:t>
      </w:r>
    </w:p>
    <w:p w14:paraId="121EF67F" w14:textId="77777777" w:rsidR="006B4942" w:rsidRDefault="006B4942" w:rsidP="006B4942">
      <w:r>
        <w:t>Заключение</w:t>
      </w:r>
    </w:p>
    <w:p w14:paraId="3705DD47" w14:textId="4AF5D23C" w:rsidR="009E1CF4" w:rsidRDefault="006B4942" w:rsidP="006B4942">
      <w:r>
        <w:t xml:space="preserve">На основании полученных нами данных штамм CF21T представляет собой новый вид рода </w:t>
      </w:r>
      <w:proofErr w:type="spellStart"/>
      <w:r>
        <w:t>Lysobacter</w:t>
      </w:r>
      <w:proofErr w:type="spellEnd"/>
      <w:r>
        <w:t xml:space="preserve">, для которого мы предлагаем название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chengduensis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. </w:t>
      </w:r>
      <w:proofErr w:type="spellStart"/>
      <w:r>
        <w:t>nov</w:t>
      </w:r>
      <w:proofErr w:type="spellEnd"/>
      <w:r>
        <w:t>.</w:t>
      </w:r>
    </w:p>
    <w:p w14:paraId="538F17F8" w14:textId="2EAFD2D7" w:rsidR="006B4942" w:rsidRDefault="006B4942" w:rsidP="006B4942">
      <w:r>
        <w:rPr>
          <w:noProof/>
        </w:rPr>
        <w:lastRenderedPageBreak/>
        <w:drawing>
          <wp:inline distT="0" distB="0" distL="0" distR="0" wp14:anchorId="3B40E59B" wp14:editId="18B9E5C1">
            <wp:extent cx="2556504" cy="27260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6" t="11518" r="54031" b="6881"/>
                    <a:stretch/>
                  </pic:blipFill>
                  <pic:spPr bwMode="auto">
                    <a:xfrm>
                      <a:off x="0" y="0"/>
                      <a:ext cx="2556978" cy="272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1DEDD" w14:textId="77777777" w:rsidR="006B4942" w:rsidRDefault="006B4942" w:rsidP="006B4942">
      <w:r>
        <w:t xml:space="preserve">Штаммы: 1, L. </w:t>
      </w:r>
      <w:proofErr w:type="spellStart"/>
      <w:r>
        <w:t>chengduensis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. nov.CF21T; 2, L. </w:t>
      </w:r>
      <w:proofErr w:type="spellStart"/>
      <w:r>
        <w:t>ruishenii</w:t>
      </w:r>
      <w:proofErr w:type="spellEnd"/>
      <w:r>
        <w:t xml:space="preserve"> CTN-1T; и 3, L. </w:t>
      </w:r>
      <w:proofErr w:type="spellStart"/>
      <w:r>
        <w:t>daejeonensis</w:t>
      </w:r>
      <w:proofErr w:type="spellEnd"/>
      <w:r>
        <w:t xml:space="preserve"> GH1-9T. Данные взяты из этого исследования, если не указано иное. Жирные кислоты, которые представляют \1,0% от общего количества во всех</w:t>
      </w:r>
    </w:p>
    <w:p w14:paraId="5E5F85D9" w14:textId="77777777" w:rsidR="006B4942" w:rsidRDefault="006B4942" w:rsidP="006B4942">
      <w:r>
        <w:t>штаммах, не показаны; -, не обнаружено / не указано или \ 1,0%</w:t>
      </w:r>
    </w:p>
    <w:p w14:paraId="2A383EA6" w14:textId="74004753" w:rsidR="006B4942" w:rsidRDefault="006B4942" w:rsidP="006B4942">
      <w:r>
        <w:t>a Суммированные характеристики представляют две или три жирные кислоты, которые не удалось разделить с помощью системы микробной идентификации. Суммированная характеристика 3 и суммированная характеристика 9 представляют C16:1x7c и/или C16:1x6c, или 10-метил C16:0 и/или изо-C17:1x9c соответственно</w:t>
      </w:r>
    </w:p>
    <w:p w14:paraId="3B797536" w14:textId="483D0900" w:rsidR="00726C53" w:rsidRPr="00726C53" w:rsidRDefault="00726C53" w:rsidP="00726C53">
      <w:pPr>
        <w:rPr>
          <w:lang w:val="en-US"/>
        </w:rPr>
      </w:pPr>
      <w:r>
        <w:t>Описание</w:t>
      </w:r>
      <w:r w:rsidR="003A1548" w:rsidRPr="003A1548">
        <w:rPr>
          <w:lang w:val="en-US"/>
        </w:rPr>
        <w:t xml:space="preserve"> </w:t>
      </w:r>
      <w:proofErr w:type="spellStart"/>
      <w:r w:rsidRPr="00726C53">
        <w:rPr>
          <w:lang w:val="en-US"/>
        </w:rPr>
        <w:t>Lysobacter</w:t>
      </w:r>
      <w:proofErr w:type="spellEnd"/>
      <w:r w:rsidR="003A1548" w:rsidRPr="003A1548">
        <w:rPr>
          <w:lang w:val="en-US"/>
        </w:rPr>
        <w:t xml:space="preserve"> </w:t>
      </w:r>
      <w:proofErr w:type="spellStart"/>
      <w:r w:rsidRPr="00726C53">
        <w:rPr>
          <w:lang w:val="en-US"/>
        </w:rPr>
        <w:t>chengduensis</w:t>
      </w:r>
      <w:proofErr w:type="spellEnd"/>
      <w:r w:rsidR="003A1548" w:rsidRPr="003A1548">
        <w:rPr>
          <w:lang w:val="en-US"/>
        </w:rPr>
        <w:t xml:space="preserve"> </w:t>
      </w:r>
      <w:r w:rsidRPr="00726C53">
        <w:rPr>
          <w:lang w:val="en-US"/>
        </w:rPr>
        <w:t>sp.</w:t>
      </w:r>
      <w:r w:rsidR="003A1548" w:rsidRPr="003A1548">
        <w:rPr>
          <w:lang w:val="en-US"/>
        </w:rPr>
        <w:t xml:space="preserve"> </w:t>
      </w:r>
      <w:proofErr w:type="spellStart"/>
      <w:r w:rsidRPr="00726C53">
        <w:rPr>
          <w:lang w:val="en-US"/>
        </w:rPr>
        <w:t>nov</w:t>
      </w:r>
      <w:proofErr w:type="spellEnd"/>
      <w:r w:rsidRPr="00726C53">
        <w:rPr>
          <w:lang w:val="en-US"/>
        </w:rPr>
        <w:t>.</w:t>
      </w:r>
    </w:p>
    <w:p w14:paraId="3D927587" w14:textId="77777777" w:rsidR="00726C53" w:rsidRDefault="00726C53" w:rsidP="00726C53">
      <w:proofErr w:type="spellStart"/>
      <w:r w:rsidRPr="00726C53">
        <w:rPr>
          <w:lang w:val="en-US"/>
        </w:rPr>
        <w:t>Lysobacter</w:t>
      </w:r>
      <w:proofErr w:type="spellEnd"/>
      <w:r w:rsidRPr="00726C53">
        <w:rPr>
          <w:lang w:val="en-US"/>
        </w:rPr>
        <w:t xml:space="preserve"> </w:t>
      </w:r>
      <w:proofErr w:type="spellStart"/>
      <w:r w:rsidRPr="00726C53">
        <w:rPr>
          <w:lang w:val="en-US"/>
        </w:rPr>
        <w:t>chengduensis</w:t>
      </w:r>
      <w:proofErr w:type="spellEnd"/>
      <w:r w:rsidRPr="00726C53">
        <w:rPr>
          <w:lang w:val="en-US"/>
        </w:rPr>
        <w:t xml:space="preserve"> (</w:t>
      </w:r>
      <w:proofErr w:type="spellStart"/>
      <w:r w:rsidRPr="00726C53">
        <w:rPr>
          <w:lang w:val="en-US"/>
        </w:rPr>
        <w:t>cheng</w:t>
      </w:r>
      <w:proofErr w:type="spellEnd"/>
      <w:r w:rsidRPr="00726C53">
        <w:rPr>
          <w:lang w:val="en-US"/>
        </w:rPr>
        <w:t xml:space="preserve">. du. en0sis. </w:t>
      </w:r>
      <w:r>
        <w:t xml:space="preserve">N.L. </w:t>
      </w:r>
      <w:proofErr w:type="spellStart"/>
      <w:r>
        <w:t>маск</w:t>
      </w:r>
      <w:proofErr w:type="spellEnd"/>
      <w:r>
        <w:t xml:space="preserve">. прил. </w:t>
      </w:r>
      <w:proofErr w:type="spellStart"/>
      <w:r>
        <w:t>chengduensis</w:t>
      </w:r>
      <w:proofErr w:type="spellEnd"/>
      <w:r>
        <w:t xml:space="preserve">, относящийся к Чэнду, на юго-западе Китая, где был выделен типовой штамм). Клетки окрашиваются по </w:t>
      </w:r>
      <w:proofErr w:type="spellStart"/>
      <w:r>
        <w:t>Граму</w:t>
      </w:r>
      <w:proofErr w:type="spellEnd"/>
      <w:r>
        <w:t xml:space="preserve"> отрицательно, аэробные, неподвижные и имеют форму палочки (шириной 0,60–0,65 мкм и длиной 0,90–0,95 мкм, без жгутика). Колонии, выросшие на агаре LB, были круглыми, гладкими с цельными краями, непрозрачными и светло-бежевыми после 3 дней инкубации при 30 °C. Этот штамм может расти на среде LN с 0–2% (масса/объем) </w:t>
      </w:r>
      <w:proofErr w:type="spellStart"/>
      <w:r>
        <w:t>NaCl</w:t>
      </w:r>
      <w:proofErr w:type="spellEnd"/>
      <w:r>
        <w:t xml:space="preserve">, и никакого роста не наблюдалось в присутствии 3,0–5,0% (масса/объем) </w:t>
      </w:r>
      <w:proofErr w:type="spellStart"/>
      <w:r>
        <w:t>NaCl</w:t>
      </w:r>
      <w:proofErr w:type="spellEnd"/>
      <w:r>
        <w:t xml:space="preserve">. Рост происходил при 10–40 C (оптимум 28–30 C) и при </w:t>
      </w:r>
      <w:proofErr w:type="spellStart"/>
      <w:r>
        <w:t>pH</w:t>
      </w:r>
      <w:proofErr w:type="spellEnd"/>
      <w:r>
        <w:t xml:space="preserve"> 6,0–9,0 (оптимум </w:t>
      </w:r>
      <w:proofErr w:type="spellStart"/>
      <w:r>
        <w:t>pH</w:t>
      </w:r>
      <w:proofErr w:type="spellEnd"/>
      <w:r>
        <w:t xml:space="preserve"> 7,0–8,0). Эта бактерия была положительной для аргинин-аргинин-AMC, глицин-</w:t>
      </w:r>
      <w:proofErr w:type="spellStart"/>
      <w:r>
        <w:t>пролин</w:t>
      </w:r>
      <w:proofErr w:type="spellEnd"/>
      <w:r>
        <w:t xml:space="preserve">-AMC, глицин-AMC, </w:t>
      </w:r>
      <w:proofErr w:type="spellStart"/>
      <w:r>
        <w:t>глутарил</w:t>
      </w:r>
      <w:proofErr w:type="spellEnd"/>
      <w:r>
        <w:t>-глицин-аргинин-AMC, L-</w:t>
      </w:r>
      <w:proofErr w:type="spellStart"/>
      <w:r>
        <w:t>глутаминовая</w:t>
      </w:r>
      <w:proofErr w:type="spellEnd"/>
      <w:r>
        <w:t xml:space="preserve"> кислота-AMC, L-лейцин-AMC, L-фенилаланин-AMC, L-триптофан-AMC, лизин-аланин-AMC, гамма-</w:t>
      </w:r>
      <w:proofErr w:type="spellStart"/>
      <w:r>
        <w:t>глутамил</w:t>
      </w:r>
      <w:proofErr w:type="spellEnd"/>
    </w:p>
    <w:p w14:paraId="36B39EE0" w14:textId="77777777" w:rsidR="00726C53" w:rsidRDefault="00726C53" w:rsidP="00726C53">
      <w:r>
        <w:t xml:space="preserve">NA, </w:t>
      </w:r>
      <w:proofErr w:type="spellStart"/>
      <w:r>
        <w:t>адонит</w:t>
      </w:r>
      <w:proofErr w:type="spellEnd"/>
      <w:r>
        <w:t xml:space="preserve">, цитрат, колистин, D-маннит, альфа-кетоглутаровая кислота, </w:t>
      </w:r>
      <w:proofErr w:type="spellStart"/>
      <w:r>
        <w:t>малонат</w:t>
      </w:r>
      <w:proofErr w:type="spellEnd"/>
      <w:r>
        <w:t xml:space="preserve"> и тиглиновая кислота. Чувствительность к следующим антибиотикам была следующей (</w:t>
      </w:r>
      <w:proofErr w:type="spellStart"/>
      <w:r>
        <w:t>lgperdisk</w:t>
      </w:r>
      <w:proofErr w:type="spellEnd"/>
      <w:r>
        <w:t xml:space="preserve">, если не указано иное): ванкомицин (30), тетрациклин (30), канамицин (30), </w:t>
      </w:r>
      <w:proofErr w:type="spellStart"/>
      <w:r>
        <w:t>спектиномицин</w:t>
      </w:r>
      <w:proofErr w:type="spellEnd"/>
      <w:r>
        <w:t xml:space="preserve"> (100), эритромицин (15), </w:t>
      </w:r>
      <w:proofErr w:type="spellStart"/>
      <w:r>
        <w:t>рифампицин</w:t>
      </w:r>
      <w:proofErr w:type="spellEnd"/>
      <w:r>
        <w:t xml:space="preserve"> (5), ципрофлоксацин (5), </w:t>
      </w:r>
      <w:proofErr w:type="spellStart"/>
      <w:r>
        <w:t>флорфеникол</w:t>
      </w:r>
      <w:proofErr w:type="spellEnd"/>
      <w:r>
        <w:t xml:space="preserve"> (30), </w:t>
      </w:r>
      <w:proofErr w:type="spellStart"/>
      <w:r>
        <w:t>доксициклин</w:t>
      </w:r>
      <w:proofErr w:type="spellEnd"/>
      <w:r>
        <w:t xml:space="preserve"> (30), </w:t>
      </w:r>
      <w:proofErr w:type="spellStart"/>
      <w:r>
        <w:t>амикацин</w:t>
      </w:r>
      <w:proofErr w:type="spellEnd"/>
      <w:r>
        <w:t xml:space="preserve"> (30), </w:t>
      </w:r>
      <w:proofErr w:type="spellStart"/>
      <w:r>
        <w:t>энрофлоксацин</w:t>
      </w:r>
      <w:proofErr w:type="spellEnd"/>
      <w:r>
        <w:t xml:space="preserve"> (5), </w:t>
      </w:r>
      <w:proofErr w:type="spellStart"/>
      <w:r>
        <w:t>цефалотин</w:t>
      </w:r>
      <w:proofErr w:type="spellEnd"/>
      <w:r>
        <w:t xml:space="preserve"> (30), </w:t>
      </w:r>
      <w:proofErr w:type="spellStart"/>
      <w:r>
        <w:t>цефотаксим</w:t>
      </w:r>
      <w:proofErr w:type="spellEnd"/>
      <w:r>
        <w:t xml:space="preserve"> (30) и </w:t>
      </w:r>
      <w:proofErr w:type="spellStart"/>
      <w:r>
        <w:t>цефтазидим</w:t>
      </w:r>
      <w:proofErr w:type="spellEnd"/>
      <w:r>
        <w:t xml:space="preserve"> (30); эта бактерия не была чувствительна к </w:t>
      </w:r>
      <w:proofErr w:type="spellStart"/>
      <w:r>
        <w:t>сульфаметоксазолу</w:t>
      </w:r>
      <w:proofErr w:type="spellEnd"/>
      <w:r>
        <w:t xml:space="preserve"> (100), </w:t>
      </w:r>
      <w:proofErr w:type="spellStart"/>
      <w:r>
        <w:t>линкомицину</w:t>
      </w:r>
      <w:proofErr w:type="spellEnd"/>
      <w:r>
        <w:t xml:space="preserve"> (10), </w:t>
      </w:r>
      <w:proofErr w:type="spellStart"/>
      <w:r>
        <w:t>фуразолидону</w:t>
      </w:r>
      <w:proofErr w:type="spellEnd"/>
      <w:r>
        <w:t xml:space="preserve"> (100), стрептомицину (10), </w:t>
      </w:r>
      <w:proofErr w:type="spellStart"/>
      <w:r>
        <w:t>тримесульфу</w:t>
      </w:r>
      <w:proofErr w:type="spellEnd"/>
      <w:r>
        <w:t xml:space="preserve"> (23,75), ампициллину (10), пенициллину (10), гентамицину (10) и </w:t>
      </w:r>
      <w:proofErr w:type="spellStart"/>
      <w:r>
        <w:t>цефалотину</w:t>
      </w:r>
      <w:proofErr w:type="spellEnd"/>
      <w:r>
        <w:t xml:space="preserve"> (30). Основными клеточными жирными кислотами были</w:t>
      </w:r>
    </w:p>
    <w:p w14:paraId="23E2C142" w14:textId="77777777" w:rsidR="00726C53" w:rsidRDefault="00726C53" w:rsidP="00726C53">
      <w:r>
        <w:t xml:space="preserve">iso-C16:0 (30,22%), iso-C15:0 (25,70%), iso-C17:1w9c (21,94%) и сумма 9 (10-метил C16:0 и/или isoC17:1x9c) (21,94%). Преобладающим </w:t>
      </w:r>
      <w:proofErr w:type="spellStart"/>
      <w:r>
        <w:t>изопреноидным</w:t>
      </w:r>
      <w:proofErr w:type="spellEnd"/>
      <w:r>
        <w:t xml:space="preserve"> хиноном был Q-8. Содержание ДНК G?C составило 68,72 моль%. Первичными полярными липидами были </w:t>
      </w:r>
      <w:proofErr w:type="spellStart"/>
      <w:r>
        <w:t>фосфатидилэтаноламин</w:t>
      </w:r>
      <w:proofErr w:type="spellEnd"/>
      <w:r>
        <w:t xml:space="preserve"> (PE), </w:t>
      </w:r>
      <w:proofErr w:type="spellStart"/>
      <w:r>
        <w:t>фосфатидилглицерин</w:t>
      </w:r>
      <w:proofErr w:type="spellEnd"/>
      <w:r>
        <w:t xml:space="preserve"> (PG), </w:t>
      </w:r>
      <w:proofErr w:type="spellStart"/>
      <w:r>
        <w:t>дифосфатидилглицерин</w:t>
      </w:r>
      <w:proofErr w:type="spellEnd"/>
      <w:r>
        <w:t xml:space="preserve"> (DPG),</w:t>
      </w:r>
    </w:p>
    <w:p w14:paraId="49BD2B05" w14:textId="4D1CB833" w:rsidR="00726C53" w:rsidRDefault="00726C53" w:rsidP="00726C53">
      <w:r>
        <w:lastRenderedPageBreak/>
        <w:t xml:space="preserve">и неизвестный фосфолипид (UPL). Типовой штамм — CF21T (=CGMCC1.15145T=DSM 100306T), который был выделен из воздуха вольеров </w:t>
      </w:r>
      <w:proofErr w:type="spellStart"/>
      <w:r>
        <w:t>Ailuropodamelanoleuca</w:t>
      </w:r>
      <w:proofErr w:type="spellEnd"/>
      <w:r>
        <w:t xml:space="preserve"> на исследовательской базе разведения больших панд </w:t>
      </w:r>
      <w:proofErr w:type="spellStart"/>
      <w:r>
        <w:t>Чэн-ду</w:t>
      </w:r>
      <w:proofErr w:type="spellEnd"/>
      <w:r>
        <w:t xml:space="preserve"> на юго-западе Китая</w:t>
      </w:r>
    </w:p>
    <w:sectPr w:rsidR="00726C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B0"/>
    <w:rsid w:val="00162AF2"/>
    <w:rsid w:val="00175DB0"/>
    <w:rsid w:val="003A1548"/>
    <w:rsid w:val="006B4942"/>
    <w:rsid w:val="00726C53"/>
    <w:rsid w:val="009E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8C8EC"/>
  <w15:chartTrackingRefBased/>
  <w15:docId w15:val="{197DC7B9-3072-4DFC-B9A1-66CF7798B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6</Pages>
  <Words>2302</Words>
  <Characters>13128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Нурминский</dc:creator>
  <cp:keywords/>
  <dc:description/>
  <cp:lastModifiedBy>Герман Нурминский</cp:lastModifiedBy>
  <cp:revision>4</cp:revision>
  <dcterms:created xsi:type="dcterms:W3CDTF">2024-11-01T11:53:00Z</dcterms:created>
  <dcterms:modified xsi:type="dcterms:W3CDTF">2024-11-02T04:13:00Z</dcterms:modified>
</cp:coreProperties>
</file>