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 Design Specification: Project Helium Edge Sub-Station Controller v2</w:t>
      </w:r>
    </w:p>
    <w:p>
      <w:r>
        <w:t>Author: Marcus Vance</w:t>
      </w:r>
    </w:p>
    <w:p>
      <w:r>
        <w:t>Date: 2026-03-15</w:t>
      </w:r>
    </w:p>
    <w:p>
      <w:r>
        <w:t>---</w:t>
      </w:r>
    </w:p>
    <w:p>
      <w:pPr>
        <w:pStyle w:val="Heading2"/>
      </w:pPr>
      <w:r>
        <w:t>1. Scope</w:t>
      </w:r>
    </w:p>
    <w:p>
      <w:r>
        <w:t>This document details the chassis design, electrical safety envelopes, and thermal performance parameters of the Project Helium edge compute node v2, designed for deployment at municipal electrical sub-stations.</w:t>
      </w:r>
    </w:p>
    <w:p>
      <w:pPr>
        <w:pStyle w:val="Heading2"/>
      </w:pPr>
      <w:r>
        <w:t>2. Enclosure and Chassis</w:t>
      </w:r>
    </w:p>
    <w:p>
      <w:r>
        <w:t>The Helium v2 chassis is fabricated from extruded anodized aluminum (Grade 6061-T6) featuring external passive heat dissipation fins. The enclosure matches NEMA 4X weatherproofing standards to prevent dust ingress and moisture condensation.</w:t>
      </w:r>
    </w:p>
    <w:p>
      <w:pPr>
        <w:pStyle w:val="Heading2"/>
      </w:pPr>
      <w:r>
        <w:t>3. Thermal Limits and Active Cooling</w:t>
      </w:r>
    </w:p>
    <w:p>
      <w:r>
        <w:t>Under standard operating conditions, the passive thermal fins maintain a safe core enclosure temperature. However, under peak computational load (100% CPU allocation), internal temperatures can rise to 91°C. To prevent thermal throttling, we have integrated a high-performance brushless active cooling fan. The firmware is configured to engage the fan at 100% speed when the core enclosure temperature exceeds 75°C. Safe operations require keeping the temperature below 85°C.</w:t>
      </w:r>
    </w:p>
    <w:p>
      <w:pPr>
        <w:pStyle w:val="Heading2"/>
      </w:pPr>
      <w:r>
        <w:t>4. Cellular Telemetry brackets</w:t>
      </w:r>
    </w:p>
    <w:p>
      <w:r>
        <w:t>Helium edge nodes are equipped with industrial LTE modems supporting Band 48 (CBRS) and Band 13 (700 MHz). Telemetry antennas must be separated from primary transformer coils by a minimum distance of 5 meters on a fiberglass extension pole to prevent electromagnetic signal noise.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